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200" w:lineRule="auto"/>
        <w:jc w:val="both"/>
        <w:rPr/>
      </w:pPr>
      <w:bookmarkStart w:colFirst="0" w:colLast="0" w:name="_jh5dl3rxhw71" w:id="0"/>
      <w:bookmarkEnd w:id="0"/>
      <w:r w:rsidDel="00000000" w:rsidR="00000000" w:rsidRPr="00000000">
        <w:rPr>
          <w:rtl w:val="0"/>
        </w:rPr>
        <w:t xml:space="preserve">Синдром Хортона: что это такое</w:t>
      </w:r>
    </w:p>
    <w:p w:rsidR="00000000" w:rsidDel="00000000" w:rsidP="00000000" w:rsidRDefault="00000000" w:rsidRPr="00000000" w14:paraId="00000002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Синдром Хортона, или кластерная головная боль, – отдельный вид головной боли, характеризующийся </w:t>
      </w:r>
      <w:r w:rsidDel="00000000" w:rsidR="00000000" w:rsidRPr="00000000">
        <w:rPr>
          <w:rtl w:val="0"/>
        </w:rPr>
        <w:t xml:space="preserve">односторонней нестерпимой болью, с выраженной пульсацией, в области вокруг глаза. Ее называют «суицидальной» из-за значительной интенсивности.</w:t>
      </w:r>
    </w:p>
    <w:p w:rsidR="00000000" w:rsidDel="00000000" w:rsidP="00000000" w:rsidRDefault="00000000" w:rsidRPr="00000000" w14:paraId="00000003">
      <w:pPr>
        <w:pStyle w:val="Heading2"/>
        <w:spacing w:after="200" w:lineRule="auto"/>
        <w:jc w:val="both"/>
        <w:rPr/>
      </w:pPr>
      <w:bookmarkStart w:colFirst="0" w:colLast="0" w:name="_am8rgs3fmn12" w:id="1"/>
      <w:bookmarkEnd w:id="1"/>
      <w:r w:rsidDel="00000000" w:rsidR="00000000" w:rsidRPr="00000000">
        <w:rPr>
          <w:rtl w:val="0"/>
        </w:rPr>
        <w:t xml:space="preserve">Основные признаки</w:t>
      </w:r>
    </w:p>
    <w:p w:rsidR="00000000" w:rsidDel="00000000" w:rsidP="00000000" w:rsidRDefault="00000000" w:rsidRPr="00000000" w14:paraId="00000004">
      <w:pPr>
        <w:spacing w:after="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  <w:t xml:space="preserve">Приступы кластерной головной боли сопровождаются жгучей и колючей болью </w:t>
      </w:r>
      <w:r w:rsidDel="00000000" w:rsidR="00000000" w:rsidRPr="00000000">
        <w:rPr>
          <w:highlight w:val="white"/>
          <w:rtl w:val="0"/>
        </w:rPr>
        <w:t xml:space="preserve">в орбитальном, окологлазничном и/или височном участках. Такие эпизоды длятся от 15 минут до 2-3 часов. Чаще всего в</w:t>
      </w:r>
      <w:r w:rsidDel="00000000" w:rsidR="00000000" w:rsidRPr="00000000">
        <w:rPr>
          <w:highlight w:val="white"/>
          <w:rtl w:val="0"/>
        </w:rPr>
        <w:t xml:space="preserve">озникают в ночное время, через несколько часов после начала сна</w:t>
      </w:r>
      <w:r w:rsidDel="00000000" w:rsidR="00000000" w:rsidRPr="00000000">
        <w:rPr>
          <w:highlight w:val="white"/>
          <w:rtl w:val="0"/>
        </w:rPr>
        <w:t xml:space="preserve">. Интенсивность и продолжительность могут изменяться от приступа к приступу, а их частота – колебаться от 1 раза в 2 дня до 8 раз в день. При этом возможны дополнительные симптомы: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покраснение конъюнктивы и слезотечение;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выделение из носа;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отек век;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32.94117647058823" w:lineRule="auto"/>
        <w:ind w:left="720" w:right="80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потливость лба или всего лица;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before="80" w:line="232.94117647058823" w:lineRule="auto"/>
        <w:ind w:left="720" w:right="80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миоз и/или птоз.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before="80" w:line="232.94117647058823" w:lineRule="auto"/>
        <w:ind w:right="8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Первые эпизоды кластеров происходят в возрасте 28-30 лет. Чаще от них страдают мужчины, чем женщины.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before="80" w:line="232.94117647058823" w:lineRule="auto"/>
        <w:ind w:right="8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В зависимости от частоты эпизодов выделяют эпизодическую и хроническую кластерную боль.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before="80" w:line="232.94117647058823" w:lineRule="auto"/>
        <w:ind w:left="720" w:right="80" w:hanging="360"/>
        <w:jc w:val="both"/>
        <w:rPr/>
      </w:pPr>
      <w:r w:rsidDel="00000000" w:rsidR="00000000" w:rsidRPr="00000000">
        <w:rPr>
          <w:rtl w:val="0"/>
        </w:rPr>
        <w:t xml:space="preserve">Эпизодическая КБ: есть как минимум </w:t>
      </w:r>
      <w:r w:rsidDel="00000000" w:rsidR="00000000" w:rsidRPr="00000000">
        <w:rPr>
          <w:highlight w:val="white"/>
          <w:rtl w:val="0"/>
        </w:rPr>
        <w:t xml:space="preserve">два «кластерных» периода продолжительностью от 7 дней до 1 года, разделенных безболевым периодом продолжительностью &gt;1 месяца.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before="80" w:line="232.94117647058823" w:lineRule="auto"/>
        <w:ind w:left="720" w:right="80" w:hanging="360"/>
        <w:jc w:val="both"/>
        <w:rPr/>
      </w:pPr>
      <w:r w:rsidDel="00000000" w:rsidR="00000000" w:rsidRPr="00000000">
        <w:rPr>
          <w:rtl w:val="0"/>
        </w:rPr>
        <w:t xml:space="preserve">Х</w:t>
      </w:r>
      <w:r w:rsidDel="00000000" w:rsidR="00000000" w:rsidRPr="00000000">
        <w:rPr>
          <w:highlight w:val="white"/>
          <w:rtl w:val="0"/>
        </w:rPr>
        <w:t xml:space="preserve">роническая КБ: кластеры</w:t>
      </w:r>
      <w:r w:rsidDel="00000000" w:rsidR="00000000" w:rsidRPr="00000000">
        <w:rPr>
          <w:highlight w:val="white"/>
          <w:rtl w:val="0"/>
        </w:rPr>
        <w:t xml:space="preserve"> возникают в течение более 1 года без ремиссий или с ремиссией продолжительностью &lt;1 месяца.</w:t>
      </w:r>
    </w:p>
    <w:p w:rsidR="00000000" w:rsidDel="00000000" w:rsidP="00000000" w:rsidRDefault="00000000" w:rsidRPr="00000000" w14:paraId="0000000E">
      <w:pPr>
        <w:pStyle w:val="Heading2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before="80" w:line="232.94117647058823" w:lineRule="auto"/>
        <w:ind w:right="80"/>
        <w:jc w:val="both"/>
        <w:rPr/>
      </w:pPr>
      <w:bookmarkStart w:colFirst="0" w:colLast="0" w:name="_1fcpnp94vt7y" w:id="2"/>
      <w:bookmarkEnd w:id="2"/>
      <w:r w:rsidDel="00000000" w:rsidR="00000000" w:rsidRPr="00000000">
        <w:rPr>
          <w:rtl w:val="0"/>
        </w:rPr>
        <w:t xml:space="preserve">Причина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before="80" w:line="232.94117647058823" w:lineRule="auto"/>
        <w:ind w:right="8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Механизм возникновения и причины до конца не ясны. Однако известно об участии тройничного нерва, прилегающих к нему сосудов и центральных структур головного мозга (таламус, гипоталамус) в процессе возникновения боли.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before="80" w:line="232.94117647058823" w:lineRule="auto"/>
        <w:ind w:right="8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Следует отличать этот вид боли от тригеминальной невралгии и таламической боли. Также по своим признакам КБГ похожа на эпизоды мигрени и на </w:t>
      </w:r>
      <w:r w:rsidDel="00000000" w:rsidR="00000000" w:rsidRPr="00000000">
        <w:rPr>
          <w:highlight w:val="white"/>
          <w:rtl w:val="0"/>
        </w:rPr>
        <w:t xml:space="preserve">SUNCT/SUNA. Поэтому следует обратиться к неврологу для постановки правильного диагноза.</w:t>
      </w:r>
    </w:p>
    <w:p w:rsidR="00000000" w:rsidDel="00000000" w:rsidP="00000000" w:rsidRDefault="00000000" w:rsidRPr="00000000" w14:paraId="00000011">
      <w:pPr>
        <w:pStyle w:val="Heading2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before="80" w:line="232.94117647058823" w:lineRule="auto"/>
        <w:ind w:right="80"/>
        <w:jc w:val="both"/>
        <w:rPr/>
      </w:pPr>
      <w:bookmarkStart w:colFirst="0" w:colLast="0" w:name="_7apjtrokdeqd" w:id="3"/>
      <w:bookmarkEnd w:id="3"/>
      <w:r w:rsidDel="00000000" w:rsidR="00000000" w:rsidRPr="00000000">
        <w:rPr>
          <w:rtl w:val="0"/>
        </w:rPr>
        <w:t xml:space="preserve">Лечение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before="80" w:line="232.94117647058823" w:lineRule="auto"/>
        <w:ind w:right="8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При острых эпизодах применяют инъекционные триптаны (суматриптан 6 мг подкожно) или в виде назальных спреев (суматриптан, золмитриптан). Ингаляция 100% кислородом через лицевую маску в течение 15-20 минут, со скоростью потока 7-10 л/мин, тоже достаточно эффективна для купирования боли.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before="80" w:line="232.94117647058823" w:lineRule="auto"/>
        <w:ind w:right="8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Для профилактики приступов используют верапамил, если нет противопоказаний со стороны сердечно-сосудистой системы, или преднизон. При неэффективности этих препаратов, применяют пропранолол или атенолол.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before="80" w:line="232.94117647058823" w:lineRule="auto"/>
        <w:ind w:right="80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before="80" w:line="232.94117647058823" w:lineRule="auto"/>
        <w:ind w:right="80"/>
        <w:jc w:val="both"/>
        <w:rPr>
          <w:highlight w:val="white"/>
        </w:rPr>
      </w:pPr>
      <w:r w:rsidDel="00000000" w:rsidR="00000000" w:rsidRPr="00000000">
        <w:rPr>
          <w:highlight w:val="white"/>
        </w:rPr>
        <w:drawing>
          <wp:inline distB="114300" distT="114300" distL="114300" distR="114300">
            <wp:extent cx="5731200" cy="19939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9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