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779" w:rsidRPr="00BC5779" w:rsidRDefault="00BC5779" w:rsidP="00BC5779">
      <w:pPr>
        <w:spacing w:after="0" w:line="240" w:lineRule="auto"/>
        <w:jc w:val="center"/>
        <w:rPr>
          <w:rFonts w:ascii="Times New Roman" w:eastAsia="Times New Roman" w:hAnsi="Times New Roman" w:cs="Times New Roman"/>
          <w:sz w:val="28"/>
          <w:szCs w:val="28"/>
          <w:lang w:eastAsia="ru-RU"/>
        </w:rPr>
      </w:pPr>
      <w:r w:rsidRPr="00BC5779">
        <w:rPr>
          <w:rFonts w:ascii="Times New Roman" w:eastAsia="Times New Roman" w:hAnsi="Times New Roman" w:cs="Times New Roman"/>
          <w:sz w:val="28"/>
          <w:szCs w:val="28"/>
          <w:lang w:eastAsia="ru-RU"/>
        </w:rPr>
        <w:t>МІНІСТЕРСТВО ОСВІТИ І НАУКИ УКРАЇНИ</w:t>
      </w:r>
    </w:p>
    <w:p w:rsidR="00BC5779" w:rsidRPr="00BC5779" w:rsidRDefault="00BC5779" w:rsidP="00BC5779">
      <w:pPr>
        <w:spacing w:after="0" w:line="240" w:lineRule="auto"/>
        <w:jc w:val="center"/>
        <w:rPr>
          <w:rFonts w:ascii="Times New Roman" w:eastAsia="Times New Roman" w:hAnsi="Times New Roman" w:cs="Times New Roman"/>
          <w:sz w:val="28"/>
          <w:szCs w:val="28"/>
          <w:lang w:eastAsia="ru-RU"/>
        </w:rPr>
      </w:pPr>
    </w:p>
    <w:p w:rsidR="00BC5779" w:rsidRPr="00BC5779" w:rsidRDefault="00BC5779" w:rsidP="00BC5779">
      <w:pPr>
        <w:spacing w:after="0" w:line="240" w:lineRule="auto"/>
        <w:jc w:val="center"/>
        <w:rPr>
          <w:rFonts w:ascii="Times New Roman" w:eastAsia="Times New Roman" w:hAnsi="Times New Roman" w:cs="Times New Roman"/>
          <w:sz w:val="28"/>
          <w:szCs w:val="28"/>
          <w:lang w:eastAsia="ru-RU"/>
        </w:rPr>
      </w:pPr>
      <w:r w:rsidRPr="00BC5779">
        <w:rPr>
          <w:rFonts w:ascii="Times New Roman" w:eastAsia="Times New Roman" w:hAnsi="Times New Roman" w:cs="Times New Roman"/>
          <w:sz w:val="28"/>
          <w:szCs w:val="28"/>
          <w:lang w:eastAsia="ru-RU"/>
        </w:rPr>
        <w:t>НАЦІОНАЛЬНИЙ ТЕХНІЧНИЙ УНІВЕРСИТЕТ</w:t>
      </w:r>
    </w:p>
    <w:p w:rsidR="00BC5779" w:rsidRPr="00BC5779" w:rsidRDefault="00BC5779" w:rsidP="00BC5779">
      <w:pPr>
        <w:spacing w:after="0" w:line="240" w:lineRule="auto"/>
        <w:jc w:val="center"/>
        <w:rPr>
          <w:rFonts w:ascii="Times New Roman" w:eastAsia="Times New Roman" w:hAnsi="Times New Roman" w:cs="Times New Roman"/>
          <w:sz w:val="28"/>
          <w:szCs w:val="28"/>
          <w:lang w:eastAsia="ru-RU"/>
        </w:rPr>
      </w:pPr>
      <w:r w:rsidRPr="00BC5779">
        <w:rPr>
          <w:rFonts w:ascii="Times New Roman" w:eastAsia="Times New Roman" w:hAnsi="Times New Roman" w:cs="Times New Roman"/>
          <w:sz w:val="28"/>
          <w:szCs w:val="28"/>
          <w:lang w:eastAsia="ru-RU"/>
        </w:rPr>
        <w:t>«ХАРКІВСЬКИЙ ПОЛІТЕХНІЧНИЙ ІНСТИТУТ»</w:t>
      </w:r>
    </w:p>
    <w:p w:rsidR="00BC5779" w:rsidRPr="00BC5779" w:rsidRDefault="00BC5779" w:rsidP="00BC5779">
      <w:pPr>
        <w:spacing w:after="0" w:line="240" w:lineRule="auto"/>
        <w:jc w:val="center"/>
        <w:rPr>
          <w:rFonts w:ascii="Times New Roman" w:eastAsia="Times New Roman" w:hAnsi="Times New Roman" w:cs="Times New Roman"/>
          <w:sz w:val="28"/>
          <w:szCs w:val="28"/>
          <w:lang w:eastAsia="ru-RU"/>
        </w:rPr>
      </w:pPr>
    </w:p>
    <w:p w:rsidR="00BC5779" w:rsidRPr="00BC5779" w:rsidRDefault="00BC5779" w:rsidP="00BC5779">
      <w:pPr>
        <w:spacing w:after="0" w:line="240" w:lineRule="auto"/>
        <w:jc w:val="center"/>
        <w:rPr>
          <w:rFonts w:ascii="Times New Roman" w:eastAsia="Times New Roman" w:hAnsi="Times New Roman" w:cs="Times New Roman"/>
          <w:sz w:val="28"/>
          <w:szCs w:val="28"/>
          <w:lang w:eastAsia="ru-RU"/>
        </w:rPr>
      </w:pPr>
    </w:p>
    <w:p w:rsidR="00BC5779" w:rsidRPr="00BC5779" w:rsidRDefault="00BC5779" w:rsidP="00BC5779">
      <w:pPr>
        <w:tabs>
          <w:tab w:val="center" w:pos="2881"/>
          <w:tab w:val="center" w:pos="3602"/>
          <w:tab w:val="center" w:pos="4322"/>
          <w:tab w:val="center" w:pos="5042"/>
          <w:tab w:val="center" w:pos="5762"/>
          <w:tab w:val="center" w:pos="6482"/>
          <w:tab w:val="center" w:pos="7203"/>
          <w:tab w:val="center" w:pos="7923"/>
        </w:tabs>
        <w:spacing w:after="50" w:line="360" w:lineRule="auto"/>
        <w:ind w:left="-15"/>
        <w:jc w:val="both"/>
        <w:rPr>
          <w:rFonts w:ascii="Times New Roman" w:eastAsia="Times New Roman" w:hAnsi="Times New Roman" w:cs="Times New Roman"/>
          <w:sz w:val="28"/>
          <w:szCs w:val="28"/>
          <w:lang w:val="ru-RU" w:eastAsia="ru-RU"/>
        </w:rPr>
      </w:pPr>
      <w:r w:rsidRPr="00BC5779">
        <w:rPr>
          <w:rFonts w:ascii="Times New Roman" w:eastAsia="Times New Roman" w:hAnsi="Times New Roman" w:cs="Times New Roman"/>
          <w:sz w:val="28"/>
          <w:szCs w:val="28"/>
          <w:lang w:val="ru-RU" w:eastAsia="ru-RU"/>
        </w:rPr>
        <w:t xml:space="preserve">Інститут (факультет)   </w:t>
      </w:r>
      <w:r w:rsidRPr="00BC5779">
        <w:rPr>
          <w:rFonts w:ascii="Times New Roman" w:eastAsia="Times New Roman" w:hAnsi="Times New Roman" w:cs="Times New Roman"/>
          <w:sz w:val="28"/>
          <w:szCs w:val="28"/>
          <w:u w:val="single" w:color="000000"/>
          <w:lang w:val="ru-RU" w:eastAsia="ru-RU"/>
        </w:rPr>
        <w:t>Комп’ютерних наук і програмної інженерії</w:t>
      </w:r>
      <w:r w:rsidRPr="00BC5779">
        <w:rPr>
          <w:rFonts w:ascii="Times New Roman" w:eastAsia="Times New Roman" w:hAnsi="Times New Roman" w:cs="Times New Roman"/>
          <w:sz w:val="28"/>
          <w:szCs w:val="28"/>
          <w:lang w:val="ru-RU" w:eastAsia="ru-RU"/>
        </w:rPr>
        <w:t xml:space="preserve"> </w:t>
      </w:r>
    </w:p>
    <w:p w:rsidR="00BC5779" w:rsidRPr="00BC5779" w:rsidRDefault="00BC5779" w:rsidP="00BC5779">
      <w:pPr>
        <w:tabs>
          <w:tab w:val="center" w:pos="1441"/>
          <w:tab w:val="center" w:pos="2161"/>
          <w:tab w:val="center" w:pos="2881"/>
          <w:tab w:val="center" w:pos="3602"/>
          <w:tab w:val="center" w:pos="4322"/>
          <w:tab w:val="center" w:pos="5042"/>
          <w:tab w:val="center" w:pos="5762"/>
          <w:tab w:val="center" w:pos="6482"/>
          <w:tab w:val="center" w:pos="7203"/>
          <w:tab w:val="center" w:pos="7923"/>
          <w:tab w:val="center" w:pos="8643"/>
        </w:tabs>
        <w:spacing w:after="94" w:line="360" w:lineRule="auto"/>
        <w:ind w:left="-15"/>
        <w:jc w:val="both"/>
        <w:rPr>
          <w:rFonts w:ascii="Times New Roman" w:eastAsia="Times New Roman" w:hAnsi="Times New Roman" w:cs="Times New Roman"/>
          <w:sz w:val="28"/>
          <w:szCs w:val="28"/>
          <w:lang w:val="ru-RU" w:eastAsia="ru-RU"/>
        </w:rPr>
      </w:pPr>
      <w:r w:rsidRPr="00BC5779">
        <w:rPr>
          <w:rFonts w:ascii="Times New Roman" w:eastAsia="Times New Roman" w:hAnsi="Times New Roman" w:cs="Times New Roman"/>
          <w:sz w:val="28"/>
          <w:szCs w:val="28"/>
          <w:lang w:val="ru-RU" w:eastAsia="ru-RU"/>
        </w:rPr>
        <w:t xml:space="preserve">Кафедра                        </w:t>
      </w:r>
      <w:r w:rsidRPr="00BC5779">
        <w:rPr>
          <w:rFonts w:ascii="Times New Roman" w:eastAsia="Times New Roman" w:hAnsi="Times New Roman" w:cs="Times New Roman"/>
          <w:sz w:val="28"/>
          <w:szCs w:val="28"/>
          <w:u w:val="single" w:color="000000"/>
          <w:lang w:val="ru-RU" w:eastAsia="ru-RU"/>
        </w:rPr>
        <w:t>Інформатика та інтелектуальна власність</w:t>
      </w:r>
      <w:r w:rsidRPr="00BC5779">
        <w:rPr>
          <w:rFonts w:ascii="Times New Roman" w:eastAsia="Times New Roman" w:hAnsi="Times New Roman" w:cs="Times New Roman"/>
          <w:sz w:val="28"/>
          <w:szCs w:val="28"/>
          <w:lang w:val="ru-RU" w:eastAsia="ru-RU"/>
        </w:rPr>
        <w:t xml:space="preserve"> </w:t>
      </w:r>
    </w:p>
    <w:p w:rsidR="00BC5779" w:rsidRPr="00BC5779" w:rsidRDefault="00BC5779" w:rsidP="00BC5779">
      <w:pPr>
        <w:spacing w:after="20" w:line="360" w:lineRule="auto"/>
        <w:ind w:left="-5"/>
        <w:jc w:val="both"/>
        <w:rPr>
          <w:rFonts w:ascii="Times New Roman" w:eastAsia="Times New Roman" w:hAnsi="Times New Roman" w:cs="Times New Roman"/>
          <w:sz w:val="28"/>
          <w:szCs w:val="28"/>
          <w:u w:val="single" w:color="000000"/>
          <w:lang w:val="ru-RU" w:eastAsia="ru-RU"/>
        </w:rPr>
      </w:pPr>
      <w:r w:rsidRPr="00BC5779">
        <w:rPr>
          <w:rFonts w:ascii="Times New Roman" w:eastAsia="Times New Roman" w:hAnsi="Times New Roman" w:cs="Times New Roman"/>
          <w:sz w:val="28"/>
          <w:szCs w:val="28"/>
          <w:lang w:val="ru-RU" w:eastAsia="ru-RU"/>
        </w:rPr>
        <w:t>Рівень вищої освіти    другий (магістерський)</w:t>
      </w:r>
    </w:p>
    <w:p w:rsidR="00BC5779" w:rsidRPr="00BC5779" w:rsidRDefault="00BC5779" w:rsidP="00BC5779">
      <w:pPr>
        <w:spacing w:after="20" w:line="360" w:lineRule="auto"/>
        <w:ind w:left="-5"/>
        <w:jc w:val="both"/>
        <w:rPr>
          <w:rFonts w:ascii="Times New Roman" w:eastAsia="Times New Roman" w:hAnsi="Times New Roman" w:cs="Times New Roman"/>
          <w:sz w:val="28"/>
          <w:szCs w:val="28"/>
          <w:lang w:val="ru-RU" w:eastAsia="ru-RU"/>
        </w:rPr>
      </w:pPr>
      <w:r w:rsidRPr="00BC5779">
        <w:rPr>
          <w:rFonts w:ascii="Times New Roman" w:eastAsia="Times New Roman" w:hAnsi="Times New Roman" w:cs="Times New Roman"/>
          <w:sz w:val="28"/>
          <w:szCs w:val="28"/>
          <w:lang w:val="ru-RU" w:eastAsia="ru-RU"/>
        </w:rPr>
        <w:t xml:space="preserve">Спеціальність              </w:t>
      </w:r>
      <w:r w:rsidRPr="00BC5779">
        <w:rPr>
          <w:rFonts w:ascii="Times New Roman" w:eastAsia="Times New Roman" w:hAnsi="Times New Roman" w:cs="Times New Roman"/>
          <w:sz w:val="28"/>
          <w:szCs w:val="28"/>
          <w:u w:val="single" w:color="000000"/>
          <w:lang w:val="ru-RU" w:eastAsia="ru-RU"/>
        </w:rPr>
        <w:t>122 Комп’ютерні науки</w:t>
      </w:r>
    </w:p>
    <w:p w:rsidR="00BC5779" w:rsidRPr="00BC5779" w:rsidRDefault="00BC5779" w:rsidP="00BC5779">
      <w:pPr>
        <w:spacing w:after="31" w:line="360" w:lineRule="auto"/>
        <w:ind w:left="-15"/>
        <w:jc w:val="both"/>
        <w:rPr>
          <w:rFonts w:ascii="Times New Roman" w:eastAsia="Times New Roman" w:hAnsi="Times New Roman" w:cs="Times New Roman"/>
          <w:sz w:val="28"/>
          <w:szCs w:val="28"/>
          <w:lang w:val="ru-RU" w:eastAsia="ru-RU"/>
        </w:rPr>
      </w:pPr>
      <w:r w:rsidRPr="00BC5779">
        <w:rPr>
          <w:rFonts w:ascii="Times New Roman" w:eastAsia="Times New Roman" w:hAnsi="Times New Roman" w:cs="Times New Roman"/>
          <w:sz w:val="28"/>
          <w:szCs w:val="28"/>
          <w:lang w:val="ru-RU" w:eastAsia="ru-RU"/>
        </w:rPr>
        <w:t xml:space="preserve">Спеціалізація       </w:t>
      </w:r>
      <w:r w:rsidRPr="00BC5779">
        <w:rPr>
          <w:rFonts w:ascii="Times New Roman" w:eastAsia="Times New Roman" w:hAnsi="Times New Roman" w:cs="Times New Roman"/>
          <w:sz w:val="28"/>
          <w:szCs w:val="28"/>
          <w:lang w:eastAsia="ru-RU"/>
        </w:rPr>
        <w:t xml:space="preserve">        </w:t>
      </w:r>
      <w:r w:rsidRPr="00BC5779">
        <w:rPr>
          <w:rFonts w:ascii="Times New Roman" w:eastAsia="Times New Roman" w:hAnsi="Times New Roman" w:cs="Times New Roman"/>
          <w:sz w:val="28"/>
          <w:szCs w:val="28"/>
          <w:u w:val="single" w:color="000000"/>
          <w:lang w:val="ru-RU" w:eastAsia="ru-RU"/>
        </w:rPr>
        <w:t>122.09 Інтелектуальна власність в програмній та комп’ютерній інженерії</w:t>
      </w:r>
    </w:p>
    <w:p w:rsidR="00BC5779" w:rsidRPr="00BC5779" w:rsidRDefault="00BC5779" w:rsidP="00BC5779">
      <w:pPr>
        <w:spacing w:after="0" w:line="240" w:lineRule="auto"/>
        <w:rPr>
          <w:rFonts w:ascii="Times New Roman" w:eastAsia="Times New Roman" w:hAnsi="Times New Roman" w:cs="Times New Roman"/>
          <w:sz w:val="28"/>
          <w:szCs w:val="28"/>
          <w:lang w:val="ru-RU" w:eastAsia="ru-RU"/>
        </w:rPr>
      </w:pPr>
    </w:p>
    <w:p w:rsidR="00BC5779" w:rsidRPr="00BC5779" w:rsidRDefault="00BC5779" w:rsidP="00BC5779">
      <w:pPr>
        <w:spacing w:after="0" w:line="240" w:lineRule="auto"/>
        <w:rPr>
          <w:rFonts w:ascii="Times New Roman" w:eastAsia="Times New Roman" w:hAnsi="Times New Roman" w:cs="Times New Roman"/>
          <w:sz w:val="28"/>
          <w:szCs w:val="28"/>
          <w:lang w:eastAsia="ru-RU"/>
        </w:rPr>
      </w:pPr>
    </w:p>
    <w:p w:rsidR="00BC5779" w:rsidRPr="00BC5779" w:rsidRDefault="00BC5779" w:rsidP="00BC5779">
      <w:pPr>
        <w:spacing w:after="0" w:line="240" w:lineRule="auto"/>
        <w:rPr>
          <w:rFonts w:ascii="Times New Roman" w:eastAsia="Times New Roman" w:hAnsi="Times New Roman" w:cs="Times New Roman"/>
          <w:sz w:val="28"/>
          <w:szCs w:val="28"/>
          <w:lang w:eastAsia="ru-RU"/>
        </w:rPr>
      </w:pPr>
    </w:p>
    <w:p w:rsidR="00BC5779" w:rsidRPr="00BC5779" w:rsidRDefault="00BC5779" w:rsidP="00BC5779">
      <w:pPr>
        <w:spacing w:after="0" w:line="240" w:lineRule="auto"/>
        <w:jc w:val="center"/>
        <w:rPr>
          <w:rFonts w:ascii="Times New Roman" w:eastAsia="Times New Roman" w:hAnsi="Times New Roman" w:cs="Times New Roman"/>
          <w:b/>
          <w:sz w:val="28"/>
          <w:szCs w:val="28"/>
          <w:lang w:eastAsia="ru-RU"/>
        </w:rPr>
      </w:pPr>
      <w:r w:rsidRPr="00BC5779">
        <w:rPr>
          <w:rFonts w:ascii="Times New Roman" w:eastAsia="Times New Roman" w:hAnsi="Times New Roman" w:cs="Times New Roman"/>
          <w:b/>
          <w:sz w:val="28"/>
          <w:szCs w:val="28"/>
          <w:lang w:eastAsia="ru-RU"/>
        </w:rPr>
        <w:t>ПОЯСНЮВАЛЬНА ЗАПИСКА</w:t>
      </w:r>
    </w:p>
    <w:p w:rsidR="00BC5779" w:rsidRPr="00BC5779" w:rsidRDefault="00BC5779" w:rsidP="00BC5779">
      <w:pPr>
        <w:spacing w:after="0" w:line="240" w:lineRule="auto"/>
        <w:jc w:val="center"/>
        <w:rPr>
          <w:rFonts w:ascii="Times New Roman" w:eastAsia="Times New Roman" w:hAnsi="Times New Roman" w:cs="Times New Roman"/>
          <w:b/>
          <w:sz w:val="28"/>
          <w:szCs w:val="28"/>
          <w:lang w:eastAsia="ru-RU"/>
        </w:rPr>
      </w:pPr>
      <w:r w:rsidRPr="00BC5779">
        <w:rPr>
          <w:rFonts w:ascii="Times New Roman" w:eastAsia="Times New Roman" w:hAnsi="Times New Roman" w:cs="Times New Roman"/>
          <w:b/>
          <w:sz w:val="28"/>
          <w:szCs w:val="28"/>
          <w:lang w:eastAsia="ru-RU"/>
        </w:rPr>
        <w:t>до дипломного проєкту</w:t>
      </w:r>
    </w:p>
    <w:p w:rsidR="00BC5779" w:rsidRPr="00BC5779" w:rsidRDefault="00BC5779" w:rsidP="00BC5779">
      <w:pPr>
        <w:spacing w:after="0" w:line="240" w:lineRule="auto"/>
        <w:jc w:val="center"/>
        <w:rPr>
          <w:rFonts w:ascii="Times New Roman" w:eastAsia="Times New Roman" w:hAnsi="Times New Roman" w:cs="Times New Roman"/>
          <w:sz w:val="28"/>
          <w:szCs w:val="28"/>
          <w:lang w:eastAsia="ru-RU"/>
        </w:rPr>
      </w:pPr>
    </w:p>
    <w:p w:rsidR="00BC5779" w:rsidRPr="00BC5779" w:rsidRDefault="00BC5779" w:rsidP="00BC5779">
      <w:pPr>
        <w:spacing w:after="0" w:line="240" w:lineRule="auto"/>
        <w:jc w:val="center"/>
        <w:rPr>
          <w:rFonts w:ascii="Times New Roman" w:eastAsia="Times New Roman" w:hAnsi="Times New Roman" w:cs="Times New Roman"/>
          <w:sz w:val="28"/>
          <w:szCs w:val="28"/>
          <w:u w:val="single"/>
          <w:lang w:eastAsia="ru-RU"/>
        </w:rPr>
      </w:pPr>
      <w:r w:rsidRPr="00BC5779">
        <w:rPr>
          <w:rFonts w:ascii="Times New Roman" w:eastAsia="Times New Roman" w:hAnsi="Times New Roman" w:cs="Times New Roman"/>
          <w:sz w:val="28"/>
          <w:szCs w:val="28"/>
          <w:u w:val="single"/>
          <w:lang w:eastAsia="ru-RU"/>
        </w:rPr>
        <w:t>другого (магістерського)</w:t>
      </w:r>
      <w:r w:rsidRPr="00BC5779">
        <w:rPr>
          <w:rFonts w:ascii="Times New Roman" w:eastAsia="Times New Roman" w:hAnsi="Times New Roman" w:cs="Times New Roman"/>
          <w:sz w:val="28"/>
          <w:szCs w:val="28"/>
          <w:lang w:eastAsia="ru-RU"/>
        </w:rPr>
        <w:t xml:space="preserve"> рівня вищої освіти</w:t>
      </w:r>
    </w:p>
    <w:p w:rsidR="00BC5779" w:rsidRPr="00BC5779" w:rsidRDefault="00BC5779" w:rsidP="00BC5779">
      <w:pPr>
        <w:spacing w:after="0" w:line="360" w:lineRule="auto"/>
        <w:rPr>
          <w:rFonts w:ascii="Times New Roman" w:eastAsia="Times New Roman" w:hAnsi="Times New Roman" w:cs="Times New Roman"/>
          <w:sz w:val="28"/>
          <w:szCs w:val="28"/>
          <w:lang w:eastAsia="ru-RU"/>
        </w:rPr>
      </w:pPr>
    </w:p>
    <w:p w:rsidR="00BC5779" w:rsidRPr="00BC5779" w:rsidRDefault="00BC5779" w:rsidP="00BC5779">
      <w:pPr>
        <w:spacing w:after="0" w:line="360" w:lineRule="auto"/>
        <w:rPr>
          <w:rFonts w:ascii="Times New Roman" w:eastAsia="Times New Roman" w:hAnsi="Times New Roman" w:cs="Times New Roman"/>
          <w:sz w:val="28"/>
          <w:szCs w:val="28"/>
          <w:u w:val="single"/>
          <w:lang w:eastAsia="ru-RU"/>
        </w:rPr>
      </w:pPr>
      <w:r w:rsidRPr="00BC5779">
        <w:rPr>
          <w:rFonts w:ascii="Times New Roman" w:eastAsia="Times New Roman" w:hAnsi="Times New Roman" w:cs="Times New Roman"/>
          <w:sz w:val="28"/>
          <w:szCs w:val="28"/>
          <w:lang w:eastAsia="ru-RU"/>
        </w:rPr>
        <w:t xml:space="preserve">на тему </w:t>
      </w:r>
      <w:r w:rsidRPr="00BC5779">
        <w:rPr>
          <w:rFonts w:ascii="Times New Roman" w:eastAsia="Times New Roman" w:hAnsi="Times New Roman" w:cs="Times New Roman"/>
          <w:sz w:val="28"/>
          <w:szCs w:val="28"/>
          <w:u w:val="single"/>
          <w:lang w:eastAsia="ru-RU"/>
        </w:rPr>
        <w:t>Патентний ландшафт - сучасний інструментарій комерціалізації технологій</w:t>
      </w:r>
    </w:p>
    <w:p w:rsidR="00BC5779" w:rsidRPr="00BC5779" w:rsidRDefault="00BC5779" w:rsidP="00BC5779">
      <w:pPr>
        <w:spacing w:after="0" w:line="240" w:lineRule="auto"/>
        <w:jc w:val="both"/>
        <w:rPr>
          <w:rFonts w:ascii="Times New Roman" w:eastAsia="Times New Roman" w:hAnsi="Times New Roman" w:cs="Times New Roman"/>
          <w:sz w:val="28"/>
          <w:szCs w:val="28"/>
          <w:lang w:eastAsia="ru-RU"/>
        </w:rPr>
      </w:pPr>
    </w:p>
    <w:p w:rsidR="00BC5779" w:rsidRPr="00BC5779" w:rsidRDefault="00BC5779" w:rsidP="00BC5779">
      <w:pPr>
        <w:spacing w:after="0" w:line="240" w:lineRule="auto"/>
        <w:jc w:val="both"/>
        <w:rPr>
          <w:rFonts w:ascii="Times New Roman" w:eastAsia="Times New Roman" w:hAnsi="Times New Roman" w:cs="Times New Roman"/>
          <w:sz w:val="28"/>
          <w:szCs w:val="28"/>
          <w:lang w:eastAsia="ru-RU"/>
        </w:rPr>
      </w:pPr>
    </w:p>
    <w:p w:rsidR="00BC5779" w:rsidRPr="00BC5779" w:rsidRDefault="00BC5779" w:rsidP="00BC5779">
      <w:pPr>
        <w:spacing w:after="0" w:line="360" w:lineRule="auto"/>
        <w:jc w:val="both"/>
        <w:rPr>
          <w:rFonts w:ascii="Times New Roman" w:eastAsia="Times New Roman" w:hAnsi="Times New Roman" w:cs="Times New Roman"/>
          <w:sz w:val="28"/>
          <w:szCs w:val="28"/>
          <w:u w:val="single"/>
          <w:lang w:eastAsia="ru-RU"/>
        </w:rPr>
      </w:pP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t xml:space="preserve">Виконав студент </w:t>
      </w:r>
      <w:r w:rsidRPr="00BC5779">
        <w:rPr>
          <w:rFonts w:ascii="Times New Roman" w:eastAsia="Times New Roman" w:hAnsi="Times New Roman" w:cs="Times New Roman"/>
          <w:sz w:val="28"/>
          <w:szCs w:val="28"/>
          <w:u w:val="single"/>
          <w:lang w:eastAsia="ru-RU"/>
        </w:rPr>
        <w:t>6</w:t>
      </w:r>
      <w:r w:rsidRPr="00BC5779">
        <w:rPr>
          <w:rFonts w:ascii="Times New Roman" w:eastAsia="Times New Roman" w:hAnsi="Times New Roman" w:cs="Times New Roman"/>
          <w:sz w:val="28"/>
          <w:szCs w:val="28"/>
          <w:lang w:val="ru-RU" w:eastAsia="ru-RU"/>
        </w:rPr>
        <w:t xml:space="preserve"> </w:t>
      </w:r>
      <w:r w:rsidRPr="00BC5779">
        <w:rPr>
          <w:rFonts w:ascii="Times New Roman" w:eastAsia="Times New Roman" w:hAnsi="Times New Roman" w:cs="Times New Roman"/>
          <w:sz w:val="28"/>
          <w:szCs w:val="28"/>
          <w:lang w:eastAsia="ru-RU"/>
        </w:rPr>
        <w:t xml:space="preserve">курсу, групи </w:t>
      </w:r>
      <w:r w:rsidRPr="00BC5779">
        <w:rPr>
          <w:rFonts w:ascii="Times New Roman" w:eastAsia="Times New Roman" w:hAnsi="Times New Roman" w:cs="Times New Roman"/>
          <w:sz w:val="28"/>
          <w:szCs w:val="28"/>
          <w:u w:val="single"/>
          <w:lang w:eastAsia="ru-RU"/>
        </w:rPr>
        <w:t>КН-М318г</w:t>
      </w:r>
    </w:p>
    <w:p w:rsidR="00BC5779" w:rsidRPr="00BC5779" w:rsidRDefault="00BC5779" w:rsidP="00BC5779">
      <w:pPr>
        <w:spacing w:after="0" w:line="240" w:lineRule="auto"/>
        <w:jc w:val="both"/>
        <w:rPr>
          <w:rFonts w:ascii="Times New Roman" w:eastAsia="Times New Roman" w:hAnsi="Times New Roman" w:cs="Times New Roman"/>
          <w:sz w:val="28"/>
          <w:szCs w:val="28"/>
          <w:lang w:eastAsia="ru-RU"/>
        </w:rPr>
      </w:pP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u w:val="single"/>
          <w:lang w:eastAsia="ru-RU"/>
        </w:rPr>
        <w:tab/>
      </w:r>
      <w:r w:rsidRPr="00BC5779">
        <w:rPr>
          <w:rFonts w:ascii="Times New Roman" w:eastAsia="Times New Roman" w:hAnsi="Times New Roman" w:cs="Times New Roman"/>
          <w:sz w:val="28"/>
          <w:szCs w:val="28"/>
          <w:u w:val="single"/>
          <w:lang w:eastAsia="ru-RU"/>
        </w:rPr>
        <w:tab/>
      </w:r>
      <w:r w:rsidRPr="00BC5779">
        <w:rPr>
          <w:rFonts w:ascii="Times New Roman" w:eastAsia="Times New Roman" w:hAnsi="Times New Roman" w:cs="Times New Roman"/>
          <w:sz w:val="28"/>
          <w:szCs w:val="28"/>
          <w:u w:val="single"/>
          <w:lang w:eastAsia="ru-RU"/>
        </w:rPr>
        <w:tab/>
      </w:r>
      <w:r w:rsidRPr="00BC5779">
        <w:rPr>
          <w:rFonts w:ascii="Times New Roman" w:eastAsia="Times New Roman" w:hAnsi="Times New Roman" w:cs="Times New Roman"/>
          <w:sz w:val="28"/>
          <w:szCs w:val="28"/>
          <w:u w:val="single"/>
          <w:lang w:eastAsia="ru-RU"/>
        </w:rPr>
        <w:tab/>
      </w:r>
      <w:r w:rsidRPr="00AB5061">
        <w:rPr>
          <w:rFonts w:ascii="Times New Roman" w:eastAsia="Times New Roman" w:hAnsi="Times New Roman" w:cs="Times New Roman"/>
          <w:sz w:val="28"/>
          <w:szCs w:val="28"/>
          <w:u w:val="single"/>
          <w:lang w:val="ru-RU" w:eastAsia="ru-RU"/>
        </w:rPr>
        <w:t xml:space="preserve">             </w:t>
      </w:r>
      <w:r w:rsidRPr="00BC5779">
        <w:rPr>
          <w:rFonts w:ascii="Times New Roman" w:eastAsia="Times New Roman" w:hAnsi="Times New Roman" w:cs="Times New Roman"/>
          <w:sz w:val="28"/>
          <w:szCs w:val="28"/>
          <w:u w:val="single"/>
          <w:lang w:eastAsia="ru-RU"/>
        </w:rPr>
        <w:t xml:space="preserve">   Пазій О.Е.</w:t>
      </w:r>
    </w:p>
    <w:p w:rsidR="00BC5779" w:rsidRPr="00BC5779" w:rsidRDefault="00BC5779" w:rsidP="00BC5779">
      <w:pPr>
        <w:spacing w:after="0" w:line="480" w:lineRule="auto"/>
        <w:jc w:val="both"/>
        <w:rPr>
          <w:rFonts w:ascii="Times New Roman" w:eastAsia="Times New Roman" w:hAnsi="Times New Roman" w:cs="Times New Roman"/>
          <w:sz w:val="28"/>
          <w:szCs w:val="28"/>
          <w:lang w:eastAsia="ru-RU"/>
        </w:rPr>
      </w:pP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t>(підпис)</w:t>
      </w:r>
    </w:p>
    <w:p w:rsidR="00BC5779" w:rsidRPr="00BC5779" w:rsidRDefault="00BC5779" w:rsidP="00BC5779">
      <w:pPr>
        <w:spacing w:after="0" w:line="240" w:lineRule="auto"/>
        <w:jc w:val="both"/>
        <w:rPr>
          <w:rFonts w:ascii="Times New Roman" w:eastAsia="Times New Roman" w:hAnsi="Times New Roman" w:cs="Times New Roman"/>
          <w:sz w:val="28"/>
          <w:szCs w:val="28"/>
          <w:u w:val="single"/>
          <w:lang w:eastAsia="ru-RU"/>
        </w:rPr>
      </w:pP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t xml:space="preserve">Керівник </w:t>
      </w:r>
      <w:r>
        <w:rPr>
          <w:rFonts w:ascii="Times New Roman" w:eastAsia="Times New Roman" w:hAnsi="Times New Roman" w:cs="Times New Roman"/>
          <w:sz w:val="28"/>
          <w:szCs w:val="28"/>
          <w:u w:val="single"/>
          <w:lang w:eastAsia="ru-RU"/>
        </w:rPr>
        <w:tab/>
      </w:r>
      <w:r>
        <w:rPr>
          <w:rFonts w:ascii="Times New Roman" w:eastAsia="Times New Roman" w:hAnsi="Times New Roman" w:cs="Times New Roman"/>
          <w:sz w:val="28"/>
          <w:szCs w:val="28"/>
          <w:u w:val="single"/>
          <w:lang w:eastAsia="ru-RU"/>
        </w:rPr>
        <w:tab/>
      </w:r>
      <w:r w:rsidRPr="00AB5061">
        <w:rPr>
          <w:rFonts w:ascii="Times New Roman" w:eastAsia="Times New Roman" w:hAnsi="Times New Roman" w:cs="Times New Roman"/>
          <w:sz w:val="28"/>
          <w:szCs w:val="28"/>
          <w:u w:val="single"/>
          <w:lang w:eastAsia="ru-RU"/>
        </w:rPr>
        <w:t xml:space="preserve">      </w:t>
      </w:r>
      <w:r w:rsidRPr="00BC5779">
        <w:rPr>
          <w:rFonts w:ascii="Times New Roman" w:eastAsia="Times New Roman" w:hAnsi="Times New Roman" w:cs="Times New Roman"/>
          <w:sz w:val="28"/>
          <w:szCs w:val="28"/>
          <w:u w:val="single"/>
          <w:lang w:eastAsia="ru-RU"/>
        </w:rPr>
        <w:t xml:space="preserve">             Капінос М.М.   </w:t>
      </w:r>
    </w:p>
    <w:p w:rsidR="00BC5779" w:rsidRPr="00BC5779" w:rsidRDefault="00BC5779" w:rsidP="00BC5779">
      <w:pPr>
        <w:spacing w:after="0" w:line="480" w:lineRule="auto"/>
        <w:jc w:val="both"/>
        <w:rPr>
          <w:rFonts w:ascii="Times New Roman" w:eastAsia="Times New Roman" w:hAnsi="Times New Roman" w:cs="Times New Roman"/>
          <w:sz w:val="28"/>
          <w:szCs w:val="28"/>
          <w:lang w:eastAsia="ru-RU"/>
        </w:rPr>
      </w:pP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t>(підпис)</w:t>
      </w:r>
    </w:p>
    <w:p w:rsidR="00BC5779" w:rsidRPr="00BC5779" w:rsidRDefault="00BC5779" w:rsidP="00BC5779">
      <w:pPr>
        <w:spacing w:after="0" w:line="240" w:lineRule="auto"/>
        <w:jc w:val="both"/>
        <w:rPr>
          <w:rFonts w:ascii="Times New Roman" w:eastAsia="Times New Roman" w:hAnsi="Times New Roman" w:cs="Times New Roman"/>
          <w:sz w:val="28"/>
          <w:szCs w:val="28"/>
          <w:u w:val="single"/>
          <w:lang w:eastAsia="ru-RU"/>
        </w:rPr>
      </w:pP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t xml:space="preserve">Рецензент </w:t>
      </w:r>
      <w:r>
        <w:rPr>
          <w:rFonts w:ascii="Times New Roman" w:eastAsia="Times New Roman" w:hAnsi="Times New Roman" w:cs="Times New Roman"/>
          <w:sz w:val="28"/>
          <w:szCs w:val="28"/>
          <w:u w:val="single"/>
          <w:lang w:eastAsia="ru-RU"/>
        </w:rPr>
        <w:tab/>
      </w:r>
      <w:r>
        <w:rPr>
          <w:rFonts w:ascii="Times New Roman" w:eastAsia="Times New Roman" w:hAnsi="Times New Roman" w:cs="Times New Roman"/>
          <w:sz w:val="28"/>
          <w:szCs w:val="28"/>
          <w:u w:val="single"/>
          <w:lang w:eastAsia="ru-RU"/>
        </w:rPr>
        <w:tab/>
        <w:t xml:space="preserve">      </w:t>
      </w:r>
      <w:r w:rsidRPr="00AB5061">
        <w:rPr>
          <w:rFonts w:ascii="Times New Roman" w:eastAsia="Times New Roman" w:hAnsi="Times New Roman" w:cs="Times New Roman"/>
          <w:sz w:val="28"/>
          <w:szCs w:val="28"/>
          <w:u w:val="single"/>
          <w:lang w:val="ru-RU" w:eastAsia="ru-RU"/>
        </w:rPr>
        <w:t xml:space="preserve">   </w:t>
      </w:r>
      <w:r>
        <w:rPr>
          <w:rFonts w:ascii="Times New Roman" w:eastAsia="Times New Roman" w:hAnsi="Times New Roman" w:cs="Times New Roman"/>
          <w:sz w:val="28"/>
          <w:szCs w:val="28"/>
          <w:u w:val="single"/>
          <w:lang w:eastAsia="ru-RU"/>
        </w:rPr>
        <w:t xml:space="preserve">     Носовицька М.В</w:t>
      </w:r>
    </w:p>
    <w:p w:rsidR="00BC5779" w:rsidRPr="00BC5779" w:rsidRDefault="00BC5779" w:rsidP="00BC5779">
      <w:pPr>
        <w:spacing w:after="0" w:line="480" w:lineRule="auto"/>
        <w:jc w:val="both"/>
        <w:rPr>
          <w:rFonts w:ascii="Times New Roman" w:eastAsia="Times New Roman" w:hAnsi="Times New Roman" w:cs="Times New Roman"/>
          <w:sz w:val="28"/>
          <w:szCs w:val="28"/>
          <w:lang w:eastAsia="ru-RU"/>
        </w:rPr>
      </w:pP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t>(підпис)</w:t>
      </w:r>
    </w:p>
    <w:p w:rsidR="00BC5779" w:rsidRPr="00BC5779" w:rsidRDefault="00BC5779" w:rsidP="00BC5779">
      <w:pPr>
        <w:spacing w:after="0" w:line="240" w:lineRule="auto"/>
        <w:jc w:val="both"/>
        <w:rPr>
          <w:rFonts w:ascii="Times New Roman" w:eastAsia="Times New Roman" w:hAnsi="Times New Roman" w:cs="Times New Roman"/>
          <w:sz w:val="28"/>
          <w:szCs w:val="28"/>
          <w:u w:val="single"/>
          <w:lang w:eastAsia="ru-RU"/>
        </w:rPr>
      </w:pP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t xml:space="preserve">Нормоконтроль </w:t>
      </w:r>
      <w:r w:rsidRPr="00BC5779">
        <w:rPr>
          <w:rFonts w:ascii="Times New Roman" w:eastAsia="Times New Roman" w:hAnsi="Times New Roman" w:cs="Times New Roman"/>
          <w:sz w:val="28"/>
          <w:szCs w:val="28"/>
          <w:u w:val="single"/>
          <w:lang w:eastAsia="ru-RU"/>
        </w:rPr>
        <w:tab/>
      </w:r>
      <w:r w:rsidRPr="00BC5779">
        <w:rPr>
          <w:rFonts w:ascii="Times New Roman" w:eastAsia="Times New Roman" w:hAnsi="Times New Roman" w:cs="Times New Roman"/>
          <w:sz w:val="28"/>
          <w:szCs w:val="28"/>
          <w:u w:val="single"/>
          <w:lang w:eastAsia="ru-RU"/>
        </w:rPr>
        <w:tab/>
        <w:t xml:space="preserve">  Лерантович Е.Т.</w:t>
      </w:r>
      <w:r w:rsidRPr="00BC5779">
        <w:rPr>
          <w:rFonts w:ascii="Times New Roman" w:eastAsia="Times New Roman" w:hAnsi="Times New Roman" w:cs="Times New Roman"/>
          <w:sz w:val="28"/>
          <w:szCs w:val="28"/>
          <w:u w:val="single"/>
          <w:lang w:eastAsia="ru-RU"/>
        </w:rPr>
        <w:tab/>
      </w:r>
    </w:p>
    <w:p w:rsidR="00BC5779" w:rsidRPr="00BC5779" w:rsidRDefault="00BC5779" w:rsidP="00BC5779">
      <w:pPr>
        <w:spacing w:after="0" w:line="312" w:lineRule="auto"/>
        <w:jc w:val="both"/>
        <w:rPr>
          <w:rFonts w:ascii="Times New Roman" w:eastAsia="Times New Roman" w:hAnsi="Times New Roman" w:cs="Times New Roman"/>
          <w:sz w:val="28"/>
          <w:szCs w:val="28"/>
          <w:lang w:eastAsia="ru-RU"/>
        </w:rPr>
      </w:pP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r>
      <w:r w:rsidRPr="00BC5779">
        <w:rPr>
          <w:rFonts w:ascii="Times New Roman" w:eastAsia="Times New Roman" w:hAnsi="Times New Roman" w:cs="Times New Roman"/>
          <w:sz w:val="28"/>
          <w:szCs w:val="28"/>
          <w:lang w:eastAsia="ru-RU"/>
        </w:rPr>
        <w:tab/>
        <w:t>(підпис)</w:t>
      </w:r>
    </w:p>
    <w:p w:rsidR="00BC5779" w:rsidRPr="00BC5779" w:rsidRDefault="00BC5779" w:rsidP="00BC5779">
      <w:pPr>
        <w:spacing w:after="0" w:line="240" w:lineRule="auto"/>
        <w:jc w:val="center"/>
        <w:rPr>
          <w:rFonts w:ascii="Times New Roman" w:eastAsia="Times New Roman" w:hAnsi="Times New Roman" w:cs="Times New Roman"/>
          <w:sz w:val="28"/>
          <w:szCs w:val="28"/>
          <w:lang w:eastAsia="ru-RU"/>
        </w:rPr>
      </w:pPr>
    </w:p>
    <w:p w:rsidR="00BC5779" w:rsidRPr="00BC5779" w:rsidRDefault="00BC5779" w:rsidP="00BC5779">
      <w:pPr>
        <w:spacing w:after="0" w:line="240" w:lineRule="auto"/>
        <w:jc w:val="center"/>
        <w:rPr>
          <w:rFonts w:ascii="Times New Roman" w:eastAsia="Times New Roman" w:hAnsi="Times New Roman" w:cs="Times New Roman"/>
          <w:sz w:val="28"/>
          <w:szCs w:val="28"/>
          <w:lang w:eastAsia="ru-RU"/>
        </w:rPr>
      </w:pPr>
    </w:p>
    <w:p w:rsidR="00BC5779" w:rsidRPr="00BC5779" w:rsidRDefault="00BC5779" w:rsidP="00BC5779">
      <w:pPr>
        <w:spacing w:after="0" w:line="240" w:lineRule="auto"/>
        <w:jc w:val="center"/>
        <w:rPr>
          <w:rFonts w:ascii="Times New Roman" w:eastAsia="Times New Roman" w:hAnsi="Times New Roman" w:cs="Times New Roman"/>
          <w:sz w:val="28"/>
          <w:szCs w:val="28"/>
          <w:lang w:eastAsia="ru-RU"/>
        </w:rPr>
      </w:pPr>
    </w:p>
    <w:p w:rsidR="00BC5779" w:rsidRPr="00BC5779" w:rsidRDefault="00BC5779" w:rsidP="00BC5779">
      <w:pPr>
        <w:spacing w:after="0" w:line="240" w:lineRule="auto"/>
        <w:rPr>
          <w:rFonts w:ascii="Times New Roman" w:eastAsia="Times New Roman" w:hAnsi="Times New Roman" w:cs="Times New Roman"/>
          <w:sz w:val="28"/>
          <w:szCs w:val="28"/>
          <w:lang w:eastAsia="ru-RU"/>
        </w:rPr>
      </w:pPr>
    </w:p>
    <w:p w:rsidR="0048672F" w:rsidRPr="00AB5061" w:rsidRDefault="00BC5779" w:rsidP="00AB5061">
      <w:pPr>
        <w:spacing w:after="0" w:line="240" w:lineRule="auto"/>
        <w:jc w:val="center"/>
        <w:rPr>
          <w:rFonts w:ascii="Times New Roman" w:eastAsia="Times New Roman" w:hAnsi="Times New Roman" w:cs="Times New Roman"/>
          <w:sz w:val="28"/>
          <w:szCs w:val="28"/>
          <w:lang w:eastAsia="ru-RU"/>
        </w:rPr>
      </w:pPr>
      <w:r w:rsidRPr="00BC5779">
        <w:rPr>
          <w:rFonts w:ascii="Times New Roman" w:eastAsia="Times New Roman" w:hAnsi="Times New Roman" w:cs="Times New Roman"/>
          <w:sz w:val="28"/>
          <w:szCs w:val="28"/>
          <w:lang w:eastAsia="ru-RU"/>
        </w:rPr>
        <w:t>Харків 2019</w:t>
      </w:r>
    </w:p>
    <w:p w:rsidR="0048672F" w:rsidRPr="00C04792" w:rsidRDefault="0048672F" w:rsidP="0048672F">
      <w:pPr>
        <w:spacing w:line="360" w:lineRule="auto"/>
        <w:jc w:val="center"/>
        <w:rPr>
          <w:rFonts w:ascii="Times New Roman" w:hAnsi="Times New Roman" w:cs="Times New Roman"/>
          <w:b/>
          <w:sz w:val="28"/>
          <w:szCs w:val="28"/>
          <w:lang w:val="ru-RU"/>
        </w:rPr>
      </w:pPr>
      <w:r w:rsidRPr="00C04792">
        <w:rPr>
          <w:rFonts w:ascii="Times New Roman" w:hAnsi="Times New Roman" w:cs="Times New Roman"/>
          <w:b/>
          <w:sz w:val="28"/>
          <w:szCs w:val="28"/>
          <w:lang w:val="ru-RU"/>
        </w:rPr>
        <w:lastRenderedPageBreak/>
        <w:t>ЗМІСТ</w:t>
      </w:r>
    </w:p>
    <w:p w:rsidR="0048672F" w:rsidRPr="00617D9D" w:rsidRDefault="0048672F" w:rsidP="0048672F">
      <w:pPr>
        <w:spacing w:line="360" w:lineRule="auto"/>
        <w:ind w:firstLine="567"/>
        <w:jc w:val="both"/>
        <w:rPr>
          <w:rFonts w:ascii="Times New Roman" w:hAnsi="Times New Roman" w:cs="Times New Roman"/>
          <w:sz w:val="28"/>
          <w:szCs w:val="28"/>
          <w:lang w:val="ru-RU"/>
        </w:rPr>
      </w:pPr>
    </w:p>
    <w:p w:rsidR="0048672F" w:rsidRPr="00EC7858" w:rsidRDefault="0048672F" w:rsidP="0048672F">
      <w:pPr>
        <w:spacing w:line="360" w:lineRule="auto"/>
        <w:ind w:firstLine="567"/>
        <w:jc w:val="both"/>
        <w:rPr>
          <w:rFonts w:ascii="Times New Roman" w:hAnsi="Times New Roman" w:cs="Times New Roman"/>
          <w:sz w:val="28"/>
          <w:szCs w:val="28"/>
          <w:lang w:val="ru-RU"/>
        </w:rPr>
      </w:pPr>
      <w:r w:rsidRPr="00617D9D">
        <w:rPr>
          <w:rFonts w:ascii="Times New Roman" w:hAnsi="Times New Roman" w:cs="Times New Roman"/>
          <w:sz w:val="28"/>
          <w:szCs w:val="28"/>
          <w:lang w:val="ru-RU"/>
        </w:rPr>
        <w:t>ПЕРЕЛІК ПОЗНАЧЕНЬ ТА СКОРОЧЕНЬ</w:t>
      </w:r>
      <w:r w:rsidRPr="00EC7858">
        <w:rPr>
          <w:rFonts w:ascii="Times New Roman" w:hAnsi="Times New Roman" w:cs="Times New Roman"/>
          <w:sz w:val="28"/>
          <w:szCs w:val="28"/>
          <w:lang w:val="ru-RU"/>
        </w:rPr>
        <w:t>…………………………………...4</w:t>
      </w:r>
    </w:p>
    <w:p w:rsidR="0048672F" w:rsidRPr="00EC7858" w:rsidRDefault="0048672F" w:rsidP="0048672F">
      <w:pPr>
        <w:spacing w:line="360" w:lineRule="auto"/>
        <w:ind w:firstLine="567"/>
        <w:jc w:val="both"/>
        <w:rPr>
          <w:rFonts w:ascii="Times New Roman" w:hAnsi="Times New Roman" w:cs="Times New Roman"/>
          <w:sz w:val="28"/>
          <w:szCs w:val="28"/>
          <w:lang w:val="ru-RU"/>
        </w:rPr>
      </w:pPr>
      <w:r w:rsidRPr="00617D9D">
        <w:rPr>
          <w:rFonts w:ascii="Times New Roman" w:hAnsi="Times New Roman" w:cs="Times New Roman"/>
          <w:sz w:val="28"/>
          <w:szCs w:val="28"/>
          <w:lang w:val="ru-RU"/>
        </w:rPr>
        <w:t>ВСТУП</w:t>
      </w:r>
      <w:r w:rsidRPr="00EC7858">
        <w:rPr>
          <w:rFonts w:ascii="Times New Roman" w:hAnsi="Times New Roman" w:cs="Times New Roman"/>
          <w:sz w:val="28"/>
          <w:szCs w:val="28"/>
          <w:lang w:val="ru-RU"/>
        </w:rPr>
        <w:t>…………………………………………………………………………..5</w:t>
      </w:r>
    </w:p>
    <w:p w:rsidR="0048672F" w:rsidRPr="00EC7858" w:rsidRDefault="0048672F" w:rsidP="0048672F">
      <w:pPr>
        <w:spacing w:line="360" w:lineRule="auto"/>
        <w:ind w:firstLine="567"/>
        <w:jc w:val="both"/>
        <w:rPr>
          <w:rFonts w:ascii="Times New Roman" w:hAnsi="Times New Roman" w:cs="Times New Roman"/>
          <w:sz w:val="28"/>
          <w:szCs w:val="28"/>
          <w:lang w:val="ru-RU"/>
        </w:rPr>
      </w:pPr>
      <w:r w:rsidRPr="00617D9D">
        <w:rPr>
          <w:rFonts w:ascii="Times New Roman" w:hAnsi="Times New Roman" w:cs="Times New Roman"/>
          <w:sz w:val="28"/>
          <w:szCs w:val="28"/>
          <w:lang w:val="ru-RU"/>
        </w:rPr>
        <w:t>1 ПАТЕНТНИЙ ЛАНДШАФТ – СУЧАСНИЙ ІНСТРУМЕНТАРІЙ КОМЕРЦІАЛІЗАЦІЇ ТЕХНОЛОГІЙ</w:t>
      </w:r>
      <w:r w:rsidRPr="00EC7858">
        <w:rPr>
          <w:rFonts w:ascii="Times New Roman" w:hAnsi="Times New Roman" w:cs="Times New Roman"/>
          <w:sz w:val="28"/>
          <w:szCs w:val="28"/>
          <w:lang w:val="ru-RU"/>
        </w:rPr>
        <w:t>………………………………………………</w:t>
      </w:r>
      <w:r>
        <w:rPr>
          <w:rFonts w:ascii="Times New Roman" w:hAnsi="Times New Roman" w:cs="Times New Roman"/>
          <w:sz w:val="28"/>
          <w:szCs w:val="28"/>
          <w:lang w:val="ru-RU"/>
        </w:rPr>
        <w:t>.8</w:t>
      </w:r>
    </w:p>
    <w:p w:rsidR="0048672F" w:rsidRPr="00EC7858" w:rsidRDefault="0048672F" w:rsidP="0048672F">
      <w:pPr>
        <w:spacing w:line="360" w:lineRule="auto"/>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1.1 </w:t>
      </w:r>
      <w:r w:rsidRPr="00EC7858">
        <w:rPr>
          <w:rFonts w:ascii="Times New Roman" w:hAnsi="Times New Roman" w:cs="Times New Roman"/>
          <w:sz w:val="28"/>
          <w:szCs w:val="28"/>
          <w:lang w:val="ru-RU"/>
        </w:rPr>
        <w:t>Підготовка до комерціалізації технологій…………………………….8</w:t>
      </w:r>
    </w:p>
    <w:p w:rsidR="0048672F" w:rsidRPr="00617D9D" w:rsidRDefault="0048672F" w:rsidP="0048672F">
      <w:pPr>
        <w:spacing w:line="360" w:lineRule="auto"/>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1.2 Патентний ландшафт…</w:t>
      </w:r>
      <w:r w:rsidRPr="00EC7858">
        <w:rPr>
          <w:rFonts w:ascii="Times New Roman" w:hAnsi="Times New Roman" w:cs="Times New Roman"/>
          <w:sz w:val="28"/>
          <w:szCs w:val="28"/>
          <w:lang w:val="ru-RU"/>
        </w:rPr>
        <w:t>……………………………………………</w:t>
      </w:r>
      <w:r>
        <w:rPr>
          <w:rFonts w:ascii="Times New Roman" w:hAnsi="Times New Roman" w:cs="Times New Roman"/>
          <w:sz w:val="28"/>
          <w:szCs w:val="28"/>
          <w:lang w:val="ru-RU"/>
        </w:rPr>
        <w:t>…</w:t>
      </w:r>
      <w:r w:rsidRPr="00EC7858">
        <w:rPr>
          <w:rFonts w:ascii="Times New Roman" w:hAnsi="Times New Roman" w:cs="Times New Roman"/>
          <w:sz w:val="28"/>
          <w:szCs w:val="28"/>
          <w:lang w:val="ru-RU"/>
        </w:rPr>
        <w:t>.</w:t>
      </w:r>
      <w:r>
        <w:rPr>
          <w:rFonts w:ascii="Times New Roman" w:hAnsi="Times New Roman" w:cs="Times New Roman"/>
          <w:sz w:val="28"/>
          <w:szCs w:val="28"/>
          <w:lang w:val="ru-RU"/>
        </w:rPr>
        <w:t>14</w:t>
      </w:r>
      <w:r w:rsidRPr="00617D9D">
        <w:rPr>
          <w:rFonts w:ascii="Times New Roman" w:hAnsi="Times New Roman" w:cs="Times New Roman"/>
          <w:sz w:val="28"/>
          <w:szCs w:val="28"/>
          <w:lang w:val="ru-RU"/>
        </w:rPr>
        <w:t xml:space="preserve"> </w:t>
      </w:r>
    </w:p>
    <w:p w:rsidR="0048672F" w:rsidRPr="00EC7858" w:rsidRDefault="0048672F" w:rsidP="0048672F">
      <w:pPr>
        <w:spacing w:line="360" w:lineRule="auto"/>
        <w:ind w:firstLine="1418"/>
        <w:jc w:val="both"/>
        <w:rPr>
          <w:rFonts w:ascii="Times New Roman" w:hAnsi="Times New Roman" w:cs="Times New Roman"/>
          <w:sz w:val="28"/>
          <w:szCs w:val="28"/>
          <w:lang w:val="ru-RU"/>
        </w:rPr>
      </w:pPr>
      <w:r w:rsidRPr="00617D9D">
        <w:rPr>
          <w:rFonts w:ascii="Times New Roman" w:hAnsi="Times New Roman" w:cs="Times New Roman"/>
          <w:sz w:val="28"/>
          <w:szCs w:val="28"/>
          <w:lang w:val="ru-RU"/>
        </w:rPr>
        <w:t>1.2.1 Загальні відомості</w:t>
      </w:r>
      <w:r w:rsidRPr="00EC7858">
        <w:rPr>
          <w:rFonts w:ascii="Times New Roman" w:hAnsi="Times New Roman" w:cs="Times New Roman"/>
          <w:sz w:val="28"/>
          <w:szCs w:val="28"/>
          <w:lang w:val="ru-RU"/>
        </w:rPr>
        <w:t>……………………………………………….14</w:t>
      </w:r>
    </w:p>
    <w:p w:rsidR="0048672F" w:rsidRPr="00EC7858" w:rsidRDefault="0048672F" w:rsidP="0048672F">
      <w:pPr>
        <w:spacing w:line="360" w:lineRule="auto"/>
        <w:ind w:firstLine="1418"/>
        <w:jc w:val="both"/>
        <w:rPr>
          <w:rFonts w:ascii="Times New Roman" w:hAnsi="Times New Roman" w:cs="Times New Roman"/>
          <w:sz w:val="28"/>
          <w:szCs w:val="28"/>
          <w:lang w:val="ru-RU"/>
        </w:rPr>
      </w:pPr>
      <w:r w:rsidRPr="00617D9D">
        <w:rPr>
          <w:rFonts w:ascii="Times New Roman" w:hAnsi="Times New Roman" w:cs="Times New Roman"/>
          <w:sz w:val="28"/>
          <w:szCs w:val="28"/>
          <w:lang w:val="ru-RU"/>
        </w:rPr>
        <w:t>1.2.2 Методологія розробки патентних ландшафтів</w:t>
      </w:r>
      <w:r w:rsidRPr="00EC7858">
        <w:rPr>
          <w:rFonts w:ascii="Times New Roman" w:hAnsi="Times New Roman" w:cs="Times New Roman"/>
          <w:sz w:val="28"/>
          <w:szCs w:val="28"/>
          <w:lang w:val="ru-RU"/>
        </w:rPr>
        <w:t>………………...18</w:t>
      </w:r>
    </w:p>
    <w:p w:rsidR="0048672F" w:rsidRPr="00EC7858" w:rsidRDefault="0048672F" w:rsidP="0048672F">
      <w:pPr>
        <w:spacing w:line="360" w:lineRule="auto"/>
        <w:ind w:firstLine="1418"/>
        <w:jc w:val="both"/>
        <w:rPr>
          <w:rFonts w:ascii="Times New Roman" w:hAnsi="Times New Roman" w:cs="Times New Roman"/>
          <w:sz w:val="28"/>
          <w:szCs w:val="28"/>
          <w:lang w:val="ru-RU"/>
        </w:rPr>
      </w:pPr>
      <w:r w:rsidRPr="00617D9D">
        <w:rPr>
          <w:rFonts w:ascii="Times New Roman" w:hAnsi="Times New Roman" w:cs="Times New Roman"/>
          <w:sz w:val="28"/>
          <w:szCs w:val="28"/>
          <w:lang w:val="ru-RU"/>
        </w:rPr>
        <w:t>1.2.3 Аналітичні інструменти з відкритим програмним кодом</w:t>
      </w:r>
      <w:r w:rsidR="00AB5061">
        <w:rPr>
          <w:rFonts w:ascii="Times New Roman" w:hAnsi="Times New Roman" w:cs="Times New Roman"/>
          <w:sz w:val="28"/>
          <w:szCs w:val="28"/>
          <w:lang w:val="ru-RU"/>
        </w:rPr>
        <w:t>.</w:t>
      </w:r>
      <w:r w:rsidRPr="00EC7858">
        <w:rPr>
          <w:rFonts w:ascii="Times New Roman" w:hAnsi="Times New Roman" w:cs="Times New Roman"/>
          <w:sz w:val="28"/>
          <w:szCs w:val="28"/>
          <w:lang w:val="ru-RU"/>
        </w:rPr>
        <w:t>…….21</w:t>
      </w:r>
    </w:p>
    <w:p w:rsidR="0048672F" w:rsidRPr="00EC7858" w:rsidRDefault="0048672F" w:rsidP="0048672F">
      <w:pPr>
        <w:spacing w:line="360" w:lineRule="auto"/>
        <w:ind w:firstLine="1418"/>
        <w:jc w:val="both"/>
        <w:rPr>
          <w:rFonts w:ascii="Times New Roman" w:hAnsi="Times New Roman" w:cs="Times New Roman"/>
          <w:sz w:val="28"/>
          <w:szCs w:val="28"/>
          <w:lang w:val="ru-RU"/>
        </w:rPr>
      </w:pPr>
      <w:r w:rsidRPr="00617D9D">
        <w:rPr>
          <w:rFonts w:ascii="Times New Roman" w:hAnsi="Times New Roman" w:cs="Times New Roman"/>
          <w:sz w:val="28"/>
          <w:szCs w:val="28"/>
          <w:lang w:val="ru-RU"/>
        </w:rPr>
        <w:t>1.2.4 Комерційні патентні бази даних</w:t>
      </w:r>
      <w:r w:rsidRPr="00EC7858">
        <w:rPr>
          <w:rFonts w:ascii="Times New Roman" w:hAnsi="Times New Roman" w:cs="Times New Roman"/>
          <w:sz w:val="28"/>
          <w:szCs w:val="28"/>
          <w:lang w:val="ru-RU"/>
        </w:rPr>
        <w:t>………………………………..32</w:t>
      </w:r>
    </w:p>
    <w:p w:rsidR="0048672F" w:rsidRPr="00617D9D" w:rsidRDefault="0048672F" w:rsidP="0048672F">
      <w:pPr>
        <w:spacing w:line="360" w:lineRule="auto"/>
        <w:ind w:firstLine="567"/>
        <w:jc w:val="both"/>
        <w:rPr>
          <w:rFonts w:ascii="Times New Roman" w:hAnsi="Times New Roman" w:cs="Times New Roman"/>
          <w:sz w:val="28"/>
          <w:szCs w:val="28"/>
          <w:lang w:val="ru-RU"/>
        </w:rPr>
      </w:pPr>
      <w:r w:rsidRPr="00617D9D">
        <w:rPr>
          <w:rFonts w:ascii="Times New Roman" w:hAnsi="Times New Roman" w:cs="Times New Roman"/>
          <w:sz w:val="28"/>
          <w:szCs w:val="28"/>
          <w:lang w:val="ru-RU"/>
        </w:rPr>
        <w:t xml:space="preserve">2 ДОСЛІДЖЕННЯ ПАТЕНТНОГО ЛАНДШАФТУ ТЕХНОЛОГІЇ </w:t>
      </w:r>
      <w:r w:rsidRPr="00617D9D">
        <w:rPr>
          <w:rFonts w:ascii="Times New Roman" w:hAnsi="Times New Roman" w:cs="Times New Roman"/>
          <w:sz w:val="28"/>
          <w:szCs w:val="28"/>
          <w:lang w:val="en-US"/>
        </w:rPr>
        <w:t>BLOCKCHAIN</w:t>
      </w:r>
      <w:r>
        <w:rPr>
          <w:rFonts w:ascii="Times New Roman" w:hAnsi="Times New Roman" w:cs="Times New Roman"/>
          <w:sz w:val="28"/>
          <w:szCs w:val="28"/>
          <w:lang w:val="ru-RU"/>
        </w:rPr>
        <w:t>…</w:t>
      </w:r>
      <w:r w:rsidRPr="00EC7858">
        <w:rPr>
          <w:rFonts w:ascii="Times New Roman" w:hAnsi="Times New Roman" w:cs="Times New Roman"/>
          <w:sz w:val="28"/>
          <w:szCs w:val="28"/>
          <w:lang w:val="ru-RU"/>
        </w:rPr>
        <w:t>…………………………………………………………………</w:t>
      </w:r>
      <w:r>
        <w:rPr>
          <w:rFonts w:ascii="Times New Roman" w:hAnsi="Times New Roman" w:cs="Times New Roman"/>
          <w:sz w:val="28"/>
          <w:szCs w:val="28"/>
          <w:lang w:val="ru-RU"/>
        </w:rPr>
        <w:t>.</w:t>
      </w:r>
      <w:r w:rsidRPr="00EC7858">
        <w:rPr>
          <w:rFonts w:ascii="Times New Roman" w:hAnsi="Times New Roman" w:cs="Times New Roman"/>
          <w:sz w:val="28"/>
          <w:szCs w:val="28"/>
          <w:lang w:val="ru-RU"/>
        </w:rPr>
        <w:t>..36</w:t>
      </w:r>
      <w:r w:rsidRPr="00617D9D">
        <w:rPr>
          <w:rFonts w:ascii="Times New Roman" w:hAnsi="Times New Roman" w:cs="Times New Roman"/>
          <w:sz w:val="28"/>
          <w:szCs w:val="28"/>
          <w:lang w:val="ru-RU"/>
        </w:rPr>
        <w:t xml:space="preserve"> </w:t>
      </w:r>
    </w:p>
    <w:p w:rsidR="0048672F" w:rsidRPr="00617D9D" w:rsidRDefault="0048672F" w:rsidP="0048672F">
      <w:pPr>
        <w:spacing w:line="360" w:lineRule="auto"/>
        <w:ind w:firstLine="993"/>
        <w:jc w:val="both"/>
        <w:rPr>
          <w:rFonts w:ascii="Times New Roman" w:hAnsi="Times New Roman" w:cs="Times New Roman"/>
          <w:sz w:val="28"/>
          <w:szCs w:val="28"/>
          <w:lang w:val="ru-RU"/>
        </w:rPr>
      </w:pPr>
      <w:r w:rsidRPr="00617D9D">
        <w:rPr>
          <w:rFonts w:ascii="Times New Roman" w:hAnsi="Times New Roman" w:cs="Times New Roman"/>
          <w:sz w:val="28"/>
          <w:szCs w:val="28"/>
          <w:lang w:val="ru-RU"/>
        </w:rPr>
        <w:t xml:space="preserve">2.1 Теоретичні засади технології </w:t>
      </w:r>
      <w:r w:rsidRPr="00617D9D">
        <w:rPr>
          <w:rFonts w:ascii="Times New Roman" w:hAnsi="Times New Roman" w:cs="Times New Roman"/>
          <w:sz w:val="28"/>
          <w:szCs w:val="28"/>
          <w:lang w:val="en-US"/>
        </w:rPr>
        <w:t>Blockchain</w:t>
      </w:r>
      <w:r w:rsidRPr="00EC7858">
        <w:rPr>
          <w:rFonts w:ascii="Times New Roman" w:hAnsi="Times New Roman" w:cs="Times New Roman"/>
          <w:sz w:val="28"/>
          <w:szCs w:val="28"/>
          <w:lang w:val="ru-RU"/>
        </w:rPr>
        <w:t>………………………</w:t>
      </w:r>
      <w:r>
        <w:rPr>
          <w:rFonts w:ascii="Times New Roman" w:hAnsi="Times New Roman" w:cs="Times New Roman"/>
          <w:sz w:val="28"/>
          <w:szCs w:val="28"/>
          <w:lang w:val="ru-RU"/>
        </w:rPr>
        <w:t>…</w:t>
      </w:r>
      <w:r w:rsidRPr="00EC7858">
        <w:rPr>
          <w:rFonts w:ascii="Times New Roman" w:hAnsi="Times New Roman" w:cs="Times New Roman"/>
          <w:sz w:val="28"/>
          <w:szCs w:val="28"/>
          <w:lang w:val="ru-RU"/>
        </w:rPr>
        <w:t>…</w:t>
      </w:r>
      <w:r w:rsidRPr="0048672F">
        <w:rPr>
          <w:rFonts w:ascii="Times New Roman" w:hAnsi="Times New Roman" w:cs="Times New Roman"/>
          <w:sz w:val="28"/>
          <w:szCs w:val="28"/>
          <w:lang w:val="ru-RU"/>
        </w:rPr>
        <w:t>.</w:t>
      </w:r>
      <w:r w:rsidRPr="00EC7858">
        <w:rPr>
          <w:rFonts w:ascii="Times New Roman" w:hAnsi="Times New Roman" w:cs="Times New Roman"/>
          <w:sz w:val="28"/>
          <w:szCs w:val="28"/>
          <w:lang w:val="ru-RU"/>
        </w:rPr>
        <w:t>36</w:t>
      </w:r>
    </w:p>
    <w:p w:rsidR="0048672F" w:rsidRPr="00617D9D" w:rsidRDefault="0048672F" w:rsidP="0048672F">
      <w:pPr>
        <w:spacing w:line="360" w:lineRule="auto"/>
        <w:ind w:firstLine="993"/>
        <w:jc w:val="both"/>
        <w:rPr>
          <w:rFonts w:ascii="Times New Roman" w:hAnsi="Times New Roman" w:cs="Times New Roman"/>
          <w:sz w:val="28"/>
          <w:szCs w:val="28"/>
          <w:lang w:val="ru-RU"/>
        </w:rPr>
      </w:pPr>
      <w:r w:rsidRPr="00617D9D">
        <w:rPr>
          <w:rFonts w:ascii="Times New Roman" w:hAnsi="Times New Roman" w:cs="Times New Roman"/>
          <w:sz w:val="28"/>
          <w:szCs w:val="28"/>
          <w:lang w:val="ru-RU"/>
        </w:rPr>
        <w:t xml:space="preserve">2.2 Побудова патентого ландшафту технології </w:t>
      </w:r>
      <w:r w:rsidRPr="00617D9D">
        <w:rPr>
          <w:rFonts w:ascii="Times New Roman" w:hAnsi="Times New Roman" w:cs="Times New Roman"/>
          <w:sz w:val="28"/>
          <w:szCs w:val="28"/>
          <w:lang w:val="en-US"/>
        </w:rPr>
        <w:t>Blockchain</w:t>
      </w:r>
      <w:r w:rsidRPr="00EC7858">
        <w:rPr>
          <w:rFonts w:ascii="Times New Roman" w:hAnsi="Times New Roman" w:cs="Times New Roman"/>
          <w:sz w:val="28"/>
          <w:szCs w:val="28"/>
          <w:lang w:val="ru-RU"/>
        </w:rPr>
        <w:t>………</w:t>
      </w:r>
      <w:r w:rsidR="00AB5061">
        <w:rPr>
          <w:rFonts w:ascii="Times New Roman" w:hAnsi="Times New Roman" w:cs="Times New Roman"/>
          <w:sz w:val="28"/>
          <w:szCs w:val="28"/>
          <w:lang w:val="ru-RU"/>
        </w:rPr>
        <w:t>.</w:t>
      </w:r>
      <w:r>
        <w:rPr>
          <w:rFonts w:ascii="Times New Roman" w:hAnsi="Times New Roman" w:cs="Times New Roman"/>
          <w:sz w:val="28"/>
          <w:szCs w:val="28"/>
          <w:lang w:val="ru-RU"/>
        </w:rPr>
        <w:t>……</w:t>
      </w:r>
      <w:r w:rsidRPr="00EC7858">
        <w:rPr>
          <w:rFonts w:ascii="Times New Roman" w:hAnsi="Times New Roman" w:cs="Times New Roman"/>
          <w:sz w:val="28"/>
          <w:szCs w:val="28"/>
          <w:lang w:val="ru-RU"/>
        </w:rPr>
        <w:t>.42</w:t>
      </w:r>
    </w:p>
    <w:p w:rsidR="0048672F" w:rsidRPr="00C04792" w:rsidRDefault="0048672F" w:rsidP="0048672F">
      <w:pPr>
        <w:spacing w:line="360" w:lineRule="auto"/>
        <w:ind w:firstLine="567"/>
        <w:jc w:val="both"/>
        <w:rPr>
          <w:rFonts w:ascii="Times New Roman" w:hAnsi="Times New Roman" w:cs="Times New Roman"/>
          <w:sz w:val="28"/>
          <w:szCs w:val="28"/>
          <w:lang w:val="ru-RU"/>
        </w:rPr>
      </w:pPr>
      <w:r w:rsidRPr="00617D9D">
        <w:rPr>
          <w:rFonts w:ascii="Times New Roman" w:hAnsi="Times New Roman" w:cs="Times New Roman"/>
          <w:sz w:val="28"/>
          <w:szCs w:val="28"/>
          <w:lang w:val="ru-RU"/>
        </w:rPr>
        <w:t xml:space="preserve">3 ЕКОНОМІЧНИЙ АНАЛІЗ ДОЦІЛЬНОСТІ ВПРОВАДЖЕННЯ ТЕХНОЛОГІЇ </w:t>
      </w:r>
      <w:r w:rsidRPr="00617D9D">
        <w:rPr>
          <w:rFonts w:ascii="Times New Roman" w:hAnsi="Times New Roman" w:cs="Times New Roman"/>
          <w:sz w:val="28"/>
          <w:szCs w:val="28"/>
          <w:lang w:val="en-US"/>
        </w:rPr>
        <w:t>IBM</w:t>
      </w:r>
      <w:r w:rsidRPr="00617D9D">
        <w:rPr>
          <w:rFonts w:ascii="Times New Roman" w:hAnsi="Times New Roman" w:cs="Times New Roman"/>
          <w:sz w:val="28"/>
          <w:szCs w:val="28"/>
          <w:lang w:val="ru-RU"/>
        </w:rPr>
        <w:t xml:space="preserve"> </w:t>
      </w:r>
      <w:r w:rsidRPr="00617D9D">
        <w:rPr>
          <w:rFonts w:ascii="Times New Roman" w:hAnsi="Times New Roman" w:cs="Times New Roman"/>
          <w:sz w:val="28"/>
          <w:szCs w:val="28"/>
          <w:lang w:val="en-US"/>
        </w:rPr>
        <w:t>BLOCKCHAIN</w:t>
      </w:r>
      <w:r w:rsidRPr="00617D9D">
        <w:rPr>
          <w:rFonts w:ascii="Times New Roman" w:hAnsi="Times New Roman" w:cs="Times New Roman"/>
          <w:sz w:val="28"/>
          <w:szCs w:val="28"/>
          <w:lang w:val="ru-RU"/>
        </w:rPr>
        <w:t xml:space="preserve"> В ГІПОТЕТИЧНІЙ КОМПАНІЇ</w:t>
      </w:r>
      <w:r w:rsidRPr="00C04792">
        <w:rPr>
          <w:rFonts w:ascii="Times New Roman" w:hAnsi="Times New Roman" w:cs="Times New Roman"/>
          <w:sz w:val="28"/>
          <w:szCs w:val="28"/>
          <w:lang w:val="ru-RU"/>
        </w:rPr>
        <w:t>……</w:t>
      </w:r>
      <w:r w:rsidR="00AB5061">
        <w:rPr>
          <w:rFonts w:ascii="Times New Roman" w:hAnsi="Times New Roman" w:cs="Times New Roman"/>
          <w:sz w:val="28"/>
          <w:szCs w:val="28"/>
          <w:lang w:val="ru-RU"/>
        </w:rPr>
        <w:t>.</w:t>
      </w:r>
      <w:r w:rsidRPr="00C04792">
        <w:rPr>
          <w:rFonts w:ascii="Times New Roman" w:hAnsi="Times New Roman" w:cs="Times New Roman"/>
          <w:sz w:val="28"/>
          <w:szCs w:val="28"/>
          <w:lang w:val="ru-RU"/>
        </w:rPr>
        <w:t>……..69</w:t>
      </w:r>
    </w:p>
    <w:p w:rsidR="0048672F" w:rsidRPr="00617D9D" w:rsidRDefault="0048672F" w:rsidP="0048672F">
      <w:pPr>
        <w:spacing w:line="360" w:lineRule="auto"/>
        <w:ind w:firstLine="993"/>
        <w:jc w:val="both"/>
        <w:rPr>
          <w:rFonts w:ascii="Times New Roman" w:hAnsi="Times New Roman" w:cs="Times New Roman"/>
          <w:sz w:val="28"/>
          <w:szCs w:val="28"/>
          <w:lang w:val="ru-RU"/>
        </w:rPr>
      </w:pPr>
      <w:r w:rsidRPr="00617D9D">
        <w:rPr>
          <w:rFonts w:ascii="Times New Roman" w:hAnsi="Times New Roman" w:cs="Times New Roman"/>
          <w:sz w:val="28"/>
          <w:szCs w:val="28"/>
          <w:lang w:val="ru-RU"/>
        </w:rPr>
        <w:t xml:space="preserve">3.1 Особливості технології </w:t>
      </w:r>
      <w:r w:rsidRPr="00617D9D">
        <w:rPr>
          <w:rFonts w:ascii="Times New Roman" w:hAnsi="Times New Roman" w:cs="Times New Roman"/>
          <w:sz w:val="28"/>
          <w:szCs w:val="28"/>
          <w:lang w:val="en-US"/>
        </w:rPr>
        <w:t>IBM</w:t>
      </w:r>
      <w:r w:rsidRPr="00617D9D">
        <w:rPr>
          <w:rFonts w:ascii="Times New Roman" w:hAnsi="Times New Roman" w:cs="Times New Roman"/>
          <w:sz w:val="28"/>
          <w:szCs w:val="28"/>
          <w:lang w:val="ru-RU"/>
        </w:rPr>
        <w:t xml:space="preserve"> </w:t>
      </w:r>
      <w:r w:rsidRPr="00617D9D">
        <w:rPr>
          <w:rFonts w:ascii="Times New Roman" w:hAnsi="Times New Roman" w:cs="Times New Roman"/>
          <w:sz w:val="28"/>
          <w:szCs w:val="28"/>
          <w:lang w:val="en-US"/>
        </w:rPr>
        <w:t>Blockchain</w:t>
      </w:r>
      <w:r w:rsidRPr="00C04792">
        <w:rPr>
          <w:rFonts w:ascii="Times New Roman" w:hAnsi="Times New Roman" w:cs="Times New Roman"/>
          <w:sz w:val="28"/>
          <w:szCs w:val="28"/>
          <w:lang w:val="ru-RU"/>
        </w:rPr>
        <w:t>…</w:t>
      </w:r>
      <w:r>
        <w:rPr>
          <w:rFonts w:ascii="Times New Roman" w:hAnsi="Times New Roman" w:cs="Times New Roman"/>
          <w:sz w:val="28"/>
          <w:szCs w:val="28"/>
          <w:lang w:val="ru-RU"/>
        </w:rPr>
        <w:t>.</w:t>
      </w:r>
      <w:r w:rsidR="00AB5061">
        <w:rPr>
          <w:rFonts w:ascii="Times New Roman" w:hAnsi="Times New Roman" w:cs="Times New Roman"/>
          <w:sz w:val="28"/>
          <w:szCs w:val="28"/>
          <w:lang w:val="ru-RU"/>
        </w:rPr>
        <w:t>.</w:t>
      </w:r>
      <w:r w:rsidRPr="00C04792">
        <w:rPr>
          <w:rFonts w:ascii="Times New Roman" w:hAnsi="Times New Roman" w:cs="Times New Roman"/>
          <w:sz w:val="28"/>
          <w:szCs w:val="28"/>
          <w:lang w:val="ru-RU"/>
        </w:rPr>
        <w:t>………………………....69</w:t>
      </w:r>
    </w:p>
    <w:p w:rsidR="0048672F" w:rsidRPr="00C04792" w:rsidRDefault="0048672F" w:rsidP="0048672F">
      <w:pPr>
        <w:spacing w:line="360" w:lineRule="auto"/>
        <w:ind w:firstLine="993"/>
        <w:jc w:val="both"/>
        <w:rPr>
          <w:rFonts w:ascii="Times New Roman" w:hAnsi="Times New Roman" w:cs="Times New Roman"/>
          <w:sz w:val="28"/>
          <w:szCs w:val="28"/>
          <w:lang w:val="ru-RU"/>
        </w:rPr>
      </w:pPr>
      <w:r w:rsidRPr="00617D9D">
        <w:rPr>
          <w:rFonts w:ascii="Times New Roman" w:hAnsi="Times New Roman" w:cs="Times New Roman"/>
          <w:sz w:val="28"/>
          <w:szCs w:val="28"/>
          <w:lang w:val="ru-RU"/>
        </w:rPr>
        <w:t xml:space="preserve">3.2 Економічна ефективність впровадження технології </w:t>
      </w:r>
      <w:r w:rsidRPr="00617D9D">
        <w:rPr>
          <w:rFonts w:ascii="Times New Roman" w:hAnsi="Times New Roman" w:cs="Times New Roman"/>
          <w:sz w:val="28"/>
          <w:szCs w:val="28"/>
          <w:lang w:val="en-US"/>
        </w:rPr>
        <w:t>Blockchain</w:t>
      </w:r>
      <w:r w:rsidRPr="00617D9D">
        <w:rPr>
          <w:rFonts w:ascii="Times New Roman" w:hAnsi="Times New Roman" w:cs="Times New Roman"/>
          <w:sz w:val="28"/>
          <w:szCs w:val="28"/>
          <w:lang w:val="ru-RU"/>
        </w:rPr>
        <w:t xml:space="preserve"> на прикладі гіпотетичної організації</w:t>
      </w:r>
      <w:r w:rsidRPr="00C04792">
        <w:rPr>
          <w:rFonts w:ascii="Times New Roman" w:hAnsi="Times New Roman" w:cs="Times New Roman"/>
          <w:sz w:val="28"/>
          <w:szCs w:val="28"/>
          <w:lang w:val="ru-RU"/>
        </w:rPr>
        <w:t>………………………</w:t>
      </w:r>
      <w:r w:rsidR="00AB5061">
        <w:rPr>
          <w:rFonts w:ascii="Times New Roman" w:hAnsi="Times New Roman" w:cs="Times New Roman"/>
          <w:sz w:val="28"/>
          <w:szCs w:val="28"/>
          <w:lang w:val="ru-RU"/>
        </w:rPr>
        <w:t>.</w:t>
      </w:r>
      <w:r w:rsidR="00C3376E">
        <w:rPr>
          <w:rFonts w:ascii="Times New Roman" w:hAnsi="Times New Roman" w:cs="Times New Roman"/>
          <w:sz w:val="28"/>
          <w:szCs w:val="28"/>
          <w:lang w:val="ru-RU"/>
        </w:rPr>
        <w:t>…………………………83</w:t>
      </w:r>
    </w:p>
    <w:p w:rsidR="0048672F" w:rsidRPr="00C04792" w:rsidRDefault="0048672F" w:rsidP="0048672F">
      <w:pPr>
        <w:spacing w:line="360" w:lineRule="auto"/>
        <w:ind w:firstLine="567"/>
        <w:jc w:val="both"/>
        <w:rPr>
          <w:rFonts w:ascii="Times New Roman" w:hAnsi="Times New Roman" w:cs="Times New Roman"/>
          <w:sz w:val="28"/>
          <w:szCs w:val="28"/>
          <w:lang w:val="ru-RU"/>
        </w:rPr>
      </w:pPr>
      <w:r w:rsidRPr="00617D9D">
        <w:rPr>
          <w:rFonts w:ascii="Times New Roman" w:hAnsi="Times New Roman" w:cs="Times New Roman"/>
          <w:sz w:val="28"/>
          <w:szCs w:val="28"/>
          <w:lang w:val="ru-RU"/>
        </w:rPr>
        <w:t xml:space="preserve">4 </w:t>
      </w:r>
      <w:r>
        <w:rPr>
          <w:rFonts w:ascii="Times New Roman" w:hAnsi="Times New Roman" w:cs="Times New Roman"/>
          <w:sz w:val="28"/>
          <w:szCs w:val="28"/>
        </w:rPr>
        <w:t>О</w:t>
      </w:r>
      <w:r w:rsidRPr="00617D9D">
        <w:rPr>
          <w:rFonts w:ascii="Times New Roman" w:hAnsi="Times New Roman" w:cs="Times New Roman"/>
          <w:sz w:val="28"/>
          <w:szCs w:val="28"/>
          <w:lang w:val="ru-RU"/>
        </w:rPr>
        <w:t>хорона праці і навколишнього середовища</w:t>
      </w:r>
      <w:r w:rsidRPr="00C04792">
        <w:rPr>
          <w:rFonts w:ascii="Times New Roman" w:hAnsi="Times New Roman" w:cs="Times New Roman"/>
          <w:sz w:val="28"/>
          <w:szCs w:val="28"/>
          <w:lang w:val="ru-RU"/>
        </w:rPr>
        <w:t>…</w:t>
      </w:r>
      <w:r w:rsidR="00AB5061">
        <w:rPr>
          <w:rFonts w:ascii="Times New Roman" w:hAnsi="Times New Roman" w:cs="Times New Roman"/>
          <w:sz w:val="28"/>
          <w:szCs w:val="28"/>
          <w:lang w:val="ru-RU"/>
        </w:rPr>
        <w:t>.</w:t>
      </w:r>
      <w:r w:rsidRPr="00C04792">
        <w:rPr>
          <w:rFonts w:ascii="Times New Roman" w:hAnsi="Times New Roman" w:cs="Times New Roman"/>
          <w:sz w:val="28"/>
          <w:szCs w:val="28"/>
          <w:lang w:val="ru-RU"/>
        </w:rPr>
        <w:t>……</w:t>
      </w:r>
      <w:r>
        <w:rPr>
          <w:rFonts w:ascii="Times New Roman" w:hAnsi="Times New Roman" w:cs="Times New Roman"/>
          <w:sz w:val="28"/>
          <w:szCs w:val="28"/>
          <w:lang w:val="ru-RU"/>
        </w:rPr>
        <w:t>………………..</w:t>
      </w:r>
      <w:r w:rsidRPr="00C04792">
        <w:rPr>
          <w:rFonts w:ascii="Times New Roman" w:hAnsi="Times New Roman" w:cs="Times New Roman"/>
          <w:sz w:val="28"/>
          <w:szCs w:val="28"/>
          <w:lang w:val="ru-RU"/>
        </w:rPr>
        <w:t>……</w:t>
      </w:r>
      <w:r w:rsidR="00C3376E">
        <w:rPr>
          <w:rFonts w:ascii="Times New Roman" w:hAnsi="Times New Roman" w:cs="Times New Roman"/>
          <w:sz w:val="28"/>
          <w:szCs w:val="28"/>
          <w:lang w:val="ru-RU"/>
        </w:rPr>
        <w:t>87</w:t>
      </w:r>
    </w:p>
    <w:p w:rsidR="0048672F" w:rsidRPr="00C04792" w:rsidRDefault="0048672F" w:rsidP="0048672F">
      <w:pPr>
        <w:spacing w:line="360" w:lineRule="auto"/>
        <w:ind w:firstLine="993"/>
        <w:jc w:val="both"/>
        <w:rPr>
          <w:rFonts w:ascii="Times New Roman" w:hAnsi="Times New Roman" w:cs="Times New Roman"/>
          <w:sz w:val="28"/>
          <w:szCs w:val="28"/>
          <w:lang w:val="ru-RU"/>
        </w:rPr>
      </w:pPr>
      <w:r w:rsidRPr="00617D9D">
        <w:rPr>
          <w:rFonts w:ascii="Times New Roman" w:hAnsi="Times New Roman" w:cs="Times New Roman"/>
          <w:sz w:val="28"/>
          <w:szCs w:val="28"/>
          <w:lang w:val="ru-RU"/>
        </w:rPr>
        <w:t>4.1 Аналіз умов праці на робочому місці</w:t>
      </w:r>
      <w:r w:rsidRPr="00C04792">
        <w:rPr>
          <w:rFonts w:ascii="Times New Roman" w:hAnsi="Times New Roman" w:cs="Times New Roman"/>
          <w:sz w:val="28"/>
          <w:szCs w:val="28"/>
          <w:lang w:val="ru-RU"/>
        </w:rPr>
        <w:t>……</w:t>
      </w:r>
      <w:r w:rsidR="00AB5061">
        <w:rPr>
          <w:rFonts w:ascii="Times New Roman" w:hAnsi="Times New Roman" w:cs="Times New Roman"/>
          <w:sz w:val="28"/>
          <w:szCs w:val="28"/>
          <w:lang w:val="ru-RU"/>
        </w:rPr>
        <w:t>.</w:t>
      </w:r>
      <w:r w:rsidRPr="00C04792">
        <w:rPr>
          <w:rFonts w:ascii="Times New Roman" w:hAnsi="Times New Roman" w:cs="Times New Roman"/>
          <w:sz w:val="28"/>
          <w:szCs w:val="28"/>
          <w:lang w:val="ru-RU"/>
        </w:rPr>
        <w:t>…</w:t>
      </w:r>
      <w:r>
        <w:rPr>
          <w:rFonts w:ascii="Times New Roman" w:hAnsi="Times New Roman" w:cs="Times New Roman"/>
          <w:sz w:val="28"/>
          <w:szCs w:val="28"/>
          <w:lang w:val="ru-RU"/>
        </w:rPr>
        <w:t>…</w:t>
      </w:r>
      <w:r w:rsidRPr="00C04792">
        <w:rPr>
          <w:rFonts w:ascii="Times New Roman" w:hAnsi="Times New Roman" w:cs="Times New Roman"/>
          <w:sz w:val="28"/>
          <w:szCs w:val="28"/>
          <w:lang w:val="ru-RU"/>
        </w:rPr>
        <w:t>.………………</w:t>
      </w:r>
      <w:r>
        <w:rPr>
          <w:rFonts w:ascii="Times New Roman" w:hAnsi="Times New Roman" w:cs="Times New Roman"/>
          <w:sz w:val="28"/>
          <w:szCs w:val="28"/>
          <w:lang w:val="ru-RU"/>
        </w:rPr>
        <w:t>.</w:t>
      </w:r>
      <w:r w:rsidRPr="00C04792">
        <w:rPr>
          <w:rFonts w:ascii="Times New Roman" w:hAnsi="Times New Roman" w:cs="Times New Roman"/>
          <w:sz w:val="28"/>
          <w:szCs w:val="28"/>
          <w:lang w:val="ru-RU"/>
        </w:rPr>
        <w:t>……8</w:t>
      </w:r>
      <w:r w:rsidR="00C3376E">
        <w:rPr>
          <w:rFonts w:ascii="Times New Roman" w:hAnsi="Times New Roman" w:cs="Times New Roman"/>
          <w:sz w:val="28"/>
          <w:szCs w:val="28"/>
          <w:lang w:val="ru-RU"/>
        </w:rPr>
        <w:t>7</w:t>
      </w:r>
    </w:p>
    <w:p w:rsidR="0048672F" w:rsidRPr="00C04792" w:rsidRDefault="0048672F" w:rsidP="0048672F">
      <w:pPr>
        <w:spacing w:line="360" w:lineRule="auto"/>
        <w:ind w:firstLine="993"/>
        <w:jc w:val="both"/>
        <w:rPr>
          <w:rFonts w:ascii="Times New Roman" w:hAnsi="Times New Roman" w:cs="Times New Roman"/>
          <w:sz w:val="28"/>
          <w:szCs w:val="28"/>
          <w:lang w:val="ru-RU"/>
        </w:rPr>
      </w:pPr>
      <w:r w:rsidRPr="00AD4660">
        <w:rPr>
          <w:rFonts w:ascii="Times New Roman" w:hAnsi="Times New Roman" w:cs="Times New Roman"/>
          <w:sz w:val="28"/>
          <w:szCs w:val="28"/>
          <w:lang w:val="ru-RU"/>
        </w:rPr>
        <w:t>4.2 Захист від шкідливого впливу факторів виробничого середовища</w:t>
      </w:r>
      <w:r w:rsidRPr="00C04792">
        <w:rPr>
          <w:rFonts w:ascii="Times New Roman" w:hAnsi="Times New Roman" w:cs="Times New Roman"/>
          <w:sz w:val="28"/>
          <w:szCs w:val="28"/>
          <w:lang w:val="ru-RU"/>
        </w:rPr>
        <w:t>……………………………………………………………………</w:t>
      </w:r>
      <w:r>
        <w:rPr>
          <w:rFonts w:ascii="Times New Roman" w:hAnsi="Times New Roman" w:cs="Times New Roman"/>
          <w:sz w:val="28"/>
          <w:szCs w:val="28"/>
          <w:lang w:val="ru-RU"/>
        </w:rPr>
        <w:t>……</w:t>
      </w:r>
      <w:r w:rsidR="00C3376E">
        <w:rPr>
          <w:rFonts w:ascii="Times New Roman" w:hAnsi="Times New Roman" w:cs="Times New Roman"/>
          <w:sz w:val="28"/>
          <w:szCs w:val="28"/>
          <w:lang w:val="ru-RU"/>
        </w:rPr>
        <w:t>.88</w:t>
      </w:r>
    </w:p>
    <w:p w:rsidR="0048672F" w:rsidRPr="00C04792" w:rsidRDefault="0048672F" w:rsidP="0048672F">
      <w:pPr>
        <w:spacing w:line="360" w:lineRule="auto"/>
        <w:ind w:firstLine="993"/>
        <w:jc w:val="both"/>
        <w:rPr>
          <w:rFonts w:ascii="Times New Roman" w:hAnsi="Times New Roman" w:cs="Times New Roman"/>
          <w:sz w:val="28"/>
          <w:szCs w:val="28"/>
          <w:lang w:val="ru-RU"/>
        </w:rPr>
      </w:pPr>
      <w:r w:rsidRPr="00EC7858">
        <w:rPr>
          <w:rFonts w:ascii="Times New Roman" w:hAnsi="Times New Roman" w:cs="Times New Roman"/>
          <w:sz w:val="28"/>
          <w:szCs w:val="28"/>
          <w:lang w:val="ru-RU"/>
        </w:rPr>
        <w:lastRenderedPageBreak/>
        <w:t>4.3 Електробезпека</w:t>
      </w:r>
      <w:r w:rsidRPr="00C04792">
        <w:rPr>
          <w:rFonts w:ascii="Times New Roman" w:hAnsi="Times New Roman" w:cs="Times New Roman"/>
          <w:sz w:val="28"/>
          <w:szCs w:val="28"/>
          <w:lang w:val="ru-RU"/>
        </w:rPr>
        <w:t>…………………………………………………</w:t>
      </w:r>
      <w:r>
        <w:rPr>
          <w:rFonts w:ascii="Times New Roman" w:hAnsi="Times New Roman" w:cs="Times New Roman"/>
          <w:sz w:val="28"/>
          <w:szCs w:val="28"/>
          <w:lang w:val="ru-RU"/>
        </w:rPr>
        <w:t>……</w:t>
      </w:r>
      <w:r w:rsidRPr="00C04792">
        <w:rPr>
          <w:rFonts w:ascii="Times New Roman" w:hAnsi="Times New Roman" w:cs="Times New Roman"/>
          <w:sz w:val="28"/>
          <w:szCs w:val="28"/>
          <w:lang w:val="ru-RU"/>
        </w:rPr>
        <w:t>..91</w:t>
      </w:r>
    </w:p>
    <w:p w:rsidR="0048672F" w:rsidRPr="00C04792" w:rsidRDefault="0048672F" w:rsidP="0048672F">
      <w:pPr>
        <w:spacing w:line="360" w:lineRule="auto"/>
        <w:ind w:firstLine="993"/>
        <w:jc w:val="both"/>
        <w:rPr>
          <w:rFonts w:ascii="Times New Roman" w:hAnsi="Times New Roman" w:cs="Times New Roman"/>
          <w:sz w:val="28"/>
          <w:szCs w:val="28"/>
          <w:lang w:val="ru-RU"/>
        </w:rPr>
      </w:pPr>
      <w:r w:rsidRPr="00AD4660">
        <w:rPr>
          <w:rFonts w:ascii="Times New Roman" w:hAnsi="Times New Roman" w:cs="Times New Roman"/>
          <w:sz w:val="28"/>
          <w:szCs w:val="28"/>
          <w:lang w:val="ru-RU"/>
        </w:rPr>
        <w:t>4.4 Пожежна безпека</w:t>
      </w:r>
      <w:r w:rsidRPr="00C04792">
        <w:rPr>
          <w:rFonts w:ascii="Times New Roman" w:hAnsi="Times New Roman" w:cs="Times New Roman"/>
          <w:sz w:val="28"/>
          <w:szCs w:val="28"/>
          <w:lang w:val="ru-RU"/>
        </w:rPr>
        <w:t>……………………………………………………</w:t>
      </w:r>
      <w:r>
        <w:rPr>
          <w:rFonts w:ascii="Times New Roman" w:hAnsi="Times New Roman" w:cs="Times New Roman"/>
          <w:sz w:val="28"/>
          <w:szCs w:val="28"/>
          <w:lang w:val="ru-RU"/>
        </w:rPr>
        <w:t>..</w:t>
      </w:r>
      <w:r w:rsidR="00C3376E">
        <w:rPr>
          <w:rFonts w:ascii="Times New Roman" w:hAnsi="Times New Roman" w:cs="Times New Roman"/>
          <w:sz w:val="28"/>
          <w:szCs w:val="28"/>
          <w:lang w:val="ru-RU"/>
        </w:rPr>
        <w:t>.93</w:t>
      </w:r>
    </w:p>
    <w:p w:rsidR="0048672F" w:rsidRPr="00C04792" w:rsidRDefault="0048672F" w:rsidP="0048672F">
      <w:pPr>
        <w:spacing w:line="360" w:lineRule="auto"/>
        <w:ind w:firstLine="993"/>
        <w:jc w:val="both"/>
        <w:rPr>
          <w:rFonts w:ascii="Times New Roman" w:hAnsi="Times New Roman" w:cs="Times New Roman"/>
          <w:sz w:val="28"/>
          <w:szCs w:val="28"/>
          <w:lang w:val="ru-RU"/>
        </w:rPr>
      </w:pPr>
      <w:r w:rsidRPr="00AD4660">
        <w:rPr>
          <w:rFonts w:ascii="Times New Roman" w:hAnsi="Times New Roman" w:cs="Times New Roman"/>
          <w:sz w:val="28"/>
          <w:szCs w:val="28"/>
          <w:lang w:val="ru-RU"/>
        </w:rPr>
        <w:t>4.5 Охорона навколишнього середовища</w:t>
      </w:r>
      <w:r w:rsidRPr="00C04792">
        <w:rPr>
          <w:rFonts w:ascii="Times New Roman" w:hAnsi="Times New Roman" w:cs="Times New Roman"/>
          <w:sz w:val="28"/>
          <w:szCs w:val="28"/>
          <w:lang w:val="ru-RU"/>
        </w:rPr>
        <w:t>…………………………</w:t>
      </w:r>
      <w:r>
        <w:rPr>
          <w:rFonts w:ascii="Times New Roman" w:hAnsi="Times New Roman" w:cs="Times New Roman"/>
          <w:sz w:val="28"/>
          <w:szCs w:val="28"/>
          <w:lang w:val="ru-RU"/>
        </w:rPr>
        <w:t>…</w:t>
      </w:r>
      <w:r w:rsidR="00C3376E">
        <w:rPr>
          <w:rFonts w:ascii="Times New Roman" w:hAnsi="Times New Roman" w:cs="Times New Roman"/>
          <w:sz w:val="28"/>
          <w:szCs w:val="28"/>
          <w:lang w:val="ru-RU"/>
        </w:rPr>
        <w:t>…..95</w:t>
      </w:r>
    </w:p>
    <w:p w:rsidR="0048672F" w:rsidRPr="00C04792" w:rsidRDefault="0048672F" w:rsidP="0048672F">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5 Ц</w:t>
      </w:r>
      <w:r w:rsidRPr="00AD4660">
        <w:rPr>
          <w:rFonts w:ascii="Times New Roman" w:hAnsi="Times New Roman" w:cs="Times New Roman"/>
          <w:sz w:val="28"/>
          <w:szCs w:val="28"/>
          <w:lang w:val="ru-RU"/>
        </w:rPr>
        <w:t>ивільний захист</w:t>
      </w:r>
      <w:r w:rsidRPr="00C04792">
        <w:rPr>
          <w:rFonts w:ascii="Times New Roman" w:hAnsi="Times New Roman" w:cs="Times New Roman"/>
          <w:sz w:val="28"/>
          <w:szCs w:val="28"/>
          <w:lang w:val="ru-RU"/>
        </w:rPr>
        <w:t>…………</w:t>
      </w:r>
      <w:r>
        <w:rPr>
          <w:rFonts w:ascii="Times New Roman" w:hAnsi="Times New Roman" w:cs="Times New Roman"/>
          <w:sz w:val="28"/>
          <w:szCs w:val="28"/>
          <w:lang w:val="ru-RU"/>
        </w:rPr>
        <w:t>……..</w:t>
      </w:r>
      <w:r w:rsidR="00C3376E">
        <w:rPr>
          <w:rFonts w:ascii="Times New Roman" w:hAnsi="Times New Roman" w:cs="Times New Roman"/>
          <w:sz w:val="28"/>
          <w:szCs w:val="28"/>
          <w:lang w:val="ru-RU"/>
        </w:rPr>
        <w:t>…………………………………………..98</w:t>
      </w:r>
    </w:p>
    <w:p w:rsidR="0048672F" w:rsidRPr="00C04792" w:rsidRDefault="0048672F" w:rsidP="0048672F">
      <w:pPr>
        <w:spacing w:line="360" w:lineRule="auto"/>
        <w:ind w:firstLine="567"/>
        <w:jc w:val="both"/>
        <w:rPr>
          <w:rFonts w:ascii="Times New Roman" w:hAnsi="Times New Roman" w:cs="Times New Roman"/>
          <w:sz w:val="28"/>
          <w:szCs w:val="28"/>
          <w:lang w:val="ru-RU"/>
        </w:rPr>
      </w:pPr>
      <w:r w:rsidRPr="00AD4660">
        <w:rPr>
          <w:rFonts w:ascii="Times New Roman" w:hAnsi="Times New Roman" w:cs="Times New Roman"/>
          <w:sz w:val="28"/>
          <w:szCs w:val="28"/>
          <w:lang w:val="ru-RU"/>
        </w:rPr>
        <w:t>Висновок</w:t>
      </w:r>
      <w:r w:rsidRPr="00C04792">
        <w:rPr>
          <w:rFonts w:ascii="Times New Roman" w:hAnsi="Times New Roman" w:cs="Times New Roman"/>
          <w:sz w:val="28"/>
          <w:szCs w:val="28"/>
          <w:lang w:val="ru-RU"/>
        </w:rPr>
        <w:t>……………………………</w:t>
      </w:r>
      <w:r>
        <w:rPr>
          <w:rFonts w:ascii="Times New Roman" w:hAnsi="Times New Roman" w:cs="Times New Roman"/>
          <w:sz w:val="28"/>
          <w:szCs w:val="28"/>
          <w:lang w:val="ru-RU"/>
        </w:rPr>
        <w:t>…..</w:t>
      </w:r>
      <w:r w:rsidR="00C3376E">
        <w:rPr>
          <w:rFonts w:ascii="Times New Roman" w:hAnsi="Times New Roman" w:cs="Times New Roman"/>
          <w:sz w:val="28"/>
          <w:szCs w:val="28"/>
          <w:lang w:val="ru-RU"/>
        </w:rPr>
        <w:t>…………………………………….103</w:t>
      </w:r>
    </w:p>
    <w:p w:rsidR="0048672F" w:rsidRPr="00C04792" w:rsidRDefault="0048672F" w:rsidP="0048672F">
      <w:pPr>
        <w:spacing w:line="360" w:lineRule="auto"/>
        <w:ind w:firstLine="567"/>
        <w:jc w:val="both"/>
        <w:rPr>
          <w:rFonts w:ascii="Times New Roman" w:hAnsi="Times New Roman" w:cs="Times New Roman"/>
          <w:sz w:val="28"/>
          <w:szCs w:val="28"/>
          <w:lang w:val="ru-RU"/>
        </w:rPr>
      </w:pPr>
      <w:r w:rsidRPr="00AD4660">
        <w:rPr>
          <w:rFonts w:ascii="Times New Roman" w:hAnsi="Times New Roman" w:cs="Times New Roman"/>
          <w:sz w:val="28"/>
          <w:szCs w:val="28"/>
          <w:lang w:val="ru-RU"/>
        </w:rPr>
        <w:t>Список литератури</w:t>
      </w:r>
      <w:r w:rsidRPr="00C04792">
        <w:rPr>
          <w:rFonts w:ascii="Times New Roman" w:hAnsi="Times New Roman" w:cs="Times New Roman"/>
          <w:sz w:val="28"/>
          <w:szCs w:val="28"/>
          <w:lang w:val="ru-RU"/>
        </w:rPr>
        <w:t>……………………</w:t>
      </w:r>
      <w:r>
        <w:rPr>
          <w:rFonts w:ascii="Times New Roman" w:hAnsi="Times New Roman" w:cs="Times New Roman"/>
          <w:sz w:val="28"/>
          <w:szCs w:val="28"/>
          <w:lang w:val="ru-RU"/>
        </w:rPr>
        <w:t>……..</w:t>
      </w:r>
      <w:r w:rsidR="00C3376E">
        <w:rPr>
          <w:rFonts w:ascii="Times New Roman" w:hAnsi="Times New Roman" w:cs="Times New Roman"/>
          <w:sz w:val="28"/>
          <w:szCs w:val="28"/>
          <w:lang w:val="ru-RU"/>
        </w:rPr>
        <w:t>………………………………106</w:t>
      </w:r>
    </w:p>
    <w:p w:rsidR="0048672F" w:rsidRPr="00C04792" w:rsidRDefault="0048672F" w:rsidP="0048672F">
      <w:pPr>
        <w:spacing w:line="360" w:lineRule="auto"/>
        <w:ind w:firstLine="567"/>
        <w:jc w:val="both"/>
        <w:rPr>
          <w:rFonts w:ascii="Times New Roman" w:hAnsi="Times New Roman" w:cs="Times New Roman"/>
          <w:sz w:val="28"/>
          <w:szCs w:val="28"/>
          <w:lang w:val="ru-RU"/>
        </w:rPr>
      </w:pPr>
      <w:r w:rsidRPr="00AD4660">
        <w:rPr>
          <w:rFonts w:ascii="Times New Roman" w:hAnsi="Times New Roman" w:cs="Times New Roman"/>
          <w:sz w:val="28"/>
          <w:szCs w:val="28"/>
          <w:lang w:val="ru-RU"/>
        </w:rPr>
        <w:t>Додатки</w:t>
      </w:r>
      <w:r w:rsidRPr="00C04792">
        <w:rPr>
          <w:rFonts w:ascii="Times New Roman" w:hAnsi="Times New Roman" w:cs="Times New Roman"/>
          <w:sz w:val="28"/>
          <w:szCs w:val="28"/>
          <w:lang w:val="ru-RU"/>
        </w:rPr>
        <w:t>…………………………………………</w:t>
      </w:r>
      <w:r>
        <w:rPr>
          <w:rFonts w:ascii="Times New Roman" w:hAnsi="Times New Roman" w:cs="Times New Roman"/>
          <w:sz w:val="28"/>
          <w:szCs w:val="28"/>
          <w:lang w:val="ru-RU"/>
        </w:rPr>
        <w:t>…</w:t>
      </w:r>
      <w:r w:rsidRPr="00C04792">
        <w:rPr>
          <w:rFonts w:ascii="Times New Roman" w:hAnsi="Times New Roman" w:cs="Times New Roman"/>
          <w:sz w:val="28"/>
          <w:szCs w:val="28"/>
          <w:lang w:val="ru-RU"/>
        </w:rPr>
        <w:t>…………………………</w:t>
      </w:r>
      <w:r w:rsidR="00AB5061">
        <w:rPr>
          <w:rFonts w:ascii="Times New Roman" w:hAnsi="Times New Roman" w:cs="Times New Roman"/>
          <w:sz w:val="28"/>
          <w:szCs w:val="28"/>
          <w:lang w:val="ru-RU"/>
        </w:rPr>
        <w:t>.</w:t>
      </w:r>
      <w:r w:rsidR="00C3376E">
        <w:rPr>
          <w:rFonts w:ascii="Times New Roman" w:hAnsi="Times New Roman" w:cs="Times New Roman"/>
          <w:sz w:val="28"/>
          <w:szCs w:val="28"/>
          <w:lang w:val="ru-RU"/>
        </w:rPr>
        <w:t>109</w:t>
      </w:r>
    </w:p>
    <w:p w:rsidR="0048672F" w:rsidRPr="00C04792" w:rsidRDefault="00C3376E" w:rsidP="0048672F">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Додаток А</w:t>
      </w:r>
      <w:r w:rsidR="0048672F" w:rsidRPr="00C04792">
        <w:rPr>
          <w:rFonts w:ascii="Times New Roman" w:hAnsi="Times New Roman" w:cs="Times New Roman"/>
          <w:sz w:val="28"/>
          <w:szCs w:val="28"/>
          <w:lang w:val="ru-RU"/>
        </w:rPr>
        <w:t>…</w:t>
      </w:r>
      <w:r>
        <w:rPr>
          <w:rFonts w:ascii="Times New Roman" w:hAnsi="Times New Roman" w:cs="Times New Roman"/>
          <w:sz w:val="28"/>
          <w:szCs w:val="28"/>
          <w:lang w:val="ru-RU"/>
        </w:rPr>
        <w:t>….</w:t>
      </w:r>
      <w:r w:rsidR="00AB5061">
        <w:rPr>
          <w:rFonts w:ascii="Times New Roman" w:hAnsi="Times New Roman" w:cs="Times New Roman"/>
          <w:sz w:val="28"/>
          <w:szCs w:val="28"/>
          <w:lang w:val="ru-RU"/>
        </w:rPr>
        <w:t>…..</w:t>
      </w:r>
      <w:r w:rsidR="0048672F" w:rsidRPr="00C04792">
        <w:rPr>
          <w:rFonts w:ascii="Times New Roman" w:hAnsi="Times New Roman" w:cs="Times New Roman"/>
          <w:sz w:val="28"/>
          <w:szCs w:val="28"/>
          <w:lang w:val="ru-RU"/>
        </w:rPr>
        <w:t>…………………………………</w:t>
      </w:r>
      <w:r w:rsidR="0048672F">
        <w:rPr>
          <w:rFonts w:ascii="Times New Roman" w:hAnsi="Times New Roman" w:cs="Times New Roman"/>
          <w:sz w:val="28"/>
          <w:szCs w:val="28"/>
          <w:lang w:val="ru-RU"/>
        </w:rPr>
        <w:t>….</w:t>
      </w:r>
      <w:r w:rsidR="0048672F" w:rsidRPr="00C04792">
        <w:rPr>
          <w:rFonts w:ascii="Times New Roman" w:hAnsi="Times New Roman" w:cs="Times New Roman"/>
          <w:sz w:val="28"/>
          <w:szCs w:val="28"/>
          <w:lang w:val="ru-RU"/>
        </w:rPr>
        <w:t>……………………</w:t>
      </w:r>
      <w:r w:rsidR="00AB5061">
        <w:rPr>
          <w:rFonts w:ascii="Times New Roman" w:hAnsi="Times New Roman" w:cs="Times New Roman"/>
          <w:sz w:val="28"/>
          <w:szCs w:val="28"/>
          <w:lang w:val="ru-RU"/>
        </w:rPr>
        <w:t>.</w:t>
      </w:r>
      <w:r>
        <w:rPr>
          <w:rFonts w:ascii="Times New Roman" w:hAnsi="Times New Roman" w:cs="Times New Roman"/>
          <w:sz w:val="28"/>
          <w:szCs w:val="28"/>
          <w:lang w:val="ru-RU"/>
        </w:rPr>
        <w:t>110</w:t>
      </w:r>
    </w:p>
    <w:p w:rsidR="0048672F" w:rsidRPr="0048672F" w:rsidRDefault="00C3376E" w:rsidP="0048672F">
      <w:pPr>
        <w:spacing w:line="360" w:lineRule="auto"/>
        <w:ind w:firstLine="567"/>
        <w:jc w:val="both"/>
        <w:rPr>
          <w:rFonts w:ascii="Times New Roman" w:hAnsi="Times New Roman" w:cs="Times New Roman"/>
          <w:sz w:val="28"/>
          <w:szCs w:val="28"/>
          <w:lang w:val="ru-RU"/>
        </w:rPr>
      </w:pPr>
      <w:r w:rsidRPr="0048672F">
        <w:rPr>
          <w:rFonts w:ascii="Times New Roman" w:hAnsi="Times New Roman" w:cs="Times New Roman"/>
          <w:sz w:val="28"/>
          <w:szCs w:val="28"/>
          <w:lang w:val="ru-RU"/>
        </w:rPr>
        <w:t>Додат</w:t>
      </w:r>
      <w:r>
        <w:rPr>
          <w:rFonts w:ascii="Times New Roman" w:hAnsi="Times New Roman" w:cs="Times New Roman"/>
          <w:sz w:val="28"/>
          <w:szCs w:val="28"/>
          <w:lang w:val="ru-RU"/>
        </w:rPr>
        <w:t>ок Б…..…………………………………………………………………111</w:t>
      </w:r>
    </w:p>
    <w:p w:rsidR="00BC5779" w:rsidRDefault="00BC5779">
      <w:pPr>
        <w:spacing w:after="0" w:line="360" w:lineRule="auto"/>
        <w:ind w:firstLine="567"/>
        <w:jc w:val="center"/>
        <w:rPr>
          <w:rFonts w:ascii="Times New Roman" w:hAnsi="Times New Roman" w:cs="Times New Roman"/>
          <w:b/>
          <w:sz w:val="28"/>
          <w:szCs w:val="28"/>
          <w:lang w:val="ru-RU"/>
        </w:rPr>
      </w:pPr>
    </w:p>
    <w:p w:rsidR="0048672F" w:rsidRDefault="0048672F">
      <w:pPr>
        <w:spacing w:after="0" w:line="360" w:lineRule="auto"/>
        <w:ind w:firstLine="567"/>
        <w:jc w:val="center"/>
        <w:rPr>
          <w:rFonts w:ascii="Times New Roman" w:hAnsi="Times New Roman" w:cs="Times New Roman"/>
          <w:b/>
          <w:sz w:val="28"/>
          <w:szCs w:val="28"/>
          <w:lang w:val="ru-RU"/>
        </w:rPr>
      </w:pPr>
    </w:p>
    <w:p w:rsidR="0048672F" w:rsidRDefault="0048672F">
      <w:pPr>
        <w:spacing w:after="0" w:line="360" w:lineRule="auto"/>
        <w:ind w:firstLine="567"/>
        <w:jc w:val="center"/>
        <w:rPr>
          <w:rFonts w:ascii="Times New Roman" w:hAnsi="Times New Roman" w:cs="Times New Roman"/>
          <w:b/>
          <w:sz w:val="28"/>
          <w:szCs w:val="28"/>
          <w:lang w:val="ru-RU"/>
        </w:rPr>
      </w:pPr>
    </w:p>
    <w:p w:rsidR="0048672F" w:rsidRDefault="0048672F">
      <w:pPr>
        <w:spacing w:after="0" w:line="360" w:lineRule="auto"/>
        <w:ind w:firstLine="567"/>
        <w:jc w:val="center"/>
        <w:rPr>
          <w:rFonts w:ascii="Times New Roman" w:hAnsi="Times New Roman" w:cs="Times New Roman"/>
          <w:b/>
          <w:sz w:val="28"/>
          <w:szCs w:val="28"/>
          <w:lang w:val="ru-RU"/>
        </w:rPr>
      </w:pPr>
    </w:p>
    <w:p w:rsidR="0048672F" w:rsidRDefault="0048672F">
      <w:pPr>
        <w:spacing w:after="0" w:line="360" w:lineRule="auto"/>
        <w:ind w:firstLine="567"/>
        <w:jc w:val="center"/>
        <w:rPr>
          <w:rFonts w:ascii="Times New Roman" w:hAnsi="Times New Roman" w:cs="Times New Roman"/>
          <w:b/>
          <w:sz w:val="28"/>
          <w:szCs w:val="28"/>
          <w:lang w:val="ru-RU"/>
        </w:rPr>
      </w:pPr>
    </w:p>
    <w:p w:rsidR="0048672F" w:rsidRDefault="0048672F">
      <w:pPr>
        <w:spacing w:after="0" w:line="360" w:lineRule="auto"/>
        <w:ind w:firstLine="567"/>
        <w:jc w:val="center"/>
        <w:rPr>
          <w:rFonts w:ascii="Times New Roman" w:hAnsi="Times New Roman" w:cs="Times New Roman"/>
          <w:b/>
          <w:sz w:val="28"/>
          <w:szCs w:val="28"/>
          <w:lang w:val="ru-RU"/>
        </w:rPr>
      </w:pPr>
    </w:p>
    <w:p w:rsidR="0048672F" w:rsidRDefault="0048672F">
      <w:pPr>
        <w:spacing w:after="0" w:line="360" w:lineRule="auto"/>
        <w:ind w:firstLine="567"/>
        <w:jc w:val="center"/>
        <w:rPr>
          <w:rFonts w:ascii="Times New Roman" w:hAnsi="Times New Roman" w:cs="Times New Roman"/>
          <w:b/>
          <w:sz w:val="28"/>
          <w:szCs w:val="28"/>
          <w:lang w:val="ru-RU"/>
        </w:rPr>
      </w:pPr>
    </w:p>
    <w:p w:rsidR="0048672F" w:rsidRDefault="0048672F">
      <w:pPr>
        <w:spacing w:after="0" w:line="360" w:lineRule="auto"/>
        <w:ind w:firstLine="567"/>
        <w:jc w:val="center"/>
        <w:rPr>
          <w:rFonts w:ascii="Times New Roman" w:hAnsi="Times New Roman" w:cs="Times New Roman"/>
          <w:b/>
          <w:sz w:val="28"/>
          <w:szCs w:val="28"/>
          <w:lang w:val="ru-RU"/>
        </w:rPr>
      </w:pPr>
    </w:p>
    <w:p w:rsidR="0048672F" w:rsidRDefault="0048672F">
      <w:pPr>
        <w:spacing w:after="0" w:line="360" w:lineRule="auto"/>
        <w:ind w:firstLine="567"/>
        <w:jc w:val="center"/>
        <w:rPr>
          <w:rFonts w:ascii="Times New Roman" w:hAnsi="Times New Roman" w:cs="Times New Roman"/>
          <w:b/>
          <w:sz w:val="28"/>
          <w:szCs w:val="28"/>
          <w:lang w:val="ru-RU"/>
        </w:rPr>
      </w:pPr>
    </w:p>
    <w:p w:rsidR="0048672F" w:rsidRDefault="0048672F">
      <w:pPr>
        <w:spacing w:after="0" w:line="360" w:lineRule="auto"/>
        <w:ind w:firstLine="567"/>
        <w:jc w:val="center"/>
        <w:rPr>
          <w:rFonts w:ascii="Times New Roman" w:hAnsi="Times New Roman" w:cs="Times New Roman"/>
          <w:b/>
          <w:sz w:val="28"/>
          <w:szCs w:val="28"/>
          <w:lang w:val="ru-RU"/>
        </w:rPr>
      </w:pPr>
    </w:p>
    <w:p w:rsidR="0048672F" w:rsidRDefault="0048672F">
      <w:pPr>
        <w:spacing w:after="0" w:line="360" w:lineRule="auto"/>
        <w:ind w:firstLine="567"/>
        <w:jc w:val="center"/>
        <w:rPr>
          <w:rFonts w:ascii="Times New Roman" w:hAnsi="Times New Roman" w:cs="Times New Roman"/>
          <w:b/>
          <w:sz w:val="28"/>
          <w:szCs w:val="28"/>
          <w:lang w:val="ru-RU"/>
        </w:rPr>
      </w:pPr>
    </w:p>
    <w:p w:rsidR="0048672F" w:rsidRDefault="0048672F">
      <w:pPr>
        <w:spacing w:after="0" w:line="360" w:lineRule="auto"/>
        <w:ind w:firstLine="567"/>
        <w:jc w:val="center"/>
        <w:rPr>
          <w:rFonts w:ascii="Times New Roman" w:hAnsi="Times New Roman" w:cs="Times New Roman"/>
          <w:b/>
          <w:sz w:val="28"/>
          <w:szCs w:val="28"/>
          <w:lang w:val="ru-RU"/>
        </w:rPr>
      </w:pPr>
    </w:p>
    <w:p w:rsidR="0048672F" w:rsidRDefault="0048672F">
      <w:pPr>
        <w:spacing w:after="0" w:line="360" w:lineRule="auto"/>
        <w:ind w:firstLine="567"/>
        <w:jc w:val="center"/>
        <w:rPr>
          <w:rFonts w:ascii="Times New Roman" w:hAnsi="Times New Roman" w:cs="Times New Roman"/>
          <w:b/>
          <w:sz w:val="28"/>
          <w:szCs w:val="28"/>
          <w:lang w:val="ru-RU"/>
        </w:rPr>
      </w:pPr>
    </w:p>
    <w:p w:rsidR="0048672F" w:rsidRDefault="0048672F">
      <w:pPr>
        <w:spacing w:after="0" w:line="360" w:lineRule="auto"/>
        <w:ind w:firstLine="567"/>
        <w:jc w:val="center"/>
        <w:rPr>
          <w:rFonts w:ascii="Times New Roman" w:hAnsi="Times New Roman" w:cs="Times New Roman"/>
          <w:b/>
          <w:sz w:val="28"/>
          <w:szCs w:val="28"/>
          <w:lang w:val="ru-RU"/>
        </w:rPr>
      </w:pPr>
    </w:p>
    <w:p w:rsidR="0048672F" w:rsidRDefault="0048672F">
      <w:pPr>
        <w:spacing w:after="0" w:line="360" w:lineRule="auto"/>
        <w:ind w:firstLine="567"/>
        <w:jc w:val="center"/>
        <w:rPr>
          <w:rFonts w:ascii="Times New Roman" w:hAnsi="Times New Roman" w:cs="Times New Roman"/>
          <w:b/>
          <w:sz w:val="28"/>
          <w:szCs w:val="28"/>
          <w:lang w:val="ru-RU"/>
        </w:rPr>
      </w:pPr>
    </w:p>
    <w:p w:rsidR="0048672F" w:rsidRDefault="0048672F">
      <w:pPr>
        <w:spacing w:after="0" w:line="360" w:lineRule="auto"/>
        <w:ind w:firstLine="567"/>
        <w:jc w:val="center"/>
        <w:rPr>
          <w:rFonts w:ascii="Times New Roman" w:hAnsi="Times New Roman" w:cs="Times New Roman"/>
          <w:b/>
          <w:sz w:val="28"/>
          <w:szCs w:val="28"/>
          <w:lang w:val="ru-RU"/>
        </w:rPr>
      </w:pPr>
    </w:p>
    <w:p w:rsidR="0048672F" w:rsidRDefault="0048672F">
      <w:pPr>
        <w:spacing w:after="0" w:line="360" w:lineRule="auto"/>
        <w:ind w:firstLine="567"/>
        <w:jc w:val="center"/>
        <w:rPr>
          <w:rFonts w:ascii="Times New Roman" w:hAnsi="Times New Roman" w:cs="Times New Roman"/>
          <w:b/>
          <w:sz w:val="28"/>
          <w:szCs w:val="28"/>
          <w:lang w:val="ru-RU"/>
        </w:rPr>
      </w:pPr>
    </w:p>
    <w:p w:rsidR="0048672F" w:rsidRDefault="0048672F">
      <w:pPr>
        <w:spacing w:after="0" w:line="360" w:lineRule="auto"/>
        <w:ind w:firstLine="567"/>
        <w:jc w:val="center"/>
        <w:rPr>
          <w:rFonts w:ascii="Times New Roman" w:hAnsi="Times New Roman" w:cs="Times New Roman"/>
          <w:b/>
          <w:sz w:val="28"/>
          <w:szCs w:val="28"/>
          <w:lang w:val="ru-RU"/>
        </w:rPr>
      </w:pPr>
    </w:p>
    <w:p w:rsidR="0048672F" w:rsidRPr="0048672F" w:rsidRDefault="0048672F" w:rsidP="0048672F">
      <w:pPr>
        <w:spacing w:after="0" w:line="360" w:lineRule="auto"/>
        <w:rPr>
          <w:rFonts w:ascii="Times New Roman" w:hAnsi="Times New Roman" w:cs="Times New Roman"/>
          <w:b/>
          <w:sz w:val="28"/>
          <w:szCs w:val="28"/>
          <w:lang w:val="ru-RU"/>
        </w:rPr>
      </w:pPr>
    </w:p>
    <w:p w:rsidR="0039038D" w:rsidRPr="008D4FA6" w:rsidRDefault="008D4FA6">
      <w:pPr>
        <w:spacing w:after="0" w:line="360" w:lineRule="auto"/>
        <w:ind w:firstLine="567"/>
        <w:jc w:val="center"/>
        <w:rPr>
          <w:rFonts w:ascii="Times New Roman" w:hAnsi="Times New Roman" w:cs="Times New Roman"/>
          <w:b/>
          <w:sz w:val="28"/>
          <w:szCs w:val="28"/>
        </w:rPr>
      </w:pPr>
      <w:r w:rsidRPr="008D4FA6">
        <w:rPr>
          <w:rFonts w:ascii="Times New Roman" w:hAnsi="Times New Roman" w:cs="Times New Roman"/>
          <w:b/>
          <w:sz w:val="28"/>
          <w:szCs w:val="28"/>
        </w:rPr>
        <w:lastRenderedPageBreak/>
        <w:t>СПИСОК УМОВНИХ СКОРОЧЕНЬ</w:t>
      </w:r>
    </w:p>
    <w:p w:rsidR="0039038D" w:rsidRDefault="0039038D">
      <w:pPr>
        <w:spacing w:after="0" w:line="360" w:lineRule="auto"/>
        <w:ind w:firstLine="567"/>
        <w:jc w:val="center"/>
        <w:rPr>
          <w:rFonts w:ascii="Times New Roman" w:hAnsi="Times New Roman" w:cs="Times New Roman"/>
          <w:sz w:val="28"/>
          <w:szCs w:val="28"/>
        </w:rPr>
      </w:pP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ІВ – Інтелектуальна власність</w:t>
      </w:r>
      <w:r>
        <w:rPr>
          <w:rFonts w:ascii="Times New Roman" w:hAnsi="Times New Roman" w:cs="Times New Roman"/>
          <w:sz w:val="28"/>
          <w:szCs w:val="28"/>
          <w:lang w:val="ru-RU"/>
        </w:rPr>
        <w:t>;</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ОПІВ – Об’єкт права інтелектуальної власності</w:t>
      </w:r>
      <w:r>
        <w:rPr>
          <w:rFonts w:ascii="Times New Roman" w:hAnsi="Times New Roman" w:cs="Times New Roman"/>
          <w:sz w:val="28"/>
          <w:szCs w:val="28"/>
          <w:lang w:val="ru-RU"/>
        </w:rPr>
        <w:t>;</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ВОІВ </w:t>
      </w:r>
      <w:r>
        <w:rPr>
          <w:rFonts w:ascii="Arial" w:hAnsi="Arial" w:cs="Arial"/>
          <w:color w:val="222222"/>
          <w:sz w:val="21"/>
          <w:szCs w:val="21"/>
          <w:shd w:val="clear" w:color="auto" w:fill="FFFFFF"/>
        </w:rPr>
        <w:t>—</w:t>
      </w:r>
      <w:r>
        <w:rPr>
          <w:rFonts w:ascii="Times New Roman" w:hAnsi="Times New Roman" w:cs="Times New Roman"/>
          <w:sz w:val="28"/>
          <w:szCs w:val="28"/>
        </w:rPr>
        <w:t xml:space="preserve"> Всесвітня організація інтелектуальної власності</w:t>
      </w:r>
      <w:r>
        <w:rPr>
          <w:rFonts w:ascii="Times New Roman" w:hAnsi="Times New Roman" w:cs="Times New Roman"/>
          <w:sz w:val="28"/>
          <w:szCs w:val="28"/>
          <w:lang w:val="ru-RU"/>
        </w:rPr>
        <w:t>;</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НДДКР </w:t>
      </w:r>
      <w:r>
        <w:rPr>
          <w:rFonts w:ascii="Arial" w:hAnsi="Arial" w:cs="Arial"/>
          <w:color w:val="222222"/>
          <w:sz w:val="21"/>
          <w:szCs w:val="21"/>
          <w:shd w:val="clear" w:color="auto" w:fill="FFFFFF"/>
        </w:rPr>
        <w:t>—</w:t>
      </w:r>
      <w:r>
        <w:rPr>
          <w:rFonts w:ascii="Times New Roman" w:hAnsi="Times New Roman" w:cs="Times New Roman"/>
          <w:sz w:val="28"/>
          <w:szCs w:val="28"/>
        </w:rPr>
        <w:t xml:space="preserve"> Науково–дослідні та дослідно–конструкторські</w:t>
      </w:r>
      <w:r>
        <w:rPr>
          <w:rFonts w:ascii="Times New Roman" w:hAnsi="Times New Roman" w:cs="Times New Roman"/>
          <w:sz w:val="28"/>
          <w:szCs w:val="28"/>
          <w:lang w:val="ru-RU"/>
        </w:rPr>
        <w:t>;</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КРІВ </w:t>
      </w:r>
      <w:r>
        <w:rPr>
          <w:rFonts w:ascii="Arial" w:hAnsi="Arial" w:cs="Arial"/>
          <w:color w:val="222222"/>
          <w:sz w:val="21"/>
          <w:szCs w:val="21"/>
          <w:shd w:val="clear" w:color="auto" w:fill="FFFFFF"/>
        </w:rPr>
        <w:t>—</w:t>
      </w:r>
      <w:r>
        <w:rPr>
          <w:rFonts w:ascii="Times New Roman" w:hAnsi="Times New Roman" w:cs="Times New Roman"/>
          <w:sz w:val="28"/>
          <w:szCs w:val="28"/>
        </w:rPr>
        <w:t xml:space="preserve"> Комітет з розвитку інтелектуальної власності</w:t>
      </w:r>
      <w:r>
        <w:rPr>
          <w:rFonts w:ascii="Times New Roman" w:hAnsi="Times New Roman" w:cs="Times New Roman"/>
          <w:sz w:val="28"/>
          <w:szCs w:val="28"/>
          <w:lang w:val="ru-RU"/>
        </w:rPr>
        <w:t>;</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МПК </w:t>
      </w:r>
      <w:r>
        <w:rPr>
          <w:rFonts w:ascii="Arial" w:hAnsi="Arial" w:cs="Arial"/>
          <w:color w:val="222222"/>
          <w:sz w:val="21"/>
          <w:szCs w:val="21"/>
          <w:shd w:val="clear" w:color="auto" w:fill="FFFFFF"/>
        </w:rPr>
        <w:t>—</w:t>
      </w:r>
      <w:r>
        <w:rPr>
          <w:rFonts w:ascii="Times New Roman" w:hAnsi="Times New Roman" w:cs="Times New Roman"/>
          <w:sz w:val="28"/>
          <w:szCs w:val="28"/>
          <w:lang w:val="ru-RU"/>
        </w:rPr>
        <w:t xml:space="preserve"> Міжнародна патентна класифікація;</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PLR </w:t>
      </w:r>
      <w:r>
        <w:rPr>
          <w:rFonts w:ascii="Arial" w:hAnsi="Arial" w:cs="Arial"/>
          <w:color w:val="222222"/>
          <w:sz w:val="21"/>
          <w:szCs w:val="21"/>
          <w:shd w:val="clear" w:color="auto" w:fill="FFFFFF"/>
        </w:rPr>
        <w:t>—</w:t>
      </w:r>
      <w:r>
        <w:rPr>
          <w:rFonts w:ascii="Times New Roman" w:hAnsi="Times New Roman" w:cs="Times New Roman"/>
          <w:sz w:val="28"/>
          <w:szCs w:val="28"/>
        </w:rPr>
        <w:t xml:space="preserve"> Patent Landscape Report</w:t>
      </w:r>
      <w:r>
        <w:rPr>
          <w:rFonts w:ascii="Times New Roman" w:hAnsi="Times New Roman" w:cs="Times New Roman"/>
          <w:sz w:val="28"/>
          <w:szCs w:val="28"/>
          <w:lang w:val="ru-RU"/>
        </w:rPr>
        <w:t>.</w:t>
      </w:r>
    </w:p>
    <w:p w:rsidR="0039038D" w:rsidRDefault="0039038D">
      <w:pPr>
        <w:spacing w:after="0" w:line="360" w:lineRule="auto"/>
        <w:ind w:firstLine="567"/>
        <w:jc w:val="both"/>
        <w:rPr>
          <w:rFonts w:ascii="Times New Roman" w:hAnsi="Times New Roman" w:cs="Times New Roman"/>
          <w:sz w:val="28"/>
          <w:szCs w:val="28"/>
          <w:lang w:val="ru-RU"/>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8D4FA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ВСТУП</w:t>
      </w:r>
    </w:p>
    <w:p w:rsidR="0039038D" w:rsidRDefault="0039038D">
      <w:pPr>
        <w:spacing w:after="0" w:line="360" w:lineRule="auto"/>
        <w:jc w:val="center"/>
        <w:rPr>
          <w:rFonts w:ascii="Times New Roman" w:hAnsi="Times New Roman" w:cs="Times New Roman"/>
          <w:sz w:val="28"/>
          <w:szCs w:val="28"/>
        </w:rPr>
      </w:pPr>
    </w:p>
    <w:p w:rsidR="0039038D" w:rsidRDefault="008D4FA6">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Як відомо, суспільство стрімко розвивається. Технологічний розвиток сучасних компаній в умовах високої інтенсивності появи нових технологій висуває підвищені вимоги до визначення і своєчасного корегування науково–технологічних пріоритетів, оцінки конкурентоспроможності перспективних технологій, визначення стратегій виведення інноваційної продукції на глобальні ринки, а також пошуку бізнес– і технологічних партнерів. Все більше активів компаній не залежать від матеріальної складової та територіальної приналежності. Основні прибутки багатьох компаній та наукових установ сьогодні приносять технології. Давно відомі форми та механізми комерціалізації технологій, але використання нових можливостей та інструментарію дозволяє отримувати деякі переваги розробникам та правоволодільцям. </w:t>
      </w:r>
    </w:p>
    <w:p w:rsidR="0039038D" w:rsidRDefault="008D4FA6" w:rsidP="008D4FA6">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Важливим джерелом інформації для отримання об'єктивних відомостей про поточний стан та напрямки розвитку перспективних областей науково–технологічного та інноваційного розвитку секторів економі</w:t>
      </w:r>
      <w:r w:rsidRPr="008D4FA6">
        <w:rPr>
          <w:rFonts w:ascii="Times New Roman" w:hAnsi="Times New Roman" w:cs="Times New Roman"/>
          <w:color w:val="000000" w:themeColor="text1"/>
          <w:sz w:val="28"/>
          <w:szCs w:val="28"/>
        </w:rPr>
        <w:t>ки є патентна</w:t>
      </w:r>
      <w:r w:rsidRPr="008D4FA6">
        <w:rPr>
          <w:rFonts w:ascii="Times New Roman" w:hAnsi="Times New Roman" w:cs="Times New Roman"/>
          <w:color w:val="000000" w:themeColor="text1"/>
          <w:sz w:val="28"/>
          <w:szCs w:val="28"/>
          <w:lang w:val="ru-RU"/>
        </w:rPr>
        <w:t xml:space="preserve"> </w:t>
      </w:r>
      <w:r w:rsidRPr="008D4FA6">
        <w:rPr>
          <w:rFonts w:ascii="Times New Roman" w:hAnsi="Times New Roman" w:cs="Times New Roman"/>
          <w:color w:val="000000" w:themeColor="text1"/>
          <w:sz w:val="28"/>
          <w:szCs w:val="28"/>
        </w:rPr>
        <w:t>інформація: відомості про видані патенти, поданих заявках, областях</w:t>
      </w:r>
      <w:r w:rsidRPr="008D4FA6">
        <w:rPr>
          <w:rFonts w:ascii="Times New Roman" w:hAnsi="Times New Roman" w:cs="Times New Roman"/>
          <w:color w:val="000000" w:themeColor="text1"/>
          <w:sz w:val="28"/>
          <w:szCs w:val="28"/>
          <w:lang w:val="ru-RU"/>
        </w:rPr>
        <w:t xml:space="preserve"> </w:t>
      </w:r>
      <w:r w:rsidRPr="008D4FA6">
        <w:rPr>
          <w:rFonts w:ascii="Times New Roman" w:hAnsi="Times New Roman" w:cs="Times New Roman"/>
          <w:color w:val="000000" w:themeColor="text1"/>
          <w:sz w:val="28"/>
          <w:szCs w:val="28"/>
        </w:rPr>
        <w:t>пріоритетів, стратегії охорони та інших аспектах патентного захисту перспективних технологій та інноваційної продукції.</w:t>
      </w:r>
    </w:p>
    <w:p w:rsidR="0039038D" w:rsidRDefault="008D4FA6">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Патентна інформація є найбільш цінним і об'єктивним джерелом для інформаційно–аналітичної підтримки процесів управління в сфері технологій і інновацій, в тому числі оцінки потенціалу та конкурентоспроможності продукції, передбачуваної до виходу на вітчизняні та зарубіжні ринки.</w:t>
      </w:r>
    </w:p>
    <w:p w:rsidR="0039038D" w:rsidRDefault="008D4FA6">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Одним із сучасних інструментів експертно–аналітичної підтримки бізнесу – є патентний ландшафт (Patent landscaping).</w:t>
      </w:r>
    </w:p>
    <w:p w:rsidR="0039038D" w:rsidRDefault="008D4FA6">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Patent landscaping розуміється Всесвітньою організацією інтелектуальної власності (ВОІВ) як спосіб вивчення і опису патентної ситуації для конкретної технології в певній країні, певному регіоні або на глобальному рівні. Тобто це інформаційно–аналітичне дослідження патентної документації, що показує в загальному вигляді патентну ситуацію в певному технологічному напрямку або </w:t>
      </w:r>
      <w:r>
        <w:rPr>
          <w:rFonts w:ascii="Times New Roman" w:hAnsi="Times New Roman" w:cs="Times New Roman"/>
          <w:color w:val="000000" w:themeColor="text1"/>
          <w:sz w:val="28"/>
          <w:szCs w:val="28"/>
        </w:rPr>
        <w:lastRenderedPageBreak/>
        <w:t>стосовно патентної активності суб'єктів інноваційної сфери з урахуванням часової динаміки і територіальної ознаки: країни, регіону або в світовому масштабі.</w:t>
      </w:r>
    </w:p>
    <w:p w:rsidR="0039038D" w:rsidRDefault="008D4FA6">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Таким чином, створення патентного ландшафту дозволить підприємцям орієнтуватися правильно в своїх розробках і інноваційних технічних рішеннях. Тобто розуміти, де найбільша активність ринку, де його монополізація, а де взагалі є відсутність патентів, що в подальшому допоможе їм зробити правильний вибір. Патентний ландшафт, як мінімум, доповнює всі результати і уточнює всі висновки маркетингових досліджень, обґрунтовує вибір країн для патентування, ліцензування, виробництва та розповсюдження товарів і/або послуг, вибір потенційних партнерів і конкурентів на ідентифікованих ринках, виявляє нові або додаткові можливості для використання результатів розробок.</w:t>
      </w:r>
    </w:p>
    <w:p w:rsidR="0039038D" w:rsidRDefault="008D4FA6">
      <w:pPr>
        <w:spacing w:after="0" w:line="360" w:lineRule="auto"/>
        <w:ind w:firstLine="567"/>
        <w:jc w:val="both"/>
      </w:pPr>
      <w:r>
        <w:rPr>
          <w:rFonts w:ascii="Times New Roman" w:hAnsi="Times New Roman" w:cs="Times New Roman"/>
          <w:color w:val="000000" w:themeColor="text1"/>
          <w:sz w:val="28"/>
          <w:szCs w:val="28"/>
        </w:rPr>
        <w:t>Метою дипломної роботи є дослідження патентного ландшафту як сучасного інструме</w:t>
      </w:r>
      <w:r w:rsidRPr="008D4FA6">
        <w:rPr>
          <w:rFonts w:ascii="Times New Roman" w:hAnsi="Times New Roman" w:cs="Times New Roman"/>
          <w:color w:val="000000" w:themeColor="text1"/>
          <w:sz w:val="28"/>
          <w:szCs w:val="28"/>
        </w:rPr>
        <w:t>нтарію</w:t>
      </w:r>
      <w:r>
        <w:rPr>
          <w:rFonts w:ascii="Times New Roman" w:hAnsi="Times New Roman" w:cs="Times New Roman"/>
          <w:color w:val="000000" w:themeColor="text1"/>
          <w:sz w:val="28"/>
          <w:szCs w:val="28"/>
        </w:rPr>
        <w:t xml:space="preserve"> щодо  комерціалізації технологій на прикладі технології Blockchain, яка на сучасному етапі розвитку цифрового простору починає набирати обертів, що і позначається, в свою чергу, на кількості патентних документів в цій галузі.</w:t>
      </w:r>
    </w:p>
    <w:p w:rsidR="0039038D" w:rsidRDefault="008D4FA6">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мети дипломної роботи визначені завдання, які необхідно вирішити в ході її написання:</w:t>
      </w:r>
    </w:p>
    <w:p w:rsidR="0039038D" w:rsidRDefault="008D4FA6">
      <w:pPr>
        <w:pStyle w:val="ac"/>
        <w:numPr>
          <w:ilvl w:val="0"/>
          <w:numId w:val="20"/>
        </w:numPr>
        <w:spacing w:after="0" w:line="360" w:lineRule="auto"/>
        <w:ind w:left="72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Надати характеристику сучасному стану комерціалізації технологій.</w:t>
      </w:r>
    </w:p>
    <w:p w:rsidR="0039038D" w:rsidRDefault="008D4FA6">
      <w:pPr>
        <w:pStyle w:val="ac"/>
        <w:numPr>
          <w:ilvl w:val="0"/>
          <w:numId w:val="20"/>
        </w:numPr>
        <w:spacing w:after="0" w:line="360" w:lineRule="auto"/>
        <w:ind w:left="72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Дослідити методологію побудови патентних ландшафтів </w:t>
      </w:r>
    </w:p>
    <w:p w:rsidR="0039038D" w:rsidRDefault="008D4FA6">
      <w:pPr>
        <w:pStyle w:val="ac"/>
        <w:numPr>
          <w:ilvl w:val="0"/>
          <w:numId w:val="20"/>
        </w:numPr>
        <w:spacing w:after="0" w:line="360" w:lineRule="auto"/>
        <w:ind w:left="72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Розглянути сучасні аналітичні інструменти щодо створення патентних ландшафтів</w:t>
      </w:r>
    </w:p>
    <w:p w:rsidR="0039038D" w:rsidRDefault="008D4FA6">
      <w:pPr>
        <w:pStyle w:val="ac"/>
        <w:numPr>
          <w:ilvl w:val="0"/>
          <w:numId w:val="20"/>
        </w:numPr>
        <w:spacing w:after="0" w:line="360" w:lineRule="auto"/>
        <w:ind w:left="72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Провести інформаційно–аналітичне дослідження щодо технології Blockchain з використанням методології візуалізації даних для побудови патентного ландшафту.</w:t>
      </w:r>
    </w:p>
    <w:p w:rsidR="0039038D" w:rsidRDefault="008D4FA6">
      <w:pPr>
        <w:pStyle w:val="ac"/>
        <w:numPr>
          <w:ilvl w:val="0"/>
          <w:numId w:val="20"/>
        </w:numPr>
        <w:spacing w:after="0" w:line="360" w:lineRule="auto"/>
        <w:ind w:left="72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інформації по темі зібрати інформацію в розділи дипломної роботи з економіки, охорони праці та цивільного захисту.</w:t>
      </w:r>
    </w:p>
    <w:p w:rsidR="0039038D" w:rsidRDefault="0039038D">
      <w:pPr>
        <w:spacing w:after="0" w:line="360" w:lineRule="auto"/>
        <w:ind w:firstLine="567"/>
        <w:jc w:val="both"/>
        <w:rPr>
          <w:rFonts w:ascii="Times New Roman" w:hAnsi="Times New Roman" w:cs="Times New Roman"/>
          <w:color w:val="000000" w:themeColor="text1"/>
          <w:sz w:val="28"/>
          <w:szCs w:val="28"/>
        </w:rPr>
      </w:pPr>
    </w:p>
    <w:p w:rsidR="0039038D" w:rsidRDefault="008D4FA6">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Об'єктом дослідження в роботі є інструменти та методології побудови патентних ландшафтів. Предметом дослідження виступають блокчейн–технології. </w:t>
      </w:r>
    </w:p>
    <w:p w:rsidR="0039038D" w:rsidRDefault="008D4FA6">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Теоретичною і методологічною основою роботи є нормативно правові акти, наукова література, електронні джерела, дані міжнародних агентств та інші.</w:t>
      </w:r>
    </w:p>
    <w:p w:rsidR="0039038D" w:rsidRPr="008D4FA6" w:rsidRDefault="008D4FA6" w:rsidP="008D4FA6">
      <w:pPr>
        <w:spacing w:after="0" w:line="360" w:lineRule="auto"/>
        <w:ind w:firstLine="567"/>
        <w:jc w:val="both"/>
        <w:rPr>
          <w:color w:val="000000" w:themeColor="text1"/>
        </w:rPr>
      </w:pPr>
      <w:r w:rsidRPr="008D4FA6">
        <w:rPr>
          <w:rFonts w:ascii="Times New Roman" w:hAnsi="Times New Roman" w:cs="Times New Roman"/>
          <w:color w:val="000000" w:themeColor="text1"/>
          <w:sz w:val="28"/>
          <w:szCs w:val="28"/>
        </w:rPr>
        <w:t xml:space="preserve">В якості основних методів і прийомів дослідження в роботі використовуються загальнонаукові методи системного аналізу і синтезу наукової  та патентної інформації. </w:t>
      </w:r>
    </w:p>
    <w:p w:rsidR="0039038D" w:rsidRDefault="008D4FA6">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Новизна дипломної роботи полягає в тому, що в Україні практично немає патентних ландшафтів технології Blockchain за 2019 рік. Це сприяє некоректним даним, що наведені в безлічі вітчизняних ресурсів, які намагаються видати за правду інформацію за 2017 рік. За останніх два роки технологія, також як і ІТ–галузь, в цілому, значно змінилися, а тому потрібні більш сучасні та актуальні дані, що демонструють всю картину розробок у цьому напрямку.</w:t>
      </w: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8D4FA6" w:rsidRDefault="008D4FA6">
      <w:pPr>
        <w:spacing w:after="0" w:line="360" w:lineRule="auto"/>
        <w:rPr>
          <w:rFonts w:ascii="Times New Roman" w:hAnsi="Times New Roman" w:cs="Times New Roman"/>
          <w:sz w:val="28"/>
          <w:szCs w:val="28"/>
        </w:rPr>
      </w:pPr>
    </w:p>
    <w:p w:rsidR="008D4FA6" w:rsidRDefault="008D4FA6">
      <w:pPr>
        <w:spacing w:after="0" w:line="360" w:lineRule="auto"/>
        <w:rPr>
          <w:rFonts w:ascii="Times New Roman" w:hAnsi="Times New Roman" w:cs="Times New Roman"/>
          <w:sz w:val="28"/>
          <w:szCs w:val="28"/>
        </w:rPr>
      </w:pPr>
    </w:p>
    <w:p w:rsidR="0039038D" w:rsidRDefault="008D4FA6">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1 ПАТЕНТНИЙ ЛАНДШАФТ – СУЧАСНИЙ ІНСТРУМЕНТАРІЙ КОМЕРЦІАЛІЗАЦІЇ ТЕХНОЛОГІЙ</w:t>
      </w:r>
    </w:p>
    <w:p w:rsidR="0039038D" w:rsidRDefault="0039038D">
      <w:pPr>
        <w:spacing w:after="0" w:line="360" w:lineRule="auto"/>
        <w:ind w:firstLine="567"/>
        <w:jc w:val="both"/>
        <w:rPr>
          <w:rFonts w:ascii="Times New Roman" w:hAnsi="Times New Roman" w:cs="Times New Roman"/>
          <w:sz w:val="28"/>
          <w:szCs w:val="28"/>
        </w:rPr>
      </w:pPr>
    </w:p>
    <w:p w:rsidR="0039038D" w:rsidRDefault="008D4FA6">
      <w:pPr>
        <w:pStyle w:val="ac"/>
        <w:numPr>
          <w:ilvl w:val="1"/>
          <w:numId w:val="21"/>
        </w:numPr>
        <w:spacing w:after="0" w:line="360" w:lineRule="auto"/>
        <w:rPr>
          <w:rFonts w:ascii="Times New Roman" w:hAnsi="Times New Roman" w:cs="Times New Roman"/>
          <w:b/>
          <w:sz w:val="28"/>
          <w:szCs w:val="28"/>
        </w:rPr>
      </w:pPr>
      <w:r>
        <w:rPr>
          <w:rFonts w:ascii="Times New Roman" w:hAnsi="Times New Roman" w:cs="Times New Roman"/>
          <w:b/>
          <w:sz w:val="28"/>
          <w:szCs w:val="28"/>
        </w:rPr>
        <w:t>Підготовка до комерціалізації технологій</w:t>
      </w:r>
    </w:p>
    <w:p w:rsidR="0039038D" w:rsidRDefault="008D4FA6">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Необхідність прискореної комерціалізації найбільш перспективних інноваційних технологій викликана загостренням конкуренції на світових ринках в умовах бурхливого розвитку науки і техніки, що супроводжується величезною кількістю нових ідей, винаходів і відкриттів. Процес комерціалізації інновацій вимагає залучення значних інвестицій, ефективність вкладення яких схильна до безлічі ризиків (фінансових, технічних, організаційних, ринкових та ін.).</w:t>
      </w:r>
    </w:p>
    <w:p w:rsidR="0039038D" w:rsidRDefault="008D4FA6">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Сьогодні питання комерціалізації є особливо актуальними. Вважається, що успішна комерціалізація є показником ефективності інноваційного проекту і науково–технічної діяльності в цілому, так як дозволяє вивести інноваційну технологію на ринок</w:t>
      </w:r>
      <w:r w:rsidRPr="008D4FA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отже, отримувати дохід і повернення інвестицій.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Термін "комерціалізація" у загальному визначенні означає перетворення будь–якого ресурсу у джерело прибутку, який є предметом купівлі–продажу</w:t>
      </w:r>
      <w:r>
        <w:rPr>
          <w:rFonts w:ascii="Times New Roman" w:hAnsi="Times New Roman" w:cs="Times New Roman"/>
          <w:sz w:val="28"/>
          <w:szCs w:val="28"/>
          <w:lang w:val="ru-RU"/>
        </w:rPr>
        <w:t xml:space="preserve"> [1]</w:t>
      </w:r>
      <w:r>
        <w:rPr>
          <w:rFonts w:ascii="Times New Roman" w:hAnsi="Times New Roman" w:cs="Times New Roman"/>
          <w:sz w:val="28"/>
          <w:szCs w:val="28"/>
        </w:rPr>
        <w:t>.</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Якщо аналізувати дефініцію "комерціалізація" відносно технологічних інновацій, то це будь–яка діяльність, яка у підсумку направлена на створення доходу від використання результатів науково–технічної діяльності.</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даному етапі розвитку головними формами комерціалізації технологій є:</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використання прав на інтелектуальну власність, до яких потрібно віднести ліцензійні договори та передачу патентів; </w:t>
      </w:r>
    </w:p>
    <w:p w:rsidR="0039038D" w:rsidRDefault="008D4FA6">
      <w:pPr>
        <w:spacing w:after="0" w:line="360" w:lineRule="auto"/>
        <w:ind w:firstLine="567"/>
        <w:jc w:val="both"/>
      </w:pPr>
      <w:r>
        <w:rPr>
          <w:rFonts w:ascii="Times New Roman" w:hAnsi="Times New Roman" w:cs="Times New Roman"/>
          <w:sz w:val="28"/>
          <w:szCs w:val="28"/>
        </w:rPr>
        <w:t xml:space="preserve">2) контракти на дослідження, а також  </w:t>
      </w:r>
      <w:r>
        <w:rPr>
          <w:rFonts w:ascii="Times New Roman" w:hAnsi="Times New Roman" w:cs="Times New Roman"/>
          <w:color w:val="000000"/>
          <w:sz w:val="28"/>
          <w:szCs w:val="28"/>
        </w:rPr>
        <w:t>створення</w:t>
      </w:r>
      <w:r>
        <w:rPr>
          <w:rFonts w:ascii="Times New Roman" w:hAnsi="Times New Roman" w:cs="Times New Roman"/>
          <w:sz w:val="28"/>
          <w:szCs w:val="28"/>
        </w:rPr>
        <w:t xml:space="preserve"> нових компаній, які будуть засновані на технологіях</w:t>
      </w:r>
      <w:r>
        <w:rPr>
          <w:rFonts w:ascii="Times New Roman" w:hAnsi="Times New Roman" w:cs="Times New Roman"/>
          <w:sz w:val="28"/>
          <w:szCs w:val="28"/>
          <w:lang w:val="ru-RU"/>
        </w:rPr>
        <w:t xml:space="preserve"> [2]</w:t>
      </w:r>
      <w:r>
        <w:rPr>
          <w:rFonts w:ascii="Times New Roman" w:hAnsi="Times New Roman" w:cs="Times New Roman"/>
          <w:sz w:val="28"/>
          <w:szCs w:val="28"/>
        </w:rPr>
        <w:t>.</w:t>
      </w:r>
    </w:p>
    <w:p w:rsidR="0039038D" w:rsidRDefault="008D4FA6">
      <w:pPr>
        <w:spacing w:after="0" w:line="360" w:lineRule="auto"/>
        <w:ind w:firstLine="567"/>
        <w:jc w:val="both"/>
      </w:pPr>
      <w:r>
        <w:rPr>
          <w:rFonts w:ascii="Times New Roman" w:hAnsi="Times New Roman" w:cs="Times New Roman"/>
          <w:sz w:val="28"/>
          <w:szCs w:val="28"/>
        </w:rPr>
        <w:t xml:space="preserve">У сучасному українському законодавстві поняття "комерціалізація" немає взагалі, а замість нього здебільшого використовується поняття "залучення інтелектуальної власності до господарського </w:t>
      </w:r>
      <w:r w:rsidRPr="008D4FA6">
        <w:rPr>
          <w:rFonts w:ascii="Times New Roman" w:hAnsi="Times New Roman" w:cs="Times New Roman"/>
          <w:sz w:val="28"/>
          <w:szCs w:val="28"/>
        </w:rPr>
        <w:t xml:space="preserve">обігу". </w:t>
      </w:r>
    </w:p>
    <w:p w:rsidR="0039038D" w:rsidRDefault="008D4FA6">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Якщо відштовхуватися від Методичних рекомендацій з комерціалізації розробок, які створені в результаті науково–технічної діяльності та затверджені Наказом Державного комітету </w:t>
      </w:r>
      <w:r>
        <w:rPr>
          <w:rFonts w:ascii="Times New Roman" w:hAnsi="Times New Roman" w:cs="Times New Roman"/>
          <w:color w:val="000000"/>
          <w:sz w:val="28"/>
          <w:szCs w:val="28"/>
        </w:rPr>
        <w:t>України</w:t>
      </w:r>
      <w:r>
        <w:rPr>
          <w:rFonts w:ascii="Times New Roman" w:hAnsi="Times New Roman" w:cs="Times New Roman"/>
          <w:sz w:val="28"/>
          <w:szCs w:val="28"/>
        </w:rPr>
        <w:t xml:space="preserve"> з питань науки інновацій та </w:t>
      </w:r>
      <w:r>
        <w:rPr>
          <w:rFonts w:ascii="Times New Roman" w:hAnsi="Times New Roman" w:cs="Times New Roman"/>
          <w:sz w:val="28"/>
          <w:szCs w:val="28"/>
        </w:rPr>
        <w:lastRenderedPageBreak/>
        <w:t xml:space="preserve">інформатизації України, власне механізм комерціалізації технологій складається з етапів </w:t>
      </w:r>
      <w:r>
        <w:rPr>
          <w:rFonts w:ascii="Times New Roman" w:hAnsi="Times New Roman" w:cs="Times New Roman"/>
          <w:color w:val="000000" w:themeColor="text1"/>
          <w:sz w:val="28"/>
          <w:szCs w:val="28"/>
        </w:rPr>
        <w:t>з представлених на рисунку 1.1:</w:t>
      </w:r>
    </w:p>
    <w:p w:rsidR="0039038D" w:rsidRDefault="0039038D">
      <w:pPr>
        <w:spacing w:after="0" w:line="360" w:lineRule="auto"/>
        <w:ind w:firstLine="567"/>
        <w:jc w:val="both"/>
        <w:rPr>
          <w:rFonts w:ascii="Times New Roman" w:hAnsi="Times New Roman" w:cs="Times New Roman"/>
          <w:color w:val="000000" w:themeColor="text1"/>
          <w:sz w:val="28"/>
          <w:szCs w:val="28"/>
        </w:rPr>
      </w:pPr>
    </w:p>
    <w:p w:rsidR="0039038D" w:rsidRDefault="008D4FA6">
      <w:pPr>
        <w:spacing w:after="0" w:line="360" w:lineRule="auto"/>
        <w:ind w:firstLine="567"/>
        <w:jc w:val="both"/>
        <w:rPr>
          <w:rFonts w:ascii="Times New Roman" w:hAnsi="Times New Roman" w:cs="Times New Roman"/>
          <w:sz w:val="28"/>
          <w:szCs w:val="28"/>
        </w:rPr>
      </w:pPr>
      <w:r>
        <w:rPr>
          <w:noProof/>
          <w:lang w:eastAsia="uk-UA"/>
        </w:rPr>
        <w:drawing>
          <wp:inline distT="0" distB="0" distL="0" distR="0" wp14:anchorId="39F43507">
            <wp:extent cx="4972050" cy="2847975"/>
            <wp:effectExtent l="0" t="0" r="0" b="28575"/>
            <wp:docPr id="1" name="Diagram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D4FA6" w:rsidRDefault="008D4FA6">
      <w:pPr>
        <w:spacing w:after="0" w:line="360" w:lineRule="auto"/>
        <w:ind w:firstLine="567"/>
        <w:jc w:val="both"/>
        <w:rPr>
          <w:rFonts w:ascii="Times New Roman" w:hAnsi="Times New Roman" w:cs="Times New Roman"/>
          <w:sz w:val="28"/>
          <w:szCs w:val="28"/>
        </w:rPr>
      </w:pPr>
    </w:p>
    <w:p w:rsidR="0039038D" w:rsidRDefault="008D4FA6">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Рисунок 1.</w:t>
      </w:r>
      <w:r>
        <w:rPr>
          <w:rFonts w:ascii="Times New Roman" w:hAnsi="Times New Roman" w:cs="Times New Roman"/>
          <w:color w:val="000000" w:themeColor="text1"/>
          <w:sz w:val="28"/>
          <w:szCs w:val="28"/>
          <w:lang w:val="ru-RU"/>
        </w:rPr>
        <w:t xml:space="preserve">1 – </w:t>
      </w:r>
      <w:r>
        <w:rPr>
          <w:rFonts w:ascii="Times New Roman" w:hAnsi="Times New Roman" w:cs="Times New Roman"/>
          <w:color w:val="000000" w:themeColor="text1"/>
          <w:sz w:val="28"/>
          <w:szCs w:val="28"/>
        </w:rPr>
        <w:t xml:space="preserve"> Алгоритм комерціалізації технологій</w:t>
      </w:r>
    </w:p>
    <w:p w:rsidR="0039038D" w:rsidRDefault="0039038D">
      <w:pPr>
        <w:spacing w:after="0" w:line="360" w:lineRule="auto"/>
        <w:ind w:firstLine="567"/>
        <w:jc w:val="both"/>
        <w:rPr>
          <w:rFonts w:ascii="Times New Roman" w:hAnsi="Times New Roman" w:cs="Times New Roman"/>
          <w:color w:val="000000" w:themeColor="text1"/>
          <w:sz w:val="28"/>
          <w:szCs w:val="28"/>
        </w:rPr>
      </w:pPr>
    </w:p>
    <w:p w:rsidR="0039038D" w:rsidRDefault="008D4FA6">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Розглянемо білш детально кожен із етапів </w:t>
      </w:r>
      <w:r>
        <w:rPr>
          <w:rFonts w:ascii="Times New Roman" w:hAnsi="Times New Roman" w:cs="Times New Roman"/>
          <w:color w:val="000000" w:themeColor="text1"/>
          <w:sz w:val="28"/>
          <w:szCs w:val="28"/>
          <w:lang w:val="ru-RU"/>
        </w:rPr>
        <w:t>[2]</w:t>
      </w:r>
      <w:r>
        <w:rPr>
          <w:rFonts w:ascii="Times New Roman" w:hAnsi="Times New Roman" w:cs="Times New Roman"/>
          <w:color w:val="000000" w:themeColor="text1"/>
          <w:sz w:val="28"/>
          <w:szCs w:val="28"/>
        </w:rPr>
        <w:t>.</w:t>
      </w:r>
    </w:p>
    <w:p w:rsidR="0039038D" w:rsidRDefault="008D4FA6">
      <w:pPr>
        <w:pStyle w:val="ac"/>
        <w:numPr>
          <w:ilvl w:val="0"/>
          <w:numId w:val="1"/>
        </w:numPr>
        <w:spacing w:after="0" w:line="360" w:lineRule="auto"/>
        <w:ind w:left="709" w:hanging="283"/>
        <w:jc w:val="both"/>
        <w:rPr>
          <w:rFonts w:ascii="Times New Roman" w:hAnsi="Times New Roman" w:cs="Times New Roman"/>
          <w:sz w:val="28"/>
          <w:szCs w:val="28"/>
        </w:rPr>
      </w:pPr>
      <w:r>
        <w:rPr>
          <w:rFonts w:ascii="Times New Roman" w:hAnsi="Times New Roman" w:cs="Times New Roman"/>
          <w:sz w:val="28"/>
          <w:szCs w:val="28"/>
        </w:rPr>
        <w:t xml:space="preserve"> Технологічний аудит. У загальному випадку це поняття пов'язане з операціями об'єктивної оцінки потенціалу технології, як об'єкту ТТ (технологічного трансферу). Як правило, використовується зовнішній технологічний аудит, щоб відносно розробленої інноваційної технології був проведений аналіз збоку не пов'язаних з цією розробкою осіб.</w:t>
      </w:r>
    </w:p>
    <w:p w:rsidR="0039038D" w:rsidRDefault="008D4FA6">
      <w:pPr>
        <w:pStyle w:val="ac"/>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Маркетингові дослідження, в рамках яких підприємства і установи аналізують оптимальну стратегію розвитку своєї діяльності, яка у підсумку дасть змогу якісно комерціалізувати результати інтелектуальної діяльності;</w:t>
      </w:r>
    </w:p>
    <w:p w:rsidR="0039038D" w:rsidRDefault="008D4FA6">
      <w:pPr>
        <w:pStyle w:val="ac"/>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Економічний аудит, в рамках якого виявляються проблеми підприємства у напрямку ефективного використання ресурсів праці, в тому числі і ОПІВ. Аудит може здійснюватися за визначений керівництвом період часу, а саме місяць, півріччя або рік.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Завдяки</w:t>
      </w:r>
      <w:r>
        <w:rPr>
          <w:rFonts w:ascii="Times New Roman" w:hAnsi="Times New Roman" w:cs="Times New Roman"/>
          <w:sz w:val="28"/>
          <w:szCs w:val="28"/>
        </w:rPr>
        <w:t xml:space="preserve"> економічному аудиту виконуються наступні завдання:</w:t>
      </w:r>
    </w:p>
    <w:p w:rsidR="0039038D" w:rsidRDefault="008D4FA6">
      <w:pPr>
        <w:pStyle w:val="ac"/>
        <w:numPr>
          <w:ilvl w:val="0"/>
          <w:numId w:val="2"/>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lastRenderedPageBreak/>
        <w:t>У відповідності з напрямками діяльності підприємства визначається оптимальна стратегія розвитку.</w:t>
      </w:r>
    </w:p>
    <w:p w:rsidR="0039038D" w:rsidRDefault="008D4FA6">
      <w:pPr>
        <w:pStyle w:val="ac"/>
        <w:numPr>
          <w:ilvl w:val="0"/>
          <w:numId w:val="2"/>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Визначаються завдання, які потрібно вирішити для вдосконалення стандартів.</w:t>
      </w:r>
    </w:p>
    <w:p w:rsidR="0039038D" w:rsidRDefault="008D4FA6">
      <w:pPr>
        <w:pStyle w:val="ac"/>
        <w:numPr>
          <w:ilvl w:val="0"/>
          <w:numId w:val="2"/>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Аудит дає змогу проводити кадрові зміни.</w:t>
      </w:r>
    </w:p>
    <w:p w:rsidR="0039038D" w:rsidRDefault="008D4FA6">
      <w:pPr>
        <w:pStyle w:val="ac"/>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Заявка та отримання охоронних документів на об'єкти прав інтелектуальної власності.</w:t>
      </w:r>
    </w:p>
    <w:p w:rsidR="0039038D" w:rsidRDefault="008D4FA6">
      <w:pPr>
        <w:pStyle w:val="ac"/>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Просування власної розробки на ринок.</w:t>
      </w:r>
    </w:p>
    <w:p w:rsidR="0039038D" w:rsidRDefault="008D4FA6">
      <w:pPr>
        <w:pStyle w:val="ac"/>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Укладання договорів</w:t>
      </w:r>
    </w:p>
    <w:p w:rsidR="0039038D" w:rsidRDefault="008D4FA6">
      <w:pPr>
        <w:pStyle w:val="ac"/>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 початком процесу комерціалізації в Україні приділяється значна увага завданням організації інформаційного обміну та взаємозв'язків між основними учасниками інноваційного процесу.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Україні стоїть завдання щодо створення мережі агентств, які займаються трансфером і комерціалізацією, а також приєднанням до патентних банків даних і міжнародних угод.</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в Україні діє ціла низка установ, які мають значний доступ до економічної та науково–технічної інформації. Серед інших відзначимо наступні:</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1)УкрПатент. Інститутом надаються платні послуги з питань Інтелектуальної Власності (консультації щодо заявок, послуги щодо реєстрації об'єктів промислової власності, послуги щодо охоронних документів, інформаційні послуги тощо);</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УкрІНТЕІ. Проведення патентних досліджень у науково-технологічній  та інноваційній сферах із використанням DI та  проведення наукометричних досліджень у науково-технологічній та інноваційній сферах на платформі WoS.B67 [16];</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3)Національний офіс ІВ (</w:t>
      </w:r>
      <w:r>
        <w:rPr>
          <w:rFonts w:ascii="Times New Roman" w:hAnsi="Times New Roman" w:cs="Times New Roman"/>
          <w:sz w:val="28"/>
          <w:szCs w:val="28"/>
          <w:lang w:val="en-US"/>
        </w:rPr>
        <w:t>TISC</w:t>
      </w:r>
      <w:r>
        <w:rPr>
          <w:rFonts w:ascii="Times New Roman" w:hAnsi="Times New Roman" w:cs="Times New Roman"/>
          <w:sz w:val="28"/>
          <w:szCs w:val="28"/>
        </w:rPr>
        <w:t>). Патентний пошук, здійснення патентної аналітики, побудова патентного ландшафту, розробка бізнес моделі тощо</w:t>
      </w:r>
      <w:r w:rsidRPr="008D4FA6">
        <w:rPr>
          <w:rFonts w:ascii="Times New Roman" w:hAnsi="Times New Roman" w:cs="Times New Roman"/>
          <w:sz w:val="28"/>
          <w:szCs w:val="28"/>
        </w:rPr>
        <w:t xml:space="preserve"> [17]</w:t>
      </w:r>
      <w:r>
        <w:rPr>
          <w:rFonts w:ascii="Times New Roman" w:hAnsi="Times New Roman" w:cs="Times New Roman"/>
          <w:sz w:val="28"/>
          <w:szCs w:val="28"/>
        </w:rPr>
        <w:t>.</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Головними функціями зазначених установ є консультації для суб'єктів господарювання відносно можливостей створення та впровадження нових технологій, а також залучення важливих (для реалізації) ресурсів)</w:t>
      </w:r>
      <w:r>
        <w:rPr>
          <w:rFonts w:ascii="Times New Roman" w:hAnsi="Times New Roman" w:cs="Times New Roman"/>
          <w:sz w:val="28"/>
          <w:szCs w:val="28"/>
          <w:lang w:val="ru-RU"/>
        </w:rPr>
        <w:t xml:space="preserve"> [2]</w:t>
      </w:r>
      <w:r>
        <w:rPr>
          <w:rFonts w:ascii="Times New Roman" w:hAnsi="Times New Roman" w:cs="Times New Roman"/>
          <w:sz w:val="28"/>
          <w:szCs w:val="28"/>
        </w:rPr>
        <w:t>.</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Успішна комерціалізація може означати, що підсумки НДДКР змінюються на ринку в послуги і продукти в необхідний час. Комерціалізація дає змогу отримати позитивні результати, які будуть відображені у збільшенні масштабів розробки технологій і збільшення її якості без особливих збільшень цін.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Конкуренція також дає змогу за рахунок мотивації розширювати сильні сторони підприємства. У свою чергу, кооперація між виробничими та науковими організаціями дає змогу з'являтися новим галузям промисловості. Для реалізації цього необхідний цілісний підхід, який буде орієнтований не лише на дії конкретного підприємства, а також і на спільні дії бізнесу, науки та уряду в умовах обмеженого часового терміну.</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Вдала комерціалізація технології можлива лише у тому випадку, коли організації вдається вчасно визначити у який момент вона може зайняти місце серед лідерів в тій галузі, якою вона займається, або зрозуміти, яким чином, здобути перевагу над організаціями, які вже мають великий успіх на ринку. У цьому випадку потрібно відповісти на питання, як саме потрібно подолати конкуренцію, яка зараз має місце майже у кожній сфері науки, а також яким чином можливо відповідати загальній економіці.</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Дуже важливу роль в комерціалізації технологій відіграє обробка результатів, які були виконані в рамках НДДКР. Якщо виконати цей етап, то можна отримати лідерство в виробництві відповідної технології.</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свою чергу, спільні зусилля працівників промисловості і вчених дають змогу збільшувати швидкість реалізації комерціалізації фундаментальних досліджень. Зараз в Україні намагаються створити підґрунтя для трансферу технологій, а також доступу до нових інноваційних технологій з основною метою економічного розвитку. Треба відзначити загальний розвиток нових галузей промисловості, та забезпечення капіталом створення нових інноваційних компаній. В підсумку, усі ці дії повинні привести до економічного і наукового розвитку країни</w:t>
      </w:r>
      <w:r>
        <w:rPr>
          <w:rFonts w:ascii="Times New Roman" w:hAnsi="Times New Roman" w:cs="Times New Roman"/>
          <w:sz w:val="28"/>
          <w:szCs w:val="28"/>
          <w:lang w:val="ru-RU"/>
        </w:rPr>
        <w:t xml:space="preserve"> [3]</w:t>
      </w:r>
      <w:r>
        <w:rPr>
          <w:rFonts w:ascii="Times New Roman" w:hAnsi="Times New Roman" w:cs="Times New Roman"/>
          <w:sz w:val="28"/>
          <w:szCs w:val="28"/>
        </w:rPr>
        <w:t>.</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Якщо аналізувати процес комерціалізації на рівні конкретної галузі, то лідерство в ній дає змогу вийти в лідери конкурентної боротьби в напрямку світового міжнародного бізнесу. Зазначений процес реалізовується за допомоги </w:t>
      </w:r>
      <w:r>
        <w:rPr>
          <w:rFonts w:ascii="Times New Roman" w:hAnsi="Times New Roman" w:cs="Times New Roman"/>
          <w:sz w:val="28"/>
          <w:szCs w:val="28"/>
        </w:rPr>
        <w:lastRenderedPageBreak/>
        <w:t>інноваційних процесів, які координуються через конкретну галузь промисловості.</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Аналізуючи питання комерціалізації технологій на рівні компанії, можна прийти до висновку, що в них це питання досліджується як процес, який складається з двох ступенів та зв'язком між розвитком технологій та циклом її виробництва:</w:t>
      </w:r>
    </w:p>
    <w:p w:rsidR="0039038D" w:rsidRDefault="008D4FA6">
      <w:pPr>
        <w:pStyle w:val="ac"/>
        <w:numPr>
          <w:ilvl w:val="0"/>
          <w:numId w:val="3"/>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Перший ступінь – розробка та дослідження певної технології, в результаті чого з'являється інноваційний продукт;</w:t>
      </w:r>
    </w:p>
    <w:p w:rsidR="0039038D" w:rsidRDefault="008D4FA6">
      <w:pPr>
        <w:pStyle w:val="ac"/>
        <w:numPr>
          <w:ilvl w:val="0"/>
          <w:numId w:val="3"/>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Другий ступінь – це постійне покращення якості технології відповідно до Світового стану галузі до якої він відноситься.</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Під час регулярних покращень у розробленій технології, вона набуває споживчі якості, які відповідають загальним трендам. Але для домінування інноваційного підприємства на ринку необхідно розробляти паралельні інноваційні процеси. Тобто, коли одна технологія знаходиться у виробництві, інноваційне підприємство повинно вже працювати над наступною технологією.</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Якщо постає питання вибору відповідної технології, то потрібне розуміння усіх етапів її створення, від ідеї до підсумкової розробки готового товару. Як правило, велика кількість ідей залишається на етапі думок, бо в українських реаліях перетворити їх на якісну розробку, та у підсумку комерціалізувати майже неможливо.</w:t>
      </w:r>
    </w:p>
    <w:p w:rsidR="0039038D" w:rsidRDefault="008D4FA6">
      <w:pPr>
        <w:spacing w:after="0" w:line="360" w:lineRule="auto"/>
        <w:ind w:firstLine="567"/>
        <w:jc w:val="both"/>
      </w:pPr>
      <w:r>
        <w:rPr>
          <w:rFonts w:ascii="Times New Roman" w:hAnsi="Times New Roman" w:cs="Times New Roman"/>
          <w:sz w:val="28"/>
          <w:szCs w:val="28"/>
        </w:rPr>
        <w:t>Великою проблемою є різні погляди на якість технології зі сторони розробників та споживачів, а тому їх бажання та пріоритети в рамках конкретної технології можуть дуже різнитися.</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Розробник у більшості випадків розглядає технології з точки зору їх використання, як об'єкту наукового надбання, а вже підсумковий споживач цікавиться лише її споживчими якостями та можливостями використовувати у повсякденному житті.</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Головними умовами, які сприяють ефективному переходу технології на комерційну основу в сучасних реаліях, є</w:t>
      </w:r>
      <w:r>
        <w:rPr>
          <w:rFonts w:ascii="Times New Roman" w:hAnsi="Times New Roman" w:cs="Times New Roman"/>
          <w:sz w:val="28"/>
          <w:szCs w:val="28"/>
          <w:lang w:val="ru-RU"/>
        </w:rPr>
        <w:t xml:space="preserve"> [2]</w:t>
      </w:r>
      <w:r>
        <w:rPr>
          <w:rFonts w:ascii="Times New Roman" w:hAnsi="Times New Roman" w:cs="Times New Roman"/>
          <w:sz w:val="28"/>
          <w:szCs w:val="28"/>
        </w:rPr>
        <w:t>:</w:t>
      </w:r>
    </w:p>
    <w:p w:rsidR="0039038D" w:rsidRDefault="008D4FA6">
      <w:pPr>
        <w:pStyle w:val="ac"/>
        <w:numPr>
          <w:ilvl w:val="0"/>
          <w:numId w:val="4"/>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Розуміння якості ресурсів, які є у розробника;</w:t>
      </w:r>
    </w:p>
    <w:p w:rsidR="0039038D" w:rsidRDefault="008D4FA6">
      <w:pPr>
        <w:pStyle w:val="ac"/>
        <w:numPr>
          <w:ilvl w:val="0"/>
          <w:numId w:val="4"/>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Розуміння того, кому розроблена технологія буде потрібна;</w:t>
      </w:r>
    </w:p>
    <w:p w:rsidR="0039038D" w:rsidRDefault="008D4FA6">
      <w:pPr>
        <w:pStyle w:val="ac"/>
        <w:numPr>
          <w:ilvl w:val="0"/>
          <w:numId w:val="4"/>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lastRenderedPageBreak/>
        <w:t>Розуміння того, які інвестиції потрібні для реалізації технології;</w:t>
      </w:r>
    </w:p>
    <w:p w:rsidR="0039038D" w:rsidRDefault="008D4FA6">
      <w:pPr>
        <w:pStyle w:val="ac"/>
        <w:numPr>
          <w:ilvl w:val="0"/>
          <w:numId w:val="4"/>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Розуміння того, як впровадити технологію на ринок.</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Комерціалізація технології відбувається протягом трьох стадій, а саме: збір інформації; аналіз можливостей організацій та впровадження в життя.</w:t>
      </w:r>
    </w:p>
    <w:p w:rsidR="0039038D" w:rsidRDefault="008D4FA6">
      <w:pPr>
        <w:pStyle w:val="ac"/>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Перша стадія: збір інформації.</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цьому етапі необхідно розуміти, які технології вже є в межах організації, проаналізувати їхні можливості, які дадуть змогу організувати процеси, або розробити продукти.</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Потрібно створити опис технологій–аналогів розроблюваної технології. Інформація про обрані технології повинна бути вичерпною.</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якісного втілення цього етапу необхідно:</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мати опис розробленої технології;</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мату інформації про новітні технології – аналоги (дані відносно їх розвитку та фінансування).</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Збір інформації відносно ситуації на ринку повинен бути регулярним, аналізувати наявні технології потрібно до того моменту, поки не почато процес захисту розробки (патентування). У підсумку, повинна бути створена система відстеження технологій.</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Відносно ринку повинні бути відомі наступні дані:</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Потенційні ринки і галузі ринку, які є оптимальними для впровадження та захисту ОПІВ на нову технологію;</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Потреба технології відносно впровадження її на ринок;</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Загальний розмір ринку та прогноз його подальшого зростання;</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4) Виявлення потенційних конкурентів та партнерів по ліцензії</w:t>
      </w:r>
      <w:r>
        <w:rPr>
          <w:rFonts w:ascii="Times New Roman" w:hAnsi="Times New Roman" w:cs="Times New Roman"/>
          <w:sz w:val="28"/>
          <w:szCs w:val="28"/>
          <w:lang w:val="ru-RU"/>
        </w:rPr>
        <w:t>.</w:t>
      </w:r>
    </w:p>
    <w:p w:rsidR="0039038D" w:rsidRDefault="008D4FA6">
      <w:pPr>
        <w:pStyle w:val="ac"/>
        <w:numPr>
          <w:ilvl w:val="0"/>
          <w:numId w:val="24"/>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Друга стадія – загальний аналіз можливостей.</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Аналіз ринку повинен складатися з наступних дій:</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 Визначення загального розміру ринку, ймовірність його зростання, відгалуження напрямків у рамках цього ринку, ціноутворення та канали розподілу;</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 Аналіз діяльності основних конкурентів (з питань впровадження технологій та захисту цих технологій охоронними документами);</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3) Виявлення потреб покупців, які можна задовольнити за допомоги розробленої технології;</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4) Проаналізувати рівень нестійкості ринку;</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5) Моніторинг ринку та проведення загальних ринкових досліджень;</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6) Аналіз основних характеристик технології та порівняння її з характеристиками основних конкурентів;</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7) Визначення особливостей технології, які будуть мати попит з боку споживачів;</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8) Проведення аналізу перешкод, які мають місце при виході на ринок;</w:t>
      </w:r>
    </w:p>
    <w:p w:rsidR="0039038D" w:rsidRDefault="008D4FA6">
      <w:pPr>
        <w:spacing w:after="0" w:line="360" w:lineRule="auto"/>
        <w:ind w:firstLine="567"/>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 xml:space="preserve">9) </w:t>
      </w:r>
      <w:r>
        <w:rPr>
          <w:rFonts w:ascii="Times New Roman" w:hAnsi="Times New Roman" w:cs="Times New Roman"/>
          <w:color w:val="000000" w:themeColor="text1"/>
          <w:sz w:val="28"/>
          <w:szCs w:val="28"/>
        </w:rPr>
        <w:t>Технічний контроль технології</w:t>
      </w:r>
      <w:r>
        <w:rPr>
          <w:rFonts w:ascii="Times New Roman" w:hAnsi="Times New Roman" w:cs="Times New Roman"/>
          <w:color w:val="000000" w:themeColor="text1"/>
          <w:sz w:val="28"/>
          <w:szCs w:val="28"/>
          <w:lang w:val="ru-RU"/>
        </w:rPr>
        <w:t xml:space="preserve">; </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10) Здійснення аналізу організаційних чинників;</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11) Виконання аналізу стратегічних чинників.</w:t>
      </w:r>
    </w:p>
    <w:p w:rsidR="0039038D" w:rsidRDefault="008D4FA6">
      <w:pPr>
        <w:pStyle w:val="ac"/>
        <w:numPr>
          <w:ilvl w:val="0"/>
          <w:numId w:val="24"/>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Третя стадія -  впровадження технології та її комерціалізація</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Перед впровадження технології треба встановлювати пріоритети та можливості їх використання. Також необхідно ефективно використовувати</w:t>
      </w:r>
      <w:r>
        <w:rPr>
          <w:rFonts w:ascii="Times New Roman" w:hAnsi="Times New Roman" w:cs="Times New Roman"/>
          <w:color w:val="FF6600"/>
          <w:sz w:val="28"/>
          <w:szCs w:val="28"/>
          <w:lang w:val="ru-RU"/>
        </w:rPr>
        <w:t xml:space="preserve"> </w:t>
      </w:r>
      <w:r>
        <w:rPr>
          <w:rFonts w:ascii="Times New Roman" w:hAnsi="Times New Roman" w:cs="Times New Roman"/>
          <w:sz w:val="28"/>
          <w:szCs w:val="28"/>
          <w:lang w:val="ru-RU"/>
        </w:rPr>
        <w:t>патентний фонд. Для того, щоб якісно впровадити технологію потрібно здебільшого аналізувати не наявні технології, а ринок загалом.</w:t>
      </w:r>
    </w:p>
    <w:p w:rsidR="0039038D" w:rsidRDefault="008D4FA6">
      <w:pPr>
        <w:spacing w:after="0" w:line="360" w:lineRule="auto"/>
        <w:ind w:firstLine="567"/>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Як бачимо, інформаційно–аналітичне забезпечення процессу комерціалізації інноваційних технологій є запорукою отримання необхідних результатів, а візуалізація інформації – корисна при виборі потенційних партнерів або споживачів, а також важлива при проведенні переговорів з інвесторами, які наочно отримують підтвердження новизни і актуальності створюваної технології.</w:t>
      </w:r>
    </w:p>
    <w:p w:rsidR="0039038D" w:rsidRDefault="0039038D">
      <w:pPr>
        <w:spacing w:after="0" w:line="360" w:lineRule="auto"/>
        <w:ind w:firstLine="567"/>
        <w:jc w:val="both"/>
        <w:rPr>
          <w:rFonts w:ascii="Times New Roman" w:hAnsi="Times New Roman" w:cs="Times New Roman"/>
          <w:b/>
          <w:sz w:val="28"/>
          <w:szCs w:val="28"/>
          <w:lang w:val="ru-RU"/>
        </w:rPr>
      </w:pPr>
    </w:p>
    <w:p w:rsidR="0039038D" w:rsidRDefault="008D4FA6">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lang w:val="ru-RU"/>
        </w:rPr>
        <w:t xml:space="preserve">1.2 </w:t>
      </w:r>
      <w:r>
        <w:rPr>
          <w:rFonts w:ascii="Times New Roman" w:hAnsi="Times New Roman" w:cs="Times New Roman"/>
          <w:b/>
          <w:sz w:val="28"/>
          <w:szCs w:val="28"/>
        </w:rPr>
        <w:t xml:space="preserve">Патентний ландшафт. </w:t>
      </w:r>
    </w:p>
    <w:p w:rsidR="0039038D" w:rsidRDefault="008D4FA6">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lang w:val="ru-RU"/>
        </w:rPr>
        <w:t xml:space="preserve">1.2.1 </w:t>
      </w:r>
      <w:r>
        <w:rPr>
          <w:rFonts w:ascii="Times New Roman" w:hAnsi="Times New Roman" w:cs="Times New Roman"/>
          <w:b/>
          <w:sz w:val="28"/>
          <w:szCs w:val="28"/>
        </w:rPr>
        <w:t>Загальні відомості</w:t>
      </w:r>
    </w:p>
    <w:p w:rsidR="0039038D" w:rsidRDefault="008D4FA6">
      <w:pPr>
        <w:spacing w:after="0" w:line="360" w:lineRule="auto"/>
        <w:ind w:firstLine="567"/>
        <w:jc w:val="both"/>
      </w:pPr>
      <w:r>
        <w:rPr>
          <w:rFonts w:ascii="Times New Roman" w:hAnsi="Times New Roman" w:cs="Times New Roman"/>
          <w:sz w:val="28"/>
          <w:szCs w:val="28"/>
        </w:rPr>
        <w:t xml:space="preserve">Під патентним ландшафтом розуміють особливий вид патентного пошуку та аналізу патентної інформації, результатом якого є конкретна інформація про "сьогоднішній" стан на ринку щодо визначеної технології. Даний пошук допоможе проаналізувати результати, виявити фаворитів та аутсайдерів ринку, а також дасть змогу прогнозувати найоптимальніші шляхи для розвитку та рівень </w:t>
      </w:r>
      <w:r>
        <w:rPr>
          <w:rFonts w:ascii="Times New Roman" w:hAnsi="Times New Roman" w:cs="Times New Roman"/>
          <w:sz w:val="28"/>
          <w:szCs w:val="28"/>
        </w:rPr>
        <w:lastRenderedPageBreak/>
        <w:t xml:space="preserve">попиту на визначену технологію. Особливістю цього виду пошуку є загальна "картина" відносно усіх основних конкурентів та визначення загального рівня конкуренції </w:t>
      </w:r>
      <w:r>
        <w:rPr>
          <w:rFonts w:ascii="Times New Roman" w:hAnsi="Times New Roman" w:cs="Times New Roman"/>
          <w:sz w:val="28"/>
          <w:szCs w:val="28"/>
          <w:lang w:val="ru-RU"/>
        </w:rPr>
        <w:t>[4]</w:t>
      </w:r>
      <w:r>
        <w:rPr>
          <w:rFonts w:ascii="Times New Roman" w:hAnsi="Times New Roman" w:cs="Times New Roman"/>
          <w:sz w:val="28"/>
          <w:szCs w:val="28"/>
        </w:rPr>
        <w:t>.</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Як вже було зазначено вище, патентний ландшафт є більш об'ємним варіантом традиційного патентного пошуку, а тому він буде корисним, коли необхідно:</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провести вибір напрямків технології, які є актуальними для інвестування;</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для науковців, розробників, які мають бажання комерціалізувати свою інтелектуальну власність (ІВ);</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для визначення та аналізу загального попит</w:t>
      </w:r>
      <w:r>
        <w:rPr>
          <w:rFonts w:ascii="Times New Roman" w:hAnsi="Times New Roman" w:cs="Times New Roman"/>
          <w:sz w:val="28"/>
          <w:szCs w:val="28"/>
          <w:lang w:val="ru-RU"/>
        </w:rPr>
        <w:t>у</w:t>
      </w:r>
      <w:r>
        <w:rPr>
          <w:rFonts w:ascii="Times New Roman" w:hAnsi="Times New Roman" w:cs="Times New Roman"/>
          <w:sz w:val="28"/>
          <w:szCs w:val="28"/>
        </w:rPr>
        <w:t xml:space="preserve"> з боку споживачів відносно певної технології;</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 для аналізу конкуренції в певній сфері;</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 для проведення пошуку ліцензіарів та ліцензіатів;</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6) для пошуку ймовірних порушників ОПІВ;</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7) також важливим результатом проведення патентного ландшафту може бути ступінь доцільності захисту ОПІВ та визначення оптимальних країн, де можна отримати правову охорону інноваційної технології.</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Результатом проведення патентного ландшафту є "звіт про патентний ландшафт", або PLR (Patent Landscape Report), який включає у себе результати не лише традиційного патентного пошуку, а й детального аналізу та візуалізацію отриманих даних, які у свою чергу будуть мати неймовірно важливе значення для подальшого прийняття рішень відносно способів та напрямків правової охорони ОПІВ </w:t>
      </w:r>
      <w:r>
        <w:rPr>
          <w:rFonts w:ascii="Times New Roman" w:hAnsi="Times New Roman" w:cs="Times New Roman"/>
          <w:sz w:val="28"/>
          <w:szCs w:val="28"/>
          <w:lang w:val="ru-RU"/>
        </w:rPr>
        <w:t>[4]</w:t>
      </w:r>
      <w:r>
        <w:rPr>
          <w:rFonts w:ascii="Times New Roman" w:hAnsi="Times New Roman" w:cs="Times New Roman"/>
          <w:sz w:val="28"/>
          <w:szCs w:val="28"/>
        </w:rPr>
        <w:t>.</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Як правило, загальний звіт про результати створення "патентного ландшафту" складається з:</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Вступу;</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Методології пошуку, дослідження патентних баз на наявність необхідних патентів; стратегії пошуку;</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Аналізу статистичного напрямку. На цьому кроці наводиться загальна статистика, яка включає в себе</w:t>
      </w:r>
      <w:r>
        <w:rPr>
          <w:rFonts w:ascii="Times New Roman" w:hAnsi="Times New Roman" w:cs="Times New Roman"/>
          <w:sz w:val="28"/>
          <w:szCs w:val="28"/>
          <w:lang w:val="ru-RU"/>
        </w:rPr>
        <w:t xml:space="preserve"> [4]</w:t>
      </w:r>
      <w:r>
        <w:rPr>
          <w:rFonts w:ascii="Times New Roman" w:hAnsi="Times New Roman" w:cs="Times New Roman"/>
          <w:sz w:val="28"/>
          <w:szCs w:val="28"/>
        </w:rPr>
        <w:t>:</w:t>
      </w:r>
    </w:p>
    <w:p w:rsidR="0039038D" w:rsidRDefault="008D4FA6">
      <w:pPr>
        <w:pStyle w:val="ac"/>
        <w:numPr>
          <w:ilvl w:val="0"/>
          <w:numId w:val="5"/>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lastRenderedPageBreak/>
        <w:t xml:space="preserve">кількість і динаміку поданих заявок на патент і кількість виданих патентів; </w:t>
      </w:r>
    </w:p>
    <w:p w:rsidR="0039038D" w:rsidRDefault="008D4FA6">
      <w:pPr>
        <w:pStyle w:val="ac"/>
        <w:numPr>
          <w:ilvl w:val="0"/>
          <w:numId w:val="5"/>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місце заявки першого патенту;</w:t>
      </w:r>
    </w:p>
    <w:p w:rsidR="0039038D" w:rsidRDefault="008D4FA6">
      <w:pPr>
        <w:pStyle w:val="ac"/>
        <w:numPr>
          <w:ilvl w:val="0"/>
          <w:numId w:val="5"/>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середній розмір родини патентів–аналогів на відомство 1–ого подання;</w:t>
      </w:r>
    </w:p>
    <w:p w:rsidR="0039038D" w:rsidRDefault="008D4FA6">
      <w:pPr>
        <w:pStyle w:val="ac"/>
        <w:numPr>
          <w:ilvl w:val="0"/>
          <w:numId w:val="5"/>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місце подання 2–ої заявки;</w:t>
      </w:r>
    </w:p>
    <w:p w:rsidR="0039038D" w:rsidRDefault="008D4FA6">
      <w:pPr>
        <w:pStyle w:val="ac"/>
        <w:numPr>
          <w:ilvl w:val="0"/>
          <w:numId w:val="5"/>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розподілення заявок на отримання охоронних документів за кодами МПК;</w:t>
      </w:r>
    </w:p>
    <w:p w:rsidR="0039038D" w:rsidRDefault="008D4FA6">
      <w:pPr>
        <w:pStyle w:val="ac"/>
        <w:numPr>
          <w:ilvl w:val="0"/>
          <w:numId w:val="5"/>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аналіз основних заявників;</w:t>
      </w:r>
    </w:p>
    <w:p w:rsidR="0039038D" w:rsidRDefault="008D4FA6">
      <w:pPr>
        <w:pStyle w:val="ac"/>
        <w:numPr>
          <w:ilvl w:val="0"/>
          <w:numId w:val="5"/>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аналіз основних винахідників;</w:t>
      </w:r>
    </w:p>
    <w:p w:rsidR="0039038D" w:rsidRDefault="008D4FA6">
      <w:pPr>
        <w:pStyle w:val="ac"/>
        <w:numPr>
          <w:ilvl w:val="0"/>
          <w:numId w:val="5"/>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огляд патентів в основних країнах–заявниках.</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 Висновки;</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 Додатки (карти, термінологія, запити для пошуків патентів тощо)</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 напрямком патентний ландшафт може бути відображений як конкурентний аналіз, технологічний аналіз, територіальний аналіз, або аналіз патентного портфоліо, а саме запатентованих інтелектуальних активів визначеної компанії.</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Важливу роль в розвитку створення патентних ландшафтів відіграла діяльність Комітету з розвитку та інтелектуальної власності (КРІВ), який діє у рамках Всесвітньої організації інтелектуальної власності (ВОІВ)</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Починаючи з 2009 року даний комітет реалізовує проект під назвою "Розробка інструментів доступу до патентної інформації", в рамках якого було створено та видано "Керівництво з підготовки звітів і патентних ландшафтів". Даний документ містить головні методології і інструментарії, які допомагають спеціалістам створювати патентні ландшафти.</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Автором даної інструкції є Ентоні Тріпп (фахівець в галузі інтелектуальної власності), який у свій час створив дисципліну "патентна інформатика"), а також заснував портал PatinFormatics. За допомоги вищезгаданого проекту КРІВ за дорученнями ВОІВ було розроблено приблизно 15 патентних ландшафтів. Додатково, близько сотні звітів, які у подальшому були опубліковані ВОІВ, підготовлені фаховими аналітичними компаніями. Ці звіти, на відміну від тих, що були ініційовані власне ВОІВ стосувалися патентних ландшафтів у галузях </w:t>
      </w:r>
      <w:r>
        <w:rPr>
          <w:rFonts w:ascii="Times New Roman" w:hAnsi="Times New Roman" w:cs="Times New Roman"/>
          <w:sz w:val="28"/>
          <w:szCs w:val="28"/>
        </w:rPr>
        <w:lastRenderedPageBreak/>
        <w:t>виробництва їжі, охорони здоров'я, а також різних напрямів досліджень і технологій [5].</w:t>
      </w:r>
    </w:p>
    <w:p w:rsidR="0039038D" w:rsidRDefault="008D4FA6">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 теперішнього часу накопичена багата практика побудови патентних ландшафтів. Зокрема, патентні ландшафти пропонуються в якості ринкових продуктів великими консалтинговими компаніями (Questel Orbit [8], </w:t>
      </w:r>
      <w:r>
        <w:rPr>
          <w:rFonts w:ascii="Times New Roman" w:hAnsi="Times New Roman" w:cs="Times New Roman"/>
          <w:color w:val="000000" w:themeColor="text1"/>
          <w:sz w:val="28"/>
          <w:szCs w:val="28"/>
          <w:lang w:val="en-US"/>
        </w:rPr>
        <w:t>Clarative</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Analytics</w:t>
      </w:r>
      <w:r>
        <w:rPr>
          <w:rFonts w:ascii="Times New Roman" w:hAnsi="Times New Roman" w:cs="Times New Roman"/>
          <w:color w:val="000000" w:themeColor="text1"/>
          <w:sz w:val="28"/>
          <w:szCs w:val="28"/>
        </w:rPr>
        <w:t xml:space="preserve"> [9] Frost and Sallivan [10] і ін.). На сьогоднішній день це найкращі інформаційні служби в світі, гарантують максимальну повноту і надійність досліджень патентної документації. Глибина доступного архіву з 1880 р Патентні фонди містять понад 60 мільйонів документів 95 країн і Міжнародних патентних відомств, включаючи документи як на промислові зразки, так і на корисні моделі та товарні знаки. У них представлена ​​максимально повна інформація про патентних аналогах, включаючи їх юридичний статус. Також, існує можливість автоматичного перекладу знайдених документів на будь–який з 30 мов світу (включаючи російську, англійську, французьку та ін.)</w:t>
      </w:r>
      <w:r>
        <w:rPr>
          <w:rFonts w:ascii="Times New Roman" w:hAnsi="Times New Roman" w:cs="Times New Roman"/>
          <w:color w:val="000000" w:themeColor="text1"/>
          <w:sz w:val="28"/>
          <w:szCs w:val="28"/>
          <w:lang w:val="ru-RU"/>
        </w:rPr>
        <w:t xml:space="preserve"> [6]</w:t>
      </w:r>
      <w:r>
        <w:rPr>
          <w:rFonts w:ascii="Times New Roman" w:hAnsi="Times New Roman" w:cs="Times New Roman"/>
          <w:color w:val="000000" w:themeColor="text1"/>
          <w:sz w:val="28"/>
          <w:szCs w:val="28"/>
        </w:rPr>
        <w:t xml:space="preserve">. </w:t>
      </w:r>
    </w:p>
    <w:p w:rsidR="0039038D" w:rsidRDefault="008D4FA6">
      <w:pPr>
        <w:spacing w:after="0" w:line="360" w:lineRule="auto"/>
        <w:ind w:firstLine="567"/>
        <w:jc w:val="both"/>
      </w:pPr>
      <w:r>
        <w:rPr>
          <w:rFonts w:ascii="Times New Roman" w:hAnsi="Times New Roman" w:cs="Times New Roman"/>
          <w:color w:val="000000" w:themeColor="text1"/>
          <w:sz w:val="28"/>
          <w:szCs w:val="28"/>
        </w:rPr>
        <w:t xml:space="preserve">Стосовно України, </w:t>
      </w:r>
      <w:r>
        <w:rPr>
          <w:rFonts w:ascii="Times New Roman" w:hAnsi="Times New Roman" w:cs="Times New Roman"/>
          <w:sz w:val="28"/>
          <w:szCs w:val="28"/>
        </w:rPr>
        <w:t>як зазначав у своїй статті "Стратегічний патентний ландшафт" фахівець в області інтелектуальної власності Геннадій Олександрович Андрощук, у рамках аналізу законодавства у галузі інтелектуальної власності, Україна значно відстає від більш розвинених країн у напрямку патентного захисту. Пов'язане це з тим, що не дивлячись на появу поняття "патентний ландшафт" протягом останніх декількох років власне законодавчі документи у цій галузі не оновлювалися</w:t>
      </w:r>
      <w:r>
        <w:rPr>
          <w:rFonts w:ascii="Times New Roman" w:hAnsi="Times New Roman" w:cs="Times New Roman"/>
          <w:sz w:val="28"/>
          <w:szCs w:val="28"/>
          <w:lang w:val="ru-RU"/>
        </w:rPr>
        <w:t xml:space="preserve"> [7]</w:t>
      </w:r>
      <w:r>
        <w:rPr>
          <w:rFonts w:ascii="Times New Roman" w:hAnsi="Times New Roman" w:cs="Times New Roman"/>
          <w:sz w:val="28"/>
          <w:szCs w:val="28"/>
        </w:rPr>
        <w:t>.</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Під час використання методики патентних ландшафтів велика кількість </w:t>
      </w:r>
      <w:r>
        <w:rPr>
          <w:rFonts w:ascii="Times New Roman" w:hAnsi="Times New Roman" w:cs="Times New Roman"/>
          <w:color w:val="000000"/>
          <w:sz w:val="28"/>
          <w:szCs w:val="28"/>
        </w:rPr>
        <w:t>організацій</w:t>
      </w:r>
      <w:r>
        <w:rPr>
          <w:rFonts w:ascii="Times New Roman" w:hAnsi="Times New Roman" w:cs="Times New Roman"/>
          <w:sz w:val="28"/>
          <w:szCs w:val="28"/>
        </w:rPr>
        <w:t>, які вже використовують його мають змогу отримати повний огляд технологічного сектору, який дає можливість отримати інформацію відносно діяльності основних конкурентів, а також хронологічного та міждисциплінарного розвитку основних технологічних напрямів.</w:t>
      </w:r>
    </w:p>
    <w:p w:rsidR="0039038D" w:rsidRDefault="008D4FA6">
      <w:pPr>
        <w:spacing w:after="0" w:line="360" w:lineRule="auto"/>
        <w:ind w:firstLine="567"/>
        <w:jc w:val="both"/>
      </w:pPr>
      <w:r>
        <w:rPr>
          <w:rFonts w:ascii="Times New Roman" w:hAnsi="Times New Roman" w:cs="Times New Roman"/>
          <w:sz w:val="28"/>
          <w:szCs w:val="28"/>
        </w:rPr>
        <w:t xml:space="preserve">Після отримання результатів </w:t>
      </w:r>
      <w:r>
        <w:rPr>
          <w:rFonts w:ascii="Times New Roman" w:hAnsi="Times New Roman" w:cs="Times New Roman"/>
          <w:color w:val="000000"/>
          <w:sz w:val="28"/>
          <w:szCs w:val="28"/>
        </w:rPr>
        <w:t xml:space="preserve">організації </w:t>
      </w:r>
      <w:r>
        <w:rPr>
          <w:rFonts w:ascii="Times New Roman" w:hAnsi="Times New Roman" w:cs="Times New Roman"/>
          <w:sz w:val="28"/>
          <w:szCs w:val="28"/>
        </w:rPr>
        <w:t>мають можливість проаналізувати економічну цінність та ефективність власних патентних портфелів, та їх подальш</w:t>
      </w:r>
      <w:r>
        <w:rPr>
          <w:rFonts w:ascii="Times New Roman" w:hAnsi="Times New Roman" w:cs="Times New Roman"/>
          <w:color w:val="000000"/>
          <w:sz w:val="28"/>
          <w:szCs w:val="28"/>
        </w:rPr>
        <w:t>е</w:t>
      </w:r>
      <w:r>
        <w:rPr>
          <w:rFonts w:ascii="Times New Roman" w:hAnsi="Times New Roman" w:cs="Times New Roman"/>
          <w:sz w:val="28"/>
          <w:szCs w:val="28"/>
        </w:rPr>
        <w:t xml:space="preserve"> стратегічне значення. Велика кількість патентних даних дає змогу підприємствам отримати інформацію про актуальні технології, головних заявників, які подавали заявки на отримання охоронних документів. Після цього </w:t>
      </w:r>
      <w:r>
        <w:rPr>
          <w:rFonts w:ascii="Times New Roman" w:hAnsi="Times New Roman" w:cs="Times New Roman"/>
          <w:color w:val="000000"/>
          <w:sz w:val="28"/>
          <w:szCs w:val="28"/>
        </w:rPr>
        <w:lastRenderedPageBreak/>
        <w:t xml:space="preserve">підприємства </w:t>
      </w:r>
      <w:r>
        <w:rPr>
          <w:rFonts w:ascii="Times New Roman" w:hAnsi="Times New Roman" w:cs="Times New Roman"/>
          <w:sz w:val="28"/>
          <w:szCs w:val="28"/>
        </w:rPr>
        <w:t>мають змогу розробити загальні рекомендації відносно ринків та конкурентів</w:t>
      </w:r>
      <w:r>
        <w:rPr>
          <w:rFonts w:ascii="Times New Roman" w:hAnsi="Times New Roman" w:cs="Times New Roman"/>
          <w:sz w:val="28"/>
          <w:szCs w:val="28"/>
          <w:lang w:val="ru-RU"/>
        </w:rPr>
        <w:t xml:space="preserve"> [5]</w:t>
      </w:r>
      <w:r>
        <w:rPr>
          <w:rFonts w:ascii="Times New Roman" w:hAnsi="Times New Roman" w:cs="Times New Roman"/>
          <w:sz w:val="28"/>
          <w:szCs w:val="28"/>
        </w:rPr>
        <w:t>.</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Яскравим прикладом глобальних патентних ландшафтів, є спільна карта глобального технологічного ландшафту, яку створила група вчених з Великобританії і США. За допомоги цієї карти можна визначити технологічні галузі в рамках яких з'являється найбільша кількість патентів та ті напрямки, які на сьогоднішній день є "занедбаними", а тому конкуренція в них майже відсутня. Під час створення вищезазначеної карти була використана інформація, яка надана європейською базою патентів (PATSTAT) та містить дані про 760 тис. патентів, які заявлені в 466 базових категоріях Міжнародної патентної класифікації (МПК).</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сьогоднішній день найважливішу роль у створенні методології використання патентних ландшафтів відіграє ВОІВ. Всесвітня організація надає велику увагу розробці та впровадженню методичних матеріалів з загальної підготовки патентних ландшафтів.</w:t>
      </w:r>
    </w:p>
    <w:p w:rsidR="0039038D" w:rsidRDefault="0039038D">
      <w:pPr>
        <w:spacing w:after="0" w:line="360" w:lineRule="auto"/>
        <w:ind w:firstLine="567"/>
        <w:jc w:val="both"/>
        <w:rPr>
          <w:rFonts w:ascii="Times New Roman" w:hAnsi="Times New Roman" w:cs="Times New Roman"/>
          <w:sz w:val="28"/>
          <w:szCs w:val="28"/>
        </w:rPr>
      </w:pPr>
    </w:p>
    <w:p w:rsidR="0039038D" w:rsidRDefault="008D4FA6">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1.2.2 Методологія розробки патентних ландшафтів</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Одне з головних питань, яке постає при побудові патентних ландшафтів є їх поетапна розробка.</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загальному випадку створення ПЛ поділяється на наступні етапи</w:t>
      </w:r>
      <w:r>
        <w:rPr>
          <w:rFonts w:ascii="Times New Roman" w:hAnsi="Times New Roman" w:cs="Times New Roman"/>
          <w:sz w:val="28"/>
          <w:szCs w:val="28"/>
          <w:lang w:val="ru-RU"/>
        </w:rPr>
        <w:t xml:space="preserve"> [5]</w:t>
      </w:r>
      <w:r>
        <w:rPr>
          <w:rFonts w:ascii="Times New Roman" w:hAnsi="Times New Roman" w:cs="Times New Roman"/>
          <w:sz w:val="28"/>
          <w:szCs w:val="28"/>
        </w:rPr>
        <w:t>:</w:t>
      </w:r>
    </w:p>
    <w:p w:rsidR="0039038D" w:rsidRDefault="008D4FA6">
      <w:pPr>
        <w:pStyle w:val="ac"/>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етап -  визначення головної мети дослідження і аналіз визначеної інформації по даній темі.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зазначеному етапі виконавець повинен увесь час тісно взаємодіяти з замовником, так як він має змогу отримати детальну вихідну інформацію, згідно якої далі складається термінологічний довідник, а також визначається ступінь необхідності залучення до пошуку фахівців з суміжних спеціальностей.</w:t>
      </w:r>
    </w:p>
    <w:p w:rsidR="0039038D" w:rsidRDefault="008D4FA6">
      <w:pPr>
        <w:spacing w:after="0" w:line="360" w:lineRule="auto"/>
        <w:ind w:firstLine="567"/>
        <w:jc w:val="both"/>
      </w:pPr>
      <w:r>
        <w:rPr>
          <w:rFonts w:ascii="Times New Roman" w:hAnsi="Times New Roman" w:cs="Times New Roman"/>
          <w:sz w:val="28"/>
          <w:szCs w:val="28"/>
        </w:rPr>
        <w:t>Окрім цього, розробляється план–графік пошукових досліджень, а також визначаються витрати, та інші договірні зобов'язання.</w:t>
      </w:r>
    </w:p>
    <w:p w:rsidR="0039038D" w:rsidRDefault="008D4FA6">
      <w:pPr>
        <w:pStyle w:val="ac"/>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2 етап -  проведення патентного пошуку та створення ландшафту.</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Головна мета другого етапу полягає у створенні колекції даних для аналізу, а саме визначення патентних документів, які мають можливість вплинути на об'єктивність пошуку.</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Серед іншого необхідно виявити наступні дані:</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Країни пошуку;</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Головні канали інформації, а саме, бази даних, патентні фонди, пошукові інструменти тощо;</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Індекси згідно МПК, які відносяться до кожного предмету пошуку, а також до національних класифікаційних систем по країнам пошуку.</w:t>
      </w:r>
    </w:p>
    <w:p w:rsidR="0039038D" w:rsidRDefault="008D4FA6">
      <w:pPr>
        <w:pStyle w:val="ac"/>
        <w:numPr>
          <w:ilvl w:val="0"/>
          <w:numId w:val="22"/>
        </w:numPr>
        <w:spacing w:after="0" w:line="360" w:lineRule="auto"/>
        <w:ind w:left="851" w:hanging="425"/>
        <w:jc w:val="both"/>
        <w:rPr>
          <w:rFonts w:ascii="Times New Roman" w:hAnsi="Times New Roman" w:cs="Times New Roman"/>
          <w:sz w:val="28"/>
          <w:szCs w:val="28"/>
        </w:rPr>
      </w:pPr>
      <w:r>
        <w:rPr>
          <w:rFonts w:ascii="Times New Roman" w:hAnsi="Times New Roman" w:cs="Times New Roman"/>
          <w:sz w:val="28"/>
          <w:szCs w:val="28"/>
        </w:rPr>
        <w:t>3 етап -  доопрацювання отриманих даних.</w:t>
      </w:r>
    </w:p>
    <w:p w:rsidR="0039038D" w:rsidRDefault="008D4FA6">
      <w:pPr>
        <w:spacing w:after="0" w:line="360" w:lineRule="auto"/>
        <w:ind w:firstLine="567"/>
        <w:jc w:val="both"/>
      </w:pPr>
      <w:r>
        <w:rPr>
          <w:rFonts w:ascii="Times New Roman" w:hAnsi="Times New Roman" w:cs="Times New Roman"/>
          <w:sz w:val="28"/>
          <w:szCs w:val="28"/>
        </w:rPr>
        <w:t>Зокрема, можуть застосовуватися різні фільтри, обмеження та систематизації, наприклад, по компаніям, які подали найбільшу кількість заявок на отримання охоронного документу.</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Стратегія пошуку патентів, зазвичай, передбачає розробку патентних пулів по тематичному і класифікаційному пошуку. Нерелевантні документи у підсумковий звіт не додаються.</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Центральну роль при пошуку імен авторів патентів відіграє зміна назв, або зміна організаційно–правових форм, а також злиття декількох компаній та помилки технічного характеру в патентних публікаціях, які можуть виникати на етапі підготовки заявок на отримання охоронного документу.</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Також, регулярно можна бачити проблеми з транслітерацією важливої інформації в патентах, наприклад, помилки при аналізі українських імен в англомовних інформаційних системах.</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Окрім цього є велика кількість нюансів, які мають надзвичайний вплив на створення патентного ландшафту.</w:t>
      </w:r>
    </w:p>
    <w:p w:rsidR="0039038D" w:rsidRDefault="008D4FA6">
      <w:pPr>
        <w:pStyle w:val="ac"/>
        <w:numPr>
          <w:ilvl w:val="0"/>
          <w:numId w:val="22"/>
        </w:numPr>
        <w:spacing w:after="0" w:line="360" w:lineRule="auto"/>
        <w:ind w:left="709" w:hanging="283"/>
        <w:jc w:val="both"/>
        <w:rPr>
          <w:rFonts w:ascii="Times New Roman" w:hAnsi="Times New Roman" w:cs="Times New Roman"/>
          <w:sz w:val="28"/>
          <w:szCs w:val="28"/>
        </w:rPr>
      </w:pPr>
      <w:r>
        <w:rPr>
          <w:rFonts w:ascii="Times New Roman" w:hAnsi="Times New Roman" w:cs="Times New Roman"/>
          <w:sz w:val="28"/>
          <w:szCs w:val="28"/>
        </w:rPr>
        <w:t>4 етап -  дослідження патентної колекції</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цьому етапі, як правило, проводиться кількісний і якісний аналіз наявних патентів, які були знайдені на попередніх етапах.</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Класичний аналіз включає наступні завдання:</w:t>
      </w:r>
    </w:p>
    <w:p w:rsidR="0039038D" w:rsidRDefault="008D4FA6">
      <w:pPr>
        <w:pStyle w:val="ac"/>
        <w:numPr>
          <w:ilvl w:val="0"/>
          <w:numId w:val="37"/>
        </w:numPr>
        <w:spacing w:after="0" w:line="360" w:lineRule="auto"/>
        <w:ind w:left="993"/>
        <w:jc w:val="both"/>
        <w:rPr>
          <w:rFonts w:ascii="Times New Roman" w:hAnsi="Times New Roman" w:cs="Times New Roman"/>
          <w:sz w:val="28"/>
          <w:szCs w:val="28"/>
        </w:rPr>
      </w:pPr>
      <w:r>
        <w:rPr>
          <w:rFonts w:ascii="Times New Roman" w:hAnsi="Times New Roman" w:cs="Times New Roman"/>
          <w:sz w:val="28"/>
          <w:szCs w:val="28"/>
        </w:rPr>
        <w:lastRenderedPageBreak/>
        <w:t>отримання статистичної інформації (загальна кількість патентних документів, які були досліджені, хронологічні рамки в яких досліджуються патенти;</w:t>
      </w:r>
    </w:p>
    <w:p w:rsidR="0039038D" w:rsidRDefault="008D4FA6">
      <w:pPr>
        <w:pStyle w:val="ac"/>
        <w:numPr>
          <w:ilvl w:val="0"/>
          <w:numId w:val="3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розподіл наявних патентів за країнами, в яких були отримані заявки на отримання охоронного документу;</w:t>
      </w:r>
    </w:p>
    <w:p w:rsidR="0039038D" w:rsidRDefault="008D4FA6">
      <w:pPr>
        <w:pStyle w:val="ac"/>
        <w:numPr>
          <w:ilvl w:val="0"/>
          <w:numId w:val="3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відомості відносно першої, другої та наступних подач документів;</w:t>
      </w:r>
    </w:p>
    <w:p w:rsidR="0039038D" w:rsidRDefault="008D4FA6">
      <w:pPr>
        <w:pStyle w:val="ac"/>
        <w:numPr>
          <w:ilvl w:val="0"/>
          <w:numId w:val="3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розподіл досліджуваних патентів за підкласами МПК;</w:t>
      </w:r>
    </w:p>
    <w:p w:rsidR="0039038D" w:rsidRDefault="008D4FA6">
      <w:pPr>
        <w:pStyle w:val="ac"/>
        <w:numPr>
          <w:ilvl w:val="0"/>
          <w:numId w:val="3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визначення категорій заявників, які отримають найбільшу кількість охоронних документів;</w:t>
      </w:r>
    </w:p>
    <w:p w:rsidR="0039038D" w:rsidRDefault="008D4FA6">
      <w:pPr>
        <w:pStyle w:val="ac"/>
        <w:numPr>
          <w:ilvl w:val="0"/>
          <w:numId w:val="3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дослідження категорій заявників по країнам;</w:t>
      </w:r>
    </w:p>
    <w:p w:rsidR="0039038D" w:rsidRDefault="008D4FA6">
      <w:pPr>
        <w:pStyle w:val="ac"/>
        <w:numPr>
          <w:ilvl w:val="0"/>
          <w:numId w:val="3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дослідження родин патентів–аналогів;</w:t>
      </w:r>
    </w:p>
    <w:p w:rsidR="0039038D" w:rsidRDefault="008D4FA6">
      <w:pPr>
        <w:pStyle w:val="ac"/>
        <w:numPr>
          <w:ilvl w:val="0"/>
          <w:numId w:val="3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аналіз авторів заявок;</w:t>
      </w:r>
    </w:p>
    <w:p w:rsidR="0039038D" w:rsidRDefault="008D4FA6">
      <w:pPr>
        <w:pStyle w:val="ac"/>
        <w:numPr>
          <w:ilvl w:val="0"/>
          <w:numId w:val="35"/>
        </w:numPr>
        <w:spacing w:after="0" w:line="360" w:lineRule="auto"/>
        <w:jc w:val="both"/>
      </w:pPr>
      <w:r>
        <w:rPr>
          <w:rFonts w:ascii="Times New Roman" w:hAnsi="Times New Roman" w:cs="Times New Roman"/>
          <w:sz w:val="28"/>
          <w:szCs w:val="28"/>
        </w:rPr>
        <w:t xml:space="preserve">аналіз даних, які містяться в патентах: ліцензії, перехід прав, термін </w:t>
      </w:r>
      <w:r>
        <w:rPr>
          <w:rFonts w:ascii="Times New Roman" w:hAnsi="Times New Roman" w:cs="Times New Roman"/>
          <w:color w:val="000000"/>
          <w:sz w:val="28"/>
          <w:szCs w:val="28"/>
        </w:rPr>
        <w:t xml:space="preserve">підтримки чинності </w:t>
      </w:r>
      <w:r>
        <w:rPr>
          <w:rFonts w:ascii="Times New Roman" w:hAnsi="Times New Roman" w:cs="Times New Roman"/>
          <w:sz w:val="28"/>
          <w:szCs w:val="28"/>
        </w:rPr>
        <w:t>та ін.</w:t>
      </w:r>
    </w:p>
    <w:p w:rsidR="0039038D" w:rsidRDefault="008D4FA6">
      <w:pPr>
        <w:pStyle w:val="ac"/>
        <w:numPr>
          <w:ilvl w:val="0"/>
          <w:numId w:val="22"/>
        </w:numPr>
        <w:spacing w:after="0" w:line="360" w:lineRule="auto"/>
        <w:ind w:left="709" w:hanging="283"/>
        <w:jc w:val="both"/>
        <w:rPr>
          <w:rFonts w:ascii="Times New Roman" w:hAnsi="Times New Roman" w:cs="Times New Roman"/>
          <w:sz w:val="28"/>
          <w:szCs w:val="28"/>
        </w:rPr>
      </w:pPr>
      <w:r>
        <w:rPr>
          <w:rFonts w:ascii="Times New Roman" w:hAnsi="Times New Roman" w:cs="Times New Roman"/>
          <w:sz w:val="28"/>
          <w:szCs w:val="28"/>
        </w:rPr>
        <w:t>5 етап: візуалізація результатів аналізу</w:t>
      </w:r>
    </w:p>
    <w:p w:rsidR="0039038D" w:rsidRDefault="008D4FA6">
      <w:pPr>
        <w:spacing w:after="0" w:line="360" w:lineRule="auto"/>
        <w:ind w:firstLine="567"/>
        <w:jc w:val="both"/>
      </w:pPr>
      <w:r>
        <w:rPr>
          <w:rFonts w:ascii="Times New Roman" w:hAnsi="Times New Roman" w:cs="Times New Roman"/>
          <w:sz w:val="28"/>
          <w:szCs w:val="28"/>
        </w:rPr>
        <w:t xml:space="preserve">Одним із головних етапів патентних ландшафтів є саме візуалізація, </w:t>
      </w:r>
      <w:r>
        <w:rPr>
          <w:rFonts w:ascii="Times New Roman" w:hAnsi="Times New Roman" w:cs="Times New Roman"/>
          <w:color w:val="000000"/>
          <w:sz w:val="28"/>
          <w:szCs w:val="28"/>
        </w:rPr>
        <w:t xml:space="preserve">так як вона відображує </w:t>
      </w:r>
      <w:r>
        <w:rPr>
          <w:rFonts w:ascii="Times New Roman" w:hAnsi="Times New Roman" w:cs="Times New Roman"/>
          <w:sz w:val="28"/>
          <w:szCs w:val="28"/>
        </w:rPr>
        <w:t>головну суть патентного ландшафту.</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Серед засобів візуалізації потрібно відзначити наступні: створення нових графіків і діаграм; кластерні, ландшафтні, теплові та концептуальні карти; матриці сполучуваності і відповідності; гіперболічне дерево або часові шкали.</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Серед головних видів візуалізації розрізняють статистичну візуалізацію (наприклад, файли, які створюють у програмному забезпеченні Microsoft Office) і динамічну візуалізацію, яка створюється завдяки сучасним інформаційним технологіям.</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сьогоднішній день одним з найпопулярніших видів візуалізації є інфорграфіка.</w:t>
      </w:r>
    </w:p>
    <w:p w:rsidR="0039038D" w:rsidRDefault="008D4FA6">
      <w:pPr>
        <w:pStyle w:val="ac"/>
        <w:numPr>
          <w:ilvl w:val="0"/>
          <w:numId w:val="22"/>
        </w:numPr>
        <w:tabs>
          <w:tab w:val="left" w:pos="1134"/>
        </w:tabs>
        <w:spacing w:after="0" w:line="360" w:lineRule="auto"/>
        <w:ind w:left="709" w:hanging="283"/>
        <w:jc w:val="both"/>
        <w:rPr>
          <w:rFonts w:ascii="Times New Roman" w:hAnsi="Times New Roman" w:cs="Times New Roman"/>
          <w:sz w:val="28"/>
          <w:szCs w:val="28"/>
        </w:rPr>
      </w:pPr>
      <w:r>
        <w:rPr>
          <w:rFonts w:ascii="Times New Roman" w:hAnsi="Times New Roman" w:cs="Times New Roman"/>
          <w:sz w:val="28"/>
          <w:szCs w:val="28"/>
        </w:rPr>
        <w:t>6 етап: фінальний – створення звіту патентного ландшафту.</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Найголовніша мета, якої слід дотримуватися при складані звіту про патентний ландшафт є відверта орієнтація на споживача.</w:t>
      </w:r>
    </w:p>
    <w:p w:rsidR="0039038D" w:rsidRDefault="008D4FA6">
      <w:pPr>
        <w:spacing w:after="0" w:line="360" w:lineRule="auto"/>
        <w:ind w:firstLine="567"/>
        <w:jc w:val="both"/>
      </w:pPr>
      <w:r>
        <w:rPr>
          <w:rFonts w:ascii="Times New Roman" w:hAnsi="Times New Roman" w:cs="Times New Roman"/>
          <w:sz w:val="28"/>
          <w:szCs w:val="28"/>
        </w:rPr>
        <w:lastRenderedPageBreak/>
        <w:t xml:space="preserve">Серед основних споживачів, які можуть бути зацікавлені у отриманні результатів патентного пошуку є: інвестори, науковці, органи державної влади, фонди, патентні </w:t>
      </w:r>
      <w:r>
        <w:rPr>
          <w:rFonts w:ascii="Times New Roman" w:hAnsi="Times New Roman" w:cs="Times New Roman"/>
          <w:color w:val="000000"/>
          <w:sz w:val="28"/>
          <w:szCs w:val="28"/>
        </w:rPr>
        <w:t>п</w:t>
      </w:r>
      <w:r>
        <w:rPr>
          <w:rFonts w:ascii="Times New Roman" w:hAnsi="Times New Roman" w:cs="Times New Roman"/>
          <w:sz w:val="28"/>
          <w:szCs w:val="28"/>
        </w:rPr>
        <w:t>овірені, кадрові служби, ЗМІ та ін.</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Як правило, замовнику передають результати патентного ландшафту, які містять</w:t>
      </w:r>
      <w:r>
        <w:rPr>
          <w:rFonts w:ascii="Times New Roman" w:hAnsi="Times New Roman" w:cs="Times New Roman"/>
          <w:sz w:val="28"/>
          <w:szCs w:val="28"/>
          <w:lang w:val="ru-RU"/>
        </w:rPr>
        <w:t xml:space="preserve"> [4]</w:t>
      </w:r>
      <w:r>
        <w:rPr>
          <w:rFonts w:ascii="Times New Roman" w:hAnsi="Times New Roman" w:cs="Times New Roman"/>
          <w:sz w:val="28"/>
          <w:szCs w:val="28"/>
        </w:rPr>
        <w:t>:</w:t>
      </w:r>
    </w:p>
    <w:p w:rsidR="0039038D" w:rsidRDefault="008D4FA6">
      <w:pPr>
        <w:pStyle w:val="ac"/>
        <w:numPr>
          <w:ilvl w:val="0"/>
          <w:numId w:val="3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резюме патентного пошуку;</w:t>
      </w:r>
    </w:p>
    <w:p w:rsidR="0039038D" w:rsidRDefault="008D4FA6">
      <w:pPr>
        <w:pStyle w:val="ac"/>
        <w:numPr>
          <w:ilvl w:val="0"/>
          <w:numId w:val="3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звіт, який має визначену орієнтацію на споживача;</w:t>
      </w:r>
    </w:p>
    <w:p w:rsidR="0039038D" w:rsidRDefault="008D4FA6">
      <w:pPr>
        <w:pStyle w:val="ac"/>
        <w:numPr>
          <w:ilvl w:val="0"/>
          <w:numId w:val="3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патенти, які були використані при аналізі;</w:t>
      </w:r>
    </w:p>
    <w:p w:rsidR="0039038D" w:rsidRDefault="008D4FA6">
      <w:pPr>
        <w:pStyle w:val="ac"/>
        <w:numPr>
          <w:ilvl w:val="0"/>
          <w:numId w:val="3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матеріали з візуалізацією результатів пошуку, які не потрапили в основний звіт;</w:t>
      </w:r>
    </w:p>
    <w:p w:rsidR="0039038D" w:rsidRDefault="008D4FA6">
      <w:pPr>
        <w:pStyle w:val="ac"/>
        <w:numPr>
          <w:ilvl w:val="0"/>
          <w:numId w:val="3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таблиці, схеми та графіки за допомогою яких були створені діаграми та інші матеріали з візуалізацією; </w:t>
      </w:r>
    </w:p>
    <w:p w:rsidR="0039038D" w:rsidRDefault="008D4FA6">
      <w:pPr>
        <w:pStyle w:val="ac"/>
        <w:numPr>
          <w:ilvl w:val="0"/>
          <w:numId w:val="3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файл із зазначенням пошукових запитів, які були використані під час патентного пошуку;</w:t>
      </w:r>
    </w:p>
    <w:p w:rsidR="0039038D" w:rsidRDefault="008D4FA6">
      <w:pPr>
        <w:pStyle w:val="ac"/>
        <w:numPr>
          <w:ilvl w:val="0"/>
          <w:numId w:val="3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загальний опис пошукових систем, які були використані під час патентного пошуку;</w:t>
      </w:r>
    </w:p>
    <w:p w:rsidR="0039038D" w:rsidRDefault="008D4FA6">
      <w:pPr>
        <w:pStyle w:val="ac"/>
        <w:numPr>
          <w:ilvl w:val="0"/>
          <w:numId w:val="3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перелік умовних скорочень.</w:t>
      </w:r>
    </w:p>
    <w:p w:rsidR="0039038D" w:rsidRDefault="0039038D">
      <w:pPr>
        <w:pStyle w:val="ac"/>
        <w:spacing w:after="0" w:line="360" w:lineRule="auto"/>
        <w:ind w:left="927"/>
        <w:jc w:val="both"/>
        <w:rPr>
          <w:rFonts w:ascii="Times New Roman" w:hAnsi="Times New Roman" w:cs="Times New Roman"/>
          <w:sz w:val="28"/>
          <w:szCs w:val="28"/>
        </w:rPr>
      </w:pPr>
    </w:p>
    <w:p w:rsidR="0039038D" w:rsidRDefault="008D4FA6">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lang w:val="ru-RU"/>
        </w:rPr>
        <w:t xml:space="preserve">1.2.3 </w:t>
      </w:r>
      <w:r>
        <w:rPr>
          <w:rFonts w:ascii="Times New Roman" w:hAnsi="Times New Roman" w:cs="Times New Roman"/>
          <w:b/>
          <w:sz w:val="28"/>
          <w:szCs w:val="28"/>
        </w:rPr>
        <w:t>Аналітичні інструменти з відкритим програмним кодом</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сьогоднішній день пошукові патентні системи діляться на програми з відкритим вихідним кодом (безкоштовні) та комерційні, які здебільшого використовуються для побудови патентних ландшафтів та мають велику кількість варіантів візуалізації.</w:t>
      </w:r>
    </w:p>
    <w:p w:rsidR="0039038D" w:rsidRDefault="008D4FA6">
      <w:pPr>
        <w:spacing w:after="0" w:line="360" w:lineRule="auto"/>
        <w:ind w:firstLine="567"/>
        <w:jc w:val="both"/>
      </w:pPr>
      <w:r>
        <w:rPr>
          <w:rFonts w:ascii="Times New Roman" w:hAnsi="Times New Roman" w:cs="Times New Roman"/>
          <w:sz w:val="28"/>
          <w:szCs w:val="28"/>
        </w:rPr>
        <w:t>До безкоштовних систем потрібно віднести: PATENTSCOPE (ВОІВ), Espacenet (Європейське патентне відомство – ЄПВ), інформаційні системи національних патентних відомств в реферативному обсязі, у тому числі бази даних Українського інститу</w:t>
      </w:r>
      <w:r>
        <w:rPr>
          <w:rFonts w:ascii="Times New Roman" w:hAnsi="Times New Roman" w:cs="Times New Roman"/>
          <w:color w:val="000000"/>
          <w:sz w:val="28"/>
          <w:szCs w:val="28"/>
        </w:rPr>
        <w:t xml:space="preserve">ту </w:t>
      </w:r>
      <w:r>
        <w:rPr>
          <w:rFonts w:ascii="Times New Roman" w:hAnsi="Times New Roman" w:cs="Times New Roman"/>
          <w:sz w:val="28"/>
          <w:szCs w:val="28"/>
        </w:rPr>
        <w:t xml:space="preserve">інтелектуальної </w:t>
      </w:r>
      <w:r>
        <w:rPr>
          <w:rFonts w:ascii="Times New Roman" w:hAnsi="Times New Roman" w:cs="Times New Roman"/>
          <w:color w:val="000000"/>
          <w:sz w:val="28"/>
          <w:szCs w:val="28"/>
        </w:rPr>
        <w:t>власності (Укрпатент).</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Розглянемо кожну патентну базу даних більш детально, щоб визначити оптимальну для побудови патентного ландшафту.</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сьогоднішній день база даних "PATENTSCOPE" дає змогу отримати повні тексти міжнародних заявок, які були подані відповідно до Договору про </w:t>
      </w:r>
      <w:r>
        <w:rPr>
          <w:rFonts w:ascii="Times New Roman" w:hAnsi="Times New Roman" w:cs="Times New Roman"/>
          <w:sz w:val="28"/>
          <w:szCs w:val="28"/>
        </w:rPr>
        <w:lastRenderedPageBreak/>
        <w:t xml:space="preserve">патенту кооперацію (PCT). Документи знаходяться у загальному доступі з моменту їх публікації. Також містяться патентні документи регіональних і національних </w:t>
      </w:r>
      <w:r>
        <w:rPr>
          <w:rFonts w:ascii="Times New Roman" w:hAnsi="Times New Roman" w:cs="Times New Roman"/>
          <w:color w:val="000000"/>
          <w:sz w:val="28"/>
          <w:szCs w:val="28"/>
        </w:rPr>
        <w:t>патентних в</w:t>
      </w:r>
      <w:r>
        <w:rPr>
          <w:rFonts w:ascii="Times New Roman" w:hAnsi="Times New Roman" w:cs="Times New Roman"/>
          <w:sz w:val="28"/>
          <w:szCs w:val="28"/>
        </w:rPr>
        <w:t>ідомств держав–учасниць</w:t>
      </w:r>
      <w:r>
        <w:rPr>
          <w:rFonts w:ascii="Times New Roman" w:hAnsi="Times New Roman" w:cs="Times New Roman"/>
          <w:sz w:val="28"/>
          <w:szCs w:val="28"/>
          <w:lang w:val="ru-RU"/>
        </w:rPr>
        <w:t xml:space="preserve"> [11]</w:t>
      </w:r>
      <w:r>
        <w:rPr>
          <w:rFonts w:ascii="Times New Roman" w:hAnsi="Times New Roman" w:cs="Times New Roman"/>
          <w:sz w:val="28"/>
          <w:szCs w:val="28"/>
        </w:rPr>
        <w:t>.</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сьогоднішній день Patentscope є найбільш популярною системою для пошуку патентів. Серед головних переваг </w:t>
      </w:r>
      <w:r>
        <w:rPr>
          <w:rFonts w:ascii="Times New Roman" w:hAnsi="Times New Roman" w:cs="Times New Roman"/>
          <w:color w:val="000000"/>
          <w:sz w:val="28"/>
          <w:szCs w:val="28"/>
        </w:rPr>
        <w:t xml:space="preserve">цього ресурсу </w:t>
      </w:r>
      <w:r>
        <w:rPr>
          <w:rFonts w:ascii="Times New Roman" w:hAnsi="Times New Roman" w:cs="Times New Roman"/>
          <w:sz w:val="28"/>
          <w:szCs w:val="28"/>
        </w:rPr>
        <w:t>треба відзначити наступні:</w:t>
      </w:r>
    </w:p>
    <w:p w:rsidR="0039038D" w:rsidRDefault="008D4FA6">
      <w:pPr>
        <w:pStyle w:val="ac"/>
        <w:numPr>
          <w:ilvl w:val="0"/>
          <w:numId w:val="39"/>
        </w:numPr>
        <w:spacing w:after="0" w:line="360" w:lineRule="auto"/>
        <w:ind w:left="993" w:hanging="426"/>
        <w:jc w:val="both"/>
      </w:pPr>
      <w:r>
        <w:rPr>
          <w:rFonts w:ascii="Times New Roman" w:hAnsi="Times New Roman" w:cs="Times New Roman"/>
          <w:sz w:val="28"/>
          <w:szCs w:val="28"/>
        </w:rPr>
        <w:t>Щотижневі публікації РСТ доступні вже в день публікації;</w:t>
      </w:r>
    </w:p>
    <w:p w:rsidR="0039038D" w:rsidRDefault="008D4FA6">
      <w:pPr>
        <w:pStyle w:val="ac"/>
        <w:numPr>
          <w:ilvl w:val="0"/>
          <w:numId w:val="39"/>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 xml:space="preserve">Абсолютно безкоштовний доступ до усіх пошукових </w:t>
      </w:r>
      <w:r>
        <w:rPr>
          <w:rFonts w:ascii="Times New Roman" w:hAnsi="Times New Roman" w:cs="Times New Roman"/>
          <w:color w:val="000000"/>
          <w:sz w:val="28"/>
          <w:szCs w:val="28"/>
        </w:rPr>
        <w:t xml:space="preserve">функцій, </w:t>
      </w:r>
      <w:r>
        <w:rPr>
          <w:rFonts w:ascii="Times New Roman" w:hAnsi="Times New Roman" w:cs="Times New Roman"/>
          <w:sz w:val="28"/>
          <w:szCs w:val="28"/>
        </w:rPr>
        <w:t>які доступні в базі даних;</w:t>
      </w:r>
    </w:p>
    <w:p w:rsidR="0039038D" w:rsidRDefault="008D4FA6">
      <w:pPr>
        <w:pStyle w:val="ac"/>
        <w:numPr>
          <w:ilvl w:val="0"/>
          <w:numId w:val="39"/>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Усі документ РСТ можна завантажувати;</w:t>
      </w:r>
    </w:p>
    <w:p w:rsidR="0039038D" w:rsidRDefault="008D4FA6">
      <w:pPr>
        <w:pStyle w:val="ac"/>
        <w:numPr>
          <w:ilvl w:val="0"/>
          <w:numId w:val="39"/>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В рамках БД доступні більше 50 регіональних і національних фондів;</w:t>
      </w:r>
    </w:p>
    <w:p w:rsidR="0039038D" w:rsidRDefault="008D4FA6">
      <w:pPr>
        <w:pStyle w:val="ac"/>
        <w:numPr>
          <w:ilvl w:val="0"/>
          <w:numId w:val="39"/>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Необмежений пошук повних текстів, зокрема в повнотекстовий пошук вбудовані графічні зображення;</w:t>
      </w:r>
    </w:p>
    <w:p w:rsidR="0039038D" w:rsidRDefault="008D4FA6">
      <w:pPr>
        <w:pStyle w:val="ac"/>
        <w:numPr>
          <w:ilvl w:val="0"/>
          <w:numId w:val="39"/>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Підтримка основних операторів пошуку, до яки потрібно віднести: AND, OR, NOT, NEAR та BEFORE;</w:t>
      </w:r>
    </w:p>
    <w:p w:rsidR="0039038D" w:rsidRDefault="008D4FA6">
      <w:pPr>
        <w:pStyle w:val="ac"/>
        <w:numPr>
          <w:ilvl w:val="0"/>
          <w:numId w:val="39"/>
        </w:numPr>
        <w:spacing w:after="0" w:line="360" w:lineRule="auto"/>
        <w:ind w:left="993" w:hanging="426"/>
        <w:jc w:val="both"/>
      </w:pPr>
      <w:r>
        <w:rPr>
          <w:rFonts w:ascii="Times New Roman" w:hAnsi="Times New Roman" w:cs="Times New Roman"/>
          <w:sz w:val="28"/>
          <w:szCs w:val="28"/>
        </w:rPr>
        <w:t xml:space="preserve">Підтримка розпізнавання однокореневих слів при </w:t>
      </w:r>
      <w:r>
        <w:rPr>
          <w:rFonts w:ascii="Times New Roman" w:hAnsi="Times New Roman" w:cs="Times New Roman"/>
          <w:color w:val="000000"/>
          <w:sz w:val="28"/>
          <w:szCs w:val="28"/>
        </w:rPr>
        <w:t xml:space="preserve">проведенні </w:t>
      </w:r>
      <w:r>
        <w:rPr>
          <w:rFonts w:ascii="Times New Roman" w:hAnsi="Times New Roman" w:cs="Times New Roman"/>
          <w:sz w:val="28"/>
          <w:szCs w:val="28"/>
        </w:rPr>
        <w:t>пош</w:t>
      </w:r>
      <w:r>
        <w:rPr>
          <w:rFonts w:ascii="Times New Roman" w:hAnsi="Times New Roman" w:cs="Times New Roman"/>
          <w:color w:val="000000"/>
          <w:sz w:val="28"/>
          <w:szCs w:val="28"/>
        </w:rPr>
        <w:t>уку</w:t>
      </w:r>
      <w:r>
        <w:rPr>
          <w:rFonts w:ascii="Times New Roman" w:hAnsi="Times New Roman" w:cs="Times New Roman"/>
          <w:sz w:val="28"/>
          <w:szCs w:val="28"/>
        </w:rPr>
        <w:t>(як приклад, електричний, електронний або електрика);</w:t>
      </w:r>
    </w:p>
    <w:p w:rsidR="0039038D" w:rsidRDefault="008D4FA6">
      <w:pPr>
        <w:pStyle w:val="ac"/>
        <w:numPr>
          <w:ilvl w:val="0"/>
          <w:numId w:val="39"/>
        </w:numPr>
        <w:spacing w:after="0" w:line="360" w:lineRule="auto"/>
        <w:ind w:left="993" w:hanging="426"/>
        <w:jc w:val="both"/>
      </w:pPr>
      <w:r>
        <w:rPr>
          <w:rFonts w:ascii="Times New Roman" w:hAnsi="Times New Roman" w:cs="Times New Roman"/>
          <w:sz w:val="28"/>
          <w:szCs w:val="28"/>
        </w:rPr>
        <w:t>Зручне сортування результатів пошуку за датою публікації (подачею заявки), релевантністю;</w:t>
      </w:r>
    </w:p>
    <w:p w:rsidR="0039038D" w:rsidRDefault="008D4FA6">
      <w:pPr>
        <w:pStyle w:val="ac"/>
        <w:numPr>
          <w:ilvl w:val="0"/>
          <w:numId w:val="39"/>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Підтримка багатомовного інформаційного пошуку;</w:t>
      </w:r>
    </w:p>
    <w:p w:rsidR="0039038D" w:rsidRDefault="008D4FA6">
      <w:pPr>
        <w:pStyle w:val="ac"/>
        <w:numPr>
          <w:ilvl w:val="0"/>
          <w:numId w:val="39"/>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Є можливість напряму в Patentscope переглядати статистику і аналіз результатів;</w:t>
      </w:r>
    </w:p>
    <w:p w:rsidR="0039038D" w:rsidRDefault="008D4FA6">
      <w:pPr>
        <w:pStyle w:val="ac"/>
        <w:numPr>
          <w:ilvl w:val="0"/>
          <w:numId w:val="39"/>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Доступність паралельного відображення результатів.</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Пошук патентної інформації можна здійснювати мовою, яка використовується в документах бази PATENTSCOPE.</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Пошуковий інтерфейс доступний на 10 мовах (англійською, арабською, іспанською, китайською, корейською, німецькою, португальською, російською, французькою та японською).</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Загальний вигляд пошукової строки в патентній базі даних  </w:t>
      </w:r>
      <w:r>
        <w:rPr>
          <w:rFonts w:ascii="Times New Roman" w:hAnsi="Times New Roman" w:cs="Times New Roman"/>
          <w:sz w:val="28"/>
          <w:szCs w:val="28"/>
          <w:lang w:val="en-US"/>
        </w:rPr>
        <w:t>Patentscope</w:t>
      </w:r>
      <w:r>
        <w:rPr>
          <w:rFonts w:ascii="Times New Roman" w:hAnsi="Times New Roman" w:cs="Times New Roman"/>
          <w:sz w:val="28"/>
          <w:szCs w:val="28"/>
          <w:lang w:val="ru-RU"/>
        </w:rPr>
        <w:t xml:space="preserve"> наведений на рисунку 1.2.</w:t>
      </w:r>
    </w:p>
    <w:p w:rsidR="0039038D" w:rsidRDefault="008D4FA6">
      <w:pPr>
        <w:spacing w:after="0" w:line="360" w:lineRule="auto"/>
        <w:ind w:firstLine="142"/>
        <w:jc w:val="both"/>
        <w:rPr>
          <w:rFonts w:ascii="Times New Roman" w:hAnsi="Times New Roman" w:cs="Times New Roman"/>
          <w:sz w:val="28"/>
          <w:szCs w:val="28"/>
          <w:lang w:val="ru-RU"/>
        </w:rPr>
      </w:pPr>
      <w:r>
        <w:rPr>
          <w:noProof/>
          <w:lang w:eastAsia="uk-UA"/>
        </w:rPr>
        <w:lastRenderedPageBreak/>
        <w:drawing>
          <wp:inline distT="0" distB="0" distL="0" distR="0">
            <wp:extent cx="6219825" cy="2228850"/>
            <wp:effectExtent l="0" t="0" r="0" b="0"/>
            <wp:docPr id="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61"/>
                    <pic:cNvPicPr>
                      <a:picLocks noChangeAspect="1" noChangeArrowheads="1"/>
                    </pic:cNvPicPr>
                  </pic:nvPicPr>
                  <pic:blipFill>
                    <a:blip r:embed="rId13"/>
                    <a:stretch>
                      <a:fillRect/>
                    </a:stretch>
                  </pic:blipFill>
                  <pic:spPr bwMode="auto">
                    <a:xfrm>
                      <a:off x="0" y="0"/>
                      <a:ext cx="6219825" cy="2228850"/>
                    </a:xfrm>
                    <a:prstGeom prst="rect">
                      <a:avLst/>
                    </a:prstGeom>
                  </pic:spPr>
                </pic:pic>
              </a:graphicData>
            </a:graphic>
          </wp:inline>
        </w:drawing>
      </w:r>
    </w:p>
    <w:p w:rsidR="0039038D" w:rsidRPr="008D4FA6" w:rsidRDefault="008D4FA6">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Рисунок 1.2 – Пошукова строка бази даних </w:t>
      </w:r>
      <w:r>
        <w:rPr>
          <w:rFonts w:ascii="Times New Roman" w:hAnsi="Times New Roman" w:cs="Times New Roman"/>
          <w:sz w:val="28"/>
          <w:szCs w:val="28"/>
          <w:lang w:val="en-US"/>
        </w:rPr>
        <w:t>Patentscope</w:t>
      </w:r>
    </w:p>
    <w:p w:rsidR="0039038D" w:rsidRDefault="0039038D">
      <w:pPr>
        <w:spacing w:after="0" w:line="360" w:lineRule="auto"/>
        <w:ind w:firstLine="567"/>
        <w:jc w:val="center"/>
        <w:rPr>
          <w:rFonts w:ascii="Times New Roman" w:hAnsi="Times New Roman" w:cs="Times New Roman"/>
          <w:sz w:val="28"/>
          <w:szCs w:val="28"/>
          <w:lang w:val="ru-RU"/>
        </w:rPr>
      </w:pP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пошукову строку можна вказувати ключове слово, авторів винаходів, МПК, компанію замовника тощо.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Результат пошуку буде виглядати, як список патентних документів, які містять вказане слово (ключову фразу).</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Наприклад, на рис. 1.3 наведений результат пошуку для ключового слова «</w:t>
      </w:r>
      <w:r>
        <w:rPr>
          <w:rFonts w:ascii="Times New Roman" w:hAnsi="Times New Roman" w:cs="Times New Roman"/>
          <w:sz w:val="28"/>
          <w:szCs w:val="28"/>
          <w:lang w:val="en-US"/>
        </w:rPr>
        <w:t>Blockchain</w:t>
      </w:r>
      <w:r>
        <w:rPr>
          <w:rFonts w:ascii="Times New Roman" w:hAnsi="Times New Roman" w:cs="Times New Roman"/>
          <w:sz w:val="28"/>
          <w:szCs w:val="28"/>
          <w:lang w:val="ru-RU"/>
        </w:rPr>
        <w:t>». Пошук можна проводити, як по назві (</w:t>
      </w:r>
      <w:r>
        <w:rPr>
          <w:rFonts w:ascii="Times New Roman" w:hAnsi="Times New Roman" w:cs="Times New Roman"/>
          <w:sz w:val="28"/>
          <w:szCs w:val="28"/>
          <w:lang w:val="en-US"/>
        </w:rPr>
        <w:t>Title</w:t>
      </w:r>
      <w:r>
        <w:rPr>
          <w:rFonts w:ascii="Times New Roman" w:hAnsi="Times New Roman" w:cs="Times New Roman"/>
          <w:sz w:val="28"/>
          <w:szCs w:val="28"/>
          <w:lang w:val="ru-RU"/>
        </w:rPr>
        <w:t>), так і по усьому тексту патентного документа.</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Система містить більше 100 мільйонів патентних документів, що дуже важливо для якісної побудови патентного ландшафту.</w:t>
      </w:r>
    </w:p>
    <w:p w:rsidR="0039038D" w:rsidRDefault="0039038D">
      <w:pPr>
        <w:spacing w:after="0" w:line="360" w:lineRule="auto"/>
        <w:ind w:firstLine="567"/>
        <w:jc w:val="both"/>
        <w:rPr>
          <w:rFonts w:ascii="Times New Roman" w:hAnsi="Times New Roman" w:cs="Times New Roman"/>
          <w:sz w:val="28"/>
          <w:szCs w:val="28"/>
          <w:lang w:val="ru-RU"/>
        </w:rPr>
      </w:pPr>
    </w:p>
    <w:p w:rsidR="0039038D" w:rsidRDefault="008D4FA6">
      <w:pPr>
        <w:spacing w:after="0" w:line="360" w:lineRule="auto"/>
        <w:ind w:firstLine="567"/>
        <w:jc w:val="center"/>
        <w:rPr>
          <w:rFonts w:ascii="Times New Roman" w:hAnsi="Times New Roman" w:cs="Times New Roman"/>
          <w:sz w:val="28"/>
          <w:szCs w:val="28"/>
          <w:lang w:val="ru-RU"/>
        </w:rPr>
      </w:pPr>
      <w:r>
        <w:rPr>
          <w:noProof/>
          <w:lang w:eastAsia="uk-UA"/>
        </w:rPr>
        <w:drawing>
          <wp:inline distT="0" distB="0" distL="0" distR="0">
            <wp:extent cx="5840095" cy="2990215"/>
            <wp:effectExtent l="0" t="0" r="0" b="0"/>
            <wp:docPr id="3"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0"/>
                    <pic:cNvPicPr>
                      <a:picLocks noChangeAspect="1" noChangeArrowheads="1"/>
                    </pic:cNvPicPr>
                  </pic:nvPicPr>
                  <pic:blipFill>
                    <a:blip r:embed="rId14"/>
                    <a:stretch>
                      <a:fillRect/>
                    </a:stretch>
                  </pic:blipFill>
                  <pic:spPr bwMode="auto">
                    <a:xfrm>
                      <a:off x="0" y="0"/>
                      <a:ext cx="5840095" cy="2990215"/>
                    </a:xfrm>
                    <a:prstGeom prst="rect">
                      <a:avLst/>
                    </a:prstGeom>
                  </pic:spPr>
                </pic:pic>
              </a:graphicData>
            </a:graphic>
          </wp:inline>
        </w:drawing>
      </w:r>
    </w:p>
    <w:p w:rsidR="008D4FA6" w:rsidRDefault="008D4FA6">
      <w:pPr>
        <w:spacing w:after="0" w:line="360" w:lineRule="auto"/>
        <w:ind w:firstLine="567"/>
        <w:jc w:val="center"/>
        <w:rPr>
          <w:rFonts w:ascii="Times New Roman" w:hAnsi="Times New Roman" w:cs="Times New Roman"/>
          <w:sz w:val="28"/>
          <w:szCs w:val="28"/>
          <w:lang w:val="ru-RU"/>
        </w:rPr>
      </w:pPr>
    </w:p>
    <w:p w:rsidR="0039038D" w:rsidRDefault="008D4FA6">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1.3 – Результати патентного пошуку</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Зручність наведеної бази даних полягає у тому, що загальна інформація вже є в результатах, а тому для відбору необхідних документів не потрібно аналізувати повний текст кожного патенту.</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Також, </w:t>
      </w:r>
      <w:r>
        <w:rPr>
          <w:rFonts w:ascii="Times New Roman" w:hAnsi="Times New Roman" w:cs="Times New Roman"/>
          <w:sz w:val="28"/>
          <w:szCs w:val="28"/>
          <w:lang w:val="en-US"/>
        </w:rPr>
        <w:t>Patentscope</w:t>
      </w:r>
      <w:r>
        <w:rPr>
          <w:rFonts w:ascii="Times New Roman" w:hAnsi="Times New Roman" w:cs="Times New Roman"/>
          <w:sz w:val="28"/>
          <w:szCs w:val="28"/>
        </w:rPr>
        <w:t xml:space="preserve"> є одним з найкращих ресурсів для створення примітивної візуалізації результатів пошуку. Є можливість побудови діаграм згідно кількісної інформації, за кількістю охоронних документів в конкретній країні, основним компаніям–замовникам, класам МПК та інше (рис 1.4):</w:t>
      </w:r>
    </w:p>
    <w:p w:rsidR="0039038D" w:rsidRDefault="0039038D">
      <w:pPr>
        <w:spacing w:after="0" w:line="360" w:lineRule="auto"/>
        <w:ind w:firstLine="567"/>
        <w:jc w:val="both"/>
        <w:rPr>
          <w:rFonts w:ascii="Times New Roman" w:hAnsi="Times New Roman" w:cs="Times New Roman"/>
          <w:sz w:val="28"/>
          <w:szCs w:val="28"/>
        </w:rPr>
      </w:pPr>
    </w:p>
    <w:p w:rsidR="0039038D" w:rsidRDefault="008D4FA6">
      <w:pPr>
        <w:spacing w:after="0" w:line="360" w:lineRule="auto"/>
        <w:ind w:firstLine="1418"/>
        <w:jc w:val="both"/>
        <w:rPr>
          <w:rFonts w:ascii="Times New Roman" w:hAnsi="Times New Roman" w:cs="Times New Roman"/>
          <w:sz w:val="28"/>
          <w:szCs w:val="28"/>
        </w:rPr>
      </w:pPr>
      <w:r>
        <w:rPr>
          <w:noProof/>
          <w:lang w:eastAsia="uk-UA"/>
        </w:rPr>
        <w:drawing>
          <wp:inline distT="0" distB="0" distL="0" distR="0">
            <wp:extent cx="4572000" cy="2448165"/>
            <wp:effectExtent l="0" t="0" r="0" b="9525"/>
            <wp:docPr id="4"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9"/>
                    <pic:cNvPicPr>
                      <a:picLocks noChangeAspect="1" noChangeArrowheads="1"/>
                    </pic:cNvPicPr>
                  </pic:nvPicPr>
                  <pic:blipFill>
                    <a:blip r:embed="rId15"/>
                    <a:stretch>
                      <a:fillRect/>
                    </a:stretch>
                  </pic:blipFill>
                  <pic:spPr bwMode="auto">
                    <a:xfrm>
                      <a:off x="0" y="0"/>
                      <a:ext cx="4579658" cy="2452265"/>
                    </a:xfrm>
                    <a:prstGeom prst="rect">
                      <a:avLst/>
                    </a:prstGeom>
                  </pic:spPr>
                </pic:pic>
              </a:graphicData>
            </a:graphic>
          </wp:inline>
        </w:drawing>
      </w:r>
    </w:p>
    <w:p w:rsidR="008D4FA6" w:rsidRDefault="008D4FA6">
      <w:pPr>
        <w:spacing w:after="0" w:line="360" w:lineRule="auto"/>
        <w:ind w:firstLine="1418"/>
        <w:jc w:val="both"/>
        <w:rPr>
          <w:rFonts w:ascii="Times New Roman" w:hAnsi="Times New Roman" w:cs="Times New Roman"/>
          <w:sz w:val="28"/>
          <w:szCs w:val="28"/>
        </w:rPr>
      </w:pPr>
    </w:p>
    <w:p w:rsidR="0039038D" w:rsidRPr="008D4FA6" w:rsidRDefault="008D4FA6">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rPr>
        <w:t>Рисунок 1.</w:t>
      </w:r>
      <w:r>
        <w:rPr>
          <w:rFonts w:ascii="Times New Roman" w:hAnsi="Times New Roman" w:cs="Times New Roman"/>
          <w:sz w:val="28"/>
          <w:szCs w:val="28"/>
          <w:lang w:val="ru-RU"/>
        </w:rPr>
        <w:t>4</w:t>
      </w:r>
      <w:r>
        <w:rPr>
          <w:rFonts w:ascii="Times New Roman" w:hAnsi="Times New Roman" w:cs="Times New Roman"/>
          <w:sz w:val="28"/>
          <w:szCs w:val="28"/>
        </w:rPr>
        <w:t xml:space="preserve"> – Приклад візуалізації патентного пошуку в базі даних </w:t>
      </w:r>
      <w:r>
        <w:rPr>
          <w:rFonts w:ascii="Times New Roman" w:hAnsi="Times New Roman" w:cs="Times New Roman"/>
          <w:sz w:val="28"/>
          <w:szCs w:val="28"/>
          <w:lang w:val="en-US"/>
        </w:rPr>
        <w:t>Patentscope</w:t>
      </w:r>
    </w:p>
    <w:p w:rsidR="0039038D" w:rsidRDefault="0039038D">
      <w:pPr>
        <w:spacing w:after="0" w:line="360" w:lineRule="auto"/>
        <w:ind w:firstLine="567"/>
        <w:jc w:val="center"/>
        <w:rPr>
          <w:rFonts w:ascii="Times New Roman" w:hAnsi="Times New Roman" w:cs="Times New Roman"/>
          <w:sz w:val="28"/>
          <w:szCs w:val="28"/>
          <w:lang w:val="ru-RU"/>
        </w:rPr>
      </w:pP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Espacenet являє собою інтернет–сервіс, який є інструментом для пошуку патентних заявок і патентів, які містяться у базі Європейської патентної організації</w:t>
      </w:r>
      <w:r>
        <w:rPr>
          <w:rFonts w:ascii="Times New Roman" w:hAnsi="Times New Roman" w:cs="Times New Roman"/>
          <w:sz w:val="28"/>
          <w:szCs w:val="28"/>
          <w:lang w:val="ru-RU"/>
        </w:rPr>
        <w:t xml:space="preserve"> [12].</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Цей ресурс є оптимальним для науковців, так як в ньому містяться історичні бази патентних документів різних європейських країн, що дає змогу проводити глобальний пошук, навіть в історичній ретроспективі.</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Станом на 2015 рік в базі </w:t>
      </w:r>
      <w:bookmarkStart w:id="0" w:name="__DdeLink__422_3804547485"/>
      <w:r>
        <w:rPr>
          <w:rFonts w:ascii="Times New Roman" w:hAnsi="Times New Roman" w:cs="Times New Roman"/>
          <w:sz w:val="28"/>
          <w:szCs w:val="28"/>
        </w:rPr>
        <w:t>Espacenet</w:t>
      </w:r>
      <w:bookmarkEnd w:id="0"/>
      <w:r>
        <w:rPr>
          <w:rFonts w:ascii="Times New Roman" w:hAnsi="Times New Roman" w:cs="Times New Roman"/>
          <w:sz w:val="28"/>
          <w:szCs w:val="28"/>
        </w:rPr>
        <w:t xml:space="preserve"> містились дані відносно 90 мільйонів патентних публікації, а вже через чотири роки (грудень 2019 року кількість становить більше 110 млн. публікацій).</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Визначною датою для розвитку зазначеної бази даних є березень 2016 р., коли стало можливим проводити повнотекстовий пошук не лише англійських, а й французських та німецьких документів.</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Основним кроком на шляху розробки та впровадження Espacenet, якому в жовтні 2019 року виповнилось 21 рік, було впровадження ЄПВ у середині 90–х років, за підтримки Європейської комісії, проекту, який отримав назву Розподіленої патентно–інформаційної служби (Distributed Internet Patent Services), програмна частина якого була пов'язана з мережею Інтернет.</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DIPS – безкоштовна платформа ЄПВ, яка з початку своєї роботи призначалася для широкого кола користувачів. Починаючи з 1997 року користувач міг не тільки здійснювати патентний пошук на рідній мові у масиві даних, використовуючи при цьому лише інтерфейс на рідній мові, але й проводити пошук іншими мовами, при цьому залишаючись на "домашньому" інтерфейсі.</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Вдосконалення та розвиток платформи для патентного пошуку призвів до зміни назви з DIPS на Espacenet, який 19 жовтня 98–го року був офіційно запущений для широкого загалу користувачів. Саме запуск Espacenet дав старт цифрової ери в Інтелектуальній Власності в напрямку пошуку патентної інформації, бо завдяки декільком примітивним операціям користувач мав змогу отримати доступ до 30 мільйонів патентних документів.</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 самого початку доступ був відкритий лише на інформацію, яка знаходиться у відомчих колекціях патентної документації, а також всього світу, включаючи європейську, японську та міжнародну колекції патентних документів.</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Починаючи з лютого 1999 року користувач мав змогу переглядати патентну інформацію, яка містилась в колекціях 63 країн та організацій.</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початку нового тисячоріччя розробниками платформи створено новий функіональний ресурс esp@cenet. Якщо в першій версії пошук патентів можна було провести за номером публікації, іменем винахідника та замовника, ключовим словом та індексом МПК, то з 2000 років до них додалась функція, яка давала змогу провести пошук за ECLA (Європейська система класифікації), WO </w:t>
      </w:r>
      <w:r>
        <w:rPr>
          <w:rFonts w:ascii="Times New Roman" w:hAnsi="Times New Roman" w:cs="Times New Roman"/>
          <w:sz w:val="28"/>
          <w:szCs w:val="28"/>
        </w:rPr>
        <w:lastRenderedPageBreak/>
        <w:t>(міжнародних заявок) і заявок Euro РСТ. Крім того, у цей час європейський користувач мав змогу провести пошук в корейській базі, але доступ надавався лише до цитованих документів і англомовних рефератів.</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період 2003 – 2010 роки ресурс велику кількість раз удосконалювався. Серед іншого було створено та розроблено:</w:t>
      </w:r>
    </w:p>
    <w:p w:rsidR="0039038D" w:rsidRDefault="008D4FA6">
      <w:pPr>
        <w:pStyle w:val="ac"/>
        <w:numPr>
          <w:ilvl w:val="0"/>
          <w:numId w:val="34"/>
        </w:numPr>
        <w:spacing w:after="0" w:line="360" w:lineRule="auto"/>
        <w:ind w:left="993" w:hanging="426"/>
        <w:jc w:val="both"/>
        <w:rPr>
          <w:rFonts w:ascii="Times New Roman" w:hAnsi="Times New Roman" w:cs="Times New Roman"/>
          <w:sz w:val="28"/>
          <w:szCs w:val="28"/>
          <w:lang w:val="ru-RU"/>
        </w:rPr>
      </w:pPr>
      <w:r>
        <w:rPr>
          <w:rFonts w:ascii="Times New Roman" w:hAnsi="Times New Roman" w:cs="Times New Roman"/>
          <w:sz w:val="28"/>
          <w:szCs w:val="28"/>
          <w:lang w:val="ru-RU"/>
        </w:rPr>
        <w:t>новий інтерфейс;</w:t>
      </w:r>
    </w:p>
    <w:p w:rsidR="0039038D" w:rsidRDefault="008D4FA6">
      <w:pPr>
        <w:pStyle w:val="ac"/>
        <w:numPr>
          <w:ilvl w:val="0"/>
          <w:numId w:val="34"/>
        </w:numPr>
        <w:spacing w:after="0" w:line="360" w:lineRule="auto"/>
        <w:ind w:left="993" w:hanging="426"/>
        <w:jc w:val="both"/>
        <w:rPr>
          <w:rFonts w:ascii="Times New Roman" w:hAnsi="Times New Roman" w:cs="Times New Roman"/>
          <w:sz w:val="28"/>
          <w:szCs w:val="28"/>
          <w:lang w:val="ru-RU"/>
        </w:rPr>
      </w:pPr>
      <w:r>
        <w:rPr>
          <w:rFonts w:ascii="Times New Roman" w:hAnsi="Times New Roman" w:cs="Times New Roman"/>
          <w:sz w:val="28"/>
          <w:szCs w:val="28"/>
          <w:lang w:val="ru-RU"/>
        </w:rPr>
        <w:t>покращена навігація;</w:t>
      </w:r>
    </w:p>
    <w:p w:rsidR="0039038D" w:rsidRDefault="008D4FA6">
      <w:pPr>
        <w:pStyle w:val="ac"/>
        <w:numPr>
          <w:ilvl w:val="0"/>
          <w:numId w:val="34"/>
        </w:numPr>
        <w:spacing w:after="0" w:line="360" w:lineRule="auto"/>
        <w:ind w:left="993" w:hanging="426"/>
        <w:jc w:val="both"/>
        <w:rPr>
          <w:rFonts w:ascii="Times New Roman" w:hAnsi="Times New Roman" w:cs="Times New Roman"/>
          <w:sz w:val="28"/>
          <w:szCs w:val="28"/>
          <w:lang w:val="ru-RU"/>
        </w:rPr>
      </w:pPr>
      <w:r>
        <w:rPr>
          <w:rFonts w:ascii="Times New Roman" w:hAnsi="Times New Roman" w:cs="Times New Roman"/>
          <w:sz w:val="28"/>
          <w:szCs w:val="28"/>
          <w:lang w:val="ru-RU"/>
        </w:rPr>
        <w:t>удосконалення ергономіки;</w:t>
      </w:r>
    </w:p>
    <w:p w:rsidR="0039038D" w:rsidRDefault="008D4FA6">
      <w:pPr>
        <w:pStyle w:val="ac"/>
        <w:numPr>
          <w:ilvl w:val="0"/>
          <w:numId w:val="34"/>
        </w:numPr>
        <w:spacing w:after="0" w:line="360" w:lineRule="auto"/>
        <w:ind w:left="993" w:hanging="426"/>
        <w:jc w:val="both"/>
        <w:rPr>
          <w:rFonts w:ascii="Times New Roman" w:hAnsi="Times New Roman" w:cs="Times New Roman"/>
          <w:sz w:val="28"/>
          <w:szCs w:val="28"/>
          <w:lang w:val="ru-RU"/>
        </w:rPr>
      </w:pPr>
      <w:r>
        <w:rPr>
          <w:rFonts w:ascii="Times New Roman" w:hAnsi="Times New Roman" w:cs="Times New Roman"/>
          <w:sz w:val="28"/>
          <w:szCs w:val="28"/>
          <w:lang w:val="ru-RU"/>
        </w:rPr>
        <w:t>запровадження онлайн–помічника;</w:t>
      </w:r>
    </w:p>
    <w:p w:rsidR="0039038D" w:rsidRDefault="008D4FA6">
      <w:pPr>
        <w:pStyle w:val="ac"/>
        <w:numPr>
          <w:ilvl w:val="0"/>
          <w:numId w:val="34"/>
        </w:numPr>
        <w:spacing w:after="0" w:line="360" w:lineRule="auto"/>
        <w:ind w:left="993" w:hanging="426"/>
        <w:jc w:val="both"/>
        <w:rPr>
          <w:rFonts w:ascii="Times New Roman" w:hAnsi="Times New Roman" w:cs="Times New Roman"/>
          <w:sz w:val="28"/>
          <w:szCs w:val="28"/>
          <w:lang w:val="ru-RU"/>
        </w:rPr>
      </w:pPr>
      <w:r>
        <w:rPr>
          <w:rFonts w:ascii="Times New Roman" w:hAnsi="Times New Roman" w:cs="Times New Roman"/>
          <w:sz w:val="28"/>
          <w:szCs w:val="28"/>
          <w:lang w:val="ru-RU"/>
        </w:rPr>
        <w:t>створення автоматичного перекладу патентних документів на іспанську, французьку, англійську та німецьку мови.</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Після 10 років роботи сервери </w:t>
      </w:r>
      <w:r>
        <w:rPr>
          <w:rFonts w:ascii="Times New Roman" w:hAnsi="Times New Roman" w:cs="Times New Roman"/>
          <w:sz w:val="28"/>
          <w:szCs w:val="28"/>
          <w:lang w:val="en-US"/>
        </w:rPr>
        <w:t>espacenet</w:t>
      </w:r>
      <w:r>
        <w:rPr>
          <w:rFonts w:ascii="Times New Roman" w:hAnsi="Times New Roman" w:cs="Times New Roman"/>
          <w:sz w:val="28"/>
          <w:szCs w:val="28"/>
          <w:lang w:val="ru-RU"/>
        </w:rPr>
        <w:t xml:space="preserve"> пітримували та скеровували патентні дані 30 країн ЄПК, а система ресурсу охоплювала 26 мов, 61 країна надавала свої національні дані, а 81 організація (пов'язана з інтелектуальною власністю) співпрацювала з </w:t>
      </w:r>
      <w:r>
        <w:rPr>
          <w:rFonts w:ascii="Times New Roman" w:hAnsi="Times New Roman" w:cs="Times New Roman"/>
          <w:sz w:val="28"/>
          <w:szCs w:val="28"/>
          <w:lang w:val="en-US"/>
        </w:rPr>
        <w:t>Espacenet</w:t>
      </w:r>
      <w:r>
        <w:rPr>
          <w:rFonts w:ascii="Times New Roman" w:hAnsi="Times New Roman" w:cs="Times New Roman"/>
          <w:sz w:val="28"/>
          <w:szCs w:val="28"/>
          <w:lang w:val="ru-RU"/>
        </w:rPr>
        <w:t>.</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Наступний період розвитку espacenet починається з 2011 року та продовжується сьогодні. Серед іншого за цей час знову змінилося ім'я ресурсу, який тепер має назву Espacenet. Результати пошуку тепер можна експортувати в Excel, а також зберегти їх в історії запитів.</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Машинний переклад доступний на 28 мовах країн–членів ЄПВ, а починаючи з 2017 року espacenet почав використовувати технологію машинного перекладу.</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 2018 року з'являється функція інтелектуального пошуку, або "Smart Search", за допомоги якого користувач може провести повнотекстовий пошук за ключовим словом у будь–якій частині патента (рефераті, описі, або назві).</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Пошукові інтерфейси, які доступні в Espacenet національних відомств та ЄПВ були узгоджені між собою.</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Головна сторінка, яка на сайті </w:t>
      </w:r>
      <w:r>
        <w:rPr>
          <w:rFonts w:ascii="Times New Roman" w:hAnsi="Times New Roman" w:cs="Times New Roman"/>
          <w:sz w:val="28"/>
          <w:szCs w:val="28"/>
          <w:lang w:val="en-US"/>
        </w:rPr>
        <w:t>Espacenet</w:t>
      </w:r>
      <w:r>
        <w:rPr>
          <w:rFonts w:ascii="Times New Roman" w:hAnsi="Times New Roman" w:cs="Times New Roman"/>
          <w:sz w:val="28"/>
          <w:szCs w:val="28"/>
        </w:rPr>
        <w:t xml:space="preserve"> </w:t>
      </w:r>
      <w:r>
        <w:rPr>
          <w:rFonts w:ascii="Times New Roman" w:hAnsi="Times New Roman" w:cs="Times New Roman"/>
          <w:sz w:val="28"/>
          <w:szCs w:val="28"/>
          <w:lang w:val="ru-RU"/>
        </w:rPr>
        <w:t>має назву «перша», дає змогу провести патентний пошук. Спеціаліст, який проводе аналіз документації має змогу обрати спосіб отримання результатів.</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Це може бути, як «</w:t>
      </w:r>
      <w:r>
        <w:rPr>
          <w:rFonts w:ascii="Times New Roman" w:hAnsi="Times New Roman" w:cs="Times New Roman"/>
          <w:sz w:val="28"/>
          <w:szCs w:val="28"/>
          <w:lang w:val="en-US"/>
        </w:rPr>
        <w:t>SmartSearch</w:t>
      </w:r>
      <w:r>
        <w:rPr>
          <w:rFonts w:ascii="Times New Roman" w:hAnsi="Times New Roman" w:cs="Times New Roman"/>
          <w:sz w:val="28"/>
          <w:szCs w:val="28"/>
          <w:lang w:val="ru-RU"/>
        </w:rPr>
        <w:t>», в рамках якого необхідно ввести тільки ключове слово, наприклад, блокчейн. Або розширений спосіб, де вам буде надано широкий спектр варантів отримання результатів: по конкретній країні, в конкретних полях і т.д.</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Окр</w:t>
      </w:r>
      <w:r>
        <w:rPr>
          <w:rFonts w:ascii="Times New Roman" w:hAnsi="Times New Roman" w:cs="Times New Roman"/>
          <w:sz w:val="28"/>
          <w:szCs w:val="28"/>
        </w:rPr>
        <w:t>і</w:t>
      </w:r>
      <w:r>
        <w:rPr>
          <w:rFonts w:ascii="Times New Roman" w:hAnsi="Times New Roman" w:cs="Times New Roman"/>
          <w:sz w:val="28"/>
          <w:szCs w:val="28"/>
          <w:lang w:val="ru-RU"/>
        </w:rPr>
        <w:t>м цього патентний пошук може бути проведений по МПК, де результати будуть демонструвати напрямок у якому найбільше розвивається технологія (рис. 1.5).</w:t>
      </w:r>
    </w:p>
    <w:p w:rsidR="0039038D" w:rsidRDefault="0039038D">
      <w:pPr>
        <w:spacing w:after="0" w:line="360" w:lineRule="auto"/>
        <w:ind w:firstLine="567"/>
        <w:jc w:val="both"/>
        <w:rPr>
          <w:rFonts w:ascii="Times New Roman" w:hAnsi="Times New Roman" w:cs="Times New Roman"/>
          <w:sz w:val="28"/>
          <w:szCs w:val="28"/>
          <w:lang w:val="ru-RU"/>
        </w:rPr>
      </w:pPr>
    </w:p>
    <w:p w:rsidR="0039038D" w:rsidRDefault="008D4FA6">
      <w:pPr>
        <w:spacing w:after="0" w:line="360" w:lineRule="auto"/>
        <w:ind w:firstLine="567"/>
        <w:jc w:val="center"/>
        <w:rPr>
          <w:rFonts w:ascii="Times New Roman" w:hAnsi="Times New Roman" w:cs="Times New Roman"/>
          <w:sz w:val="28"/>
          <w:szCs w:val="28"/>
          <w:lang w:val="ru-RU"/>
        </w:rPr>
      </w:pPr>
      <w:r>
        <w:rPr>
          <w:noProof/>
          <w:lang w:eastAsia="uk-UA"/>
        </w:rPr>
        <w:drawing>
          <wp:inline distT="0" distB="0" distL="0" distR="0">
            <wp:extent cx="5219700" cy="1493688"/>
            <wp:effectExtent l="0" t="0" r="0" b="0"/>
            <wp:docPr id="5"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8"/>
                    <pic:cNvPicPr>
                      <a:picLocks noChangeAspect="1" noChangeArrowheads="1"/>
                    </pic:cNvPicPr>
                  </pic:nvPicPr>
                  <pic:blipFill>
                    <a:blip r:embed="rId16"/>
                    <a:stretch>
                      <a:fillRect/>
                    </a:stretch>
                  </pic:blipFill>
                  <pic:spPr bwMode="auto">
                    <a:xfrm>
                      <a:off x="0" y="0"/>
                      <a:ext cx="5232470" cy="1497342"/>
                    </a:xfrm>
                    <a:prstGeom prst="rect">
                      <a:avLst/>
                    </a:prstGeom>
                  </pic:spPr>
                </pic:pic>
              </a:graphicData>
            </a:graphic>
          </wp:inline>
        </w:drawing>
      </w:r>
    </w:p>
    <w:p w:rsidR="008D4FA6" w:rsidRDefault="008D4FA6">
      <w:pPr>
        <w:spacing w:after="0" w:line="360" w:lineRule="auto"/>
        <w:ind w:firstLine="567"/>
        <w:jc w:val="center"/>
        <w:rPr>
          <w:rFonts w:ascii="Times New Roman" w:hAnsi="Times New Roman" w:cs="Times New Roman"/>
          <w:sz w:val="28"/>
          <w:szCs w:val="28"/>
          <w:lang w:val="ru-RU"/>
        </w:rPr>
      </w:pPr>
    </w:p>
    <w:p w:rsidR="0039038D" w:rsidRDefault="008D4FA6">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Рисунок 1.5 – Головна сторінка патентної бази даних </w:t>
      </w:r>
      <w:r>
        <w:rPr>
          <w:rFonts w:ascii="Times New Roman" w:hAnsi="Times New Roman" w:cs="Times New Roman"/>
          <w:sz w:val="28"/>
          <w:szCs w:val="28"/>
          <w:lang w:val="en-US"/>
        </w:rPr>
        <w:t>Espacenet</w:t>
      </w:r>
    </w:p>
    <w:p w:rsidR="0039038D" w:rsidRDefault="0039038D">
      <w:pPr>
        <w:spacing w:after="0" w:line="360" w:lineRule="auto"/>
        <w:ind w:firstLine="567"/>
        <w:jc w:val="both"/>
        <w:rPr>
          <w:rFonts w:ascii="Times New Roman" w:hAnsi="Times New Roman" w:cs="Times New Roman"/>
          <w:sz w:val="28"/>
          <w:szCs w:val="28"/>
          <w:lang w:val="ru-RU"/>
        </w:rPr>
      </w:pP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Під час пошуку </w:t>
      </w:r>
      <w:r w:rsidR="005E7CDC">
        <w:rPr>
          <w:rFonts w:ascii="Times New Roman" w:hAnsi="Times New Roman" w:cs="Times New Roman"/>
          <w:sz w:val="28"/>
          <w:szCs w:val="28"/>
          <w:lang w:val="ru-RU"/>
        </w:rPr>
        <w:t xml:space="preserve">можна </w:t>
      </w:r>
      <w:r>
        <w:rPr>
          <w:rFonts w:ascii="Times New Roman" w:hAnsi="Times New Roman" w:cs="Times New Roman"/>
          <w:sz w:val="28"/>
          <w:szCs w:val="28"/>
          <w:lang w:val="ru-RU"/>
        </w:rPr>
        <w:t xml:space="preserve">вибрати регіон, по якому буде проводитися патентний пошук. </w:t>
      </w:r>
      <w:r w:rsidR="005E7CDC">
        <w:rPr>
          <w:rFonts w:ascii="Times New Roman" w:hAnsi="Times New Roman" w:cs="Times New Roman"/>
          <w:sz w:val="28"/>
          <w:szCs w:val="28"/>
          <w:lang w:val="ru-RU"/>
        </w:rPr>
        <w:t>Він може включати</w:t>
      </w:r>
      <w:r>
        <w:rPr>
          <w:rFonts w:ascii="Times New Roman" w:hAnsi="Times New Roman" w:cs="Times New Roman"/>
          <w:sz w:val="28"/>
          <w:szCs w:val="28"/>
          <w:lang w:val="ru-RU"/>
        </w:rPr>
        <w:t xml:space="preserve"> патентні бази більш, ніж 100 країн, так і патентні бази Великобританії, Франції або Німеччині (рис 1.6).</w:t>
      </w:r>
    </w:p>
    <w:p w:rsidR="0039038D" w:rsidRDefault="0039038D">
      <w:pPr>
        <w:spacing w:after="0" w:line="360" w:lineRule="auto"/>
        <w:ind w:firstLine="567"/>
        <w:jc w:val="both"/>
        <w:rPr>
          <w:rFonts w:ascii="Times New Roman" w:hAnsi="Times New Roman" w:cs="Times New Roman"/>
          <w:sz w:val="28"/>
          <w:szCs w:val="28"/>
          <w:lang w:val="ru-RU"/>
        </w:rPr>
      </w:pPr>
    </w:p>
    <w:p w:rsidR="0039038D" w:rsidRDefault="008D4FA6">
      <w:pPr>
        <w:spacing w:after="0" w:line="360" w:lineRule="auto"/>
        <w:ind w:firstLine="567"/>
        <w:jc w:val="center"/>
        <w:rPr>
          <w:rFonts w:ascii="Times New Roman" w:hAnsi="Times New Roman" w:cs="Times New Roman"/>
          <w:sz w:val="28"/>
          <w:szCs w:val="28"/>
          <w:lang w:val="ru-RU"/>
        </w:rPr>
      </w:pPr>
      <w:r>
        <w:rPr>
          <w:noProof/>
          <w:lang w:eastAsia="uk-UA"/>
        </w:rPr>
        <w:drawing>
          <wp:inline distT="0" distB="0" distL="0" distR="0">
            <wp:extent cx="4933950" cy="1157832"/>
            <wp:effectExtent l="0" t="0" r="0" b="4445"/>
            <wp:docPr id="6"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7"/>
                    <pic:cNvPicPr>
                      <a:picLocks noChangeAspect="1" noChangeArrowheads="1"/>
                    </pic:cNvPicPr>
                  </pic:nvPicPr>
                  <pic:blipFill>
                    <a:blip r:embed="rId17"/>
                    <a:stretch>
                      <a:fillRect/>
                    </a:stretch>
                  </pic:blipFill>
                  <pic:spPr bwMode="auto">
                    <a:xfrm>
                      <a:off x="0" y="0"/>
                      <a:ext cx="4968840" cy="1166020"/>
                    </a:xfrm>
                    <a:prstGeom prst="rect">
                      <a:avLst/>
                    </a:prstGeom>
                  </pic:spPr>
                </pic:pic>
              </a:graphicData>
            </a:graphic>
          </wp:inline>
        </w:drawing>
      </w:r>
    </w:p>
    <w:p w:rsidR="008D4FA6" w:rsidRDefault="008D4FA6">
      <w:pPr>
        <w:spacing w:after="0" w:line="360" w:lineRule="auto"/>
        <w:ind w:firstLine="567"/>
        <w:jc w:val="center"/>
        <w:rPr>
          <w:rFonts w:ascii="Times New Roman" w:hAnsi="Times New Roman" w:cs="Times New Roman"/>
          <w:sz w:val="28"/>
          <w:szCs w:val="28"/>
          <w:lang w:val="ru-RU"/>
        </w:rPr>
      </w:pPr>
    </w:p>
    <w:p w:rsidR="0039038D" w:rsidRDefault="008D4FA6">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lang w:val="ru-RU"/>
        </w:rPr>
        <w:t xml:space="preserve">Рисунок 1.6 – </w:t>
      </w:r>
      <w:r>
        <w:rPr>
          <w:rFonts w:ascii="Times New Roman" w:hAnsi="Times New Roman" w:cs="Times New Roman"/>
          <w:sz w:val="28"/>
          <w:szCs w:val="28"/>
        </w:rPr>
        <w:t>Вибір регіону для аналізу</w:t>
      </w:r>
    </w:p>
    <w:p w:rsidR="0039038D" w:rsidRDefault="0039038D">
      <w:pPr>
        <w:spacing w:after="0" w:line="360" w:lineRule="auto"/>
        <w:ind w:firstLine="567"/>
        <w:jc w:val="both"/>
        <w:rPr>
          <w:rFonts w:ascii="Times New Roman" w:hAnsi="Times New Roman" w:cs="Times New Roman"/>
          <w:sz w:val="28"/>
          <w:szCs w:val="28"/>
        </w:rPr>
      </w:pP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Якщо фахівець у галузі ІВ обирає «</w:t>
      </w:r>
      <w:r>
        <w:rPr>
          <w:rFonts w:ascii="Times New Roman" w:hAnsi="Times New Roman" w:cs="Times New Roman"/>
          <w:sz w:val="28"/>
          <w:szCs w:val="28"/>
          <w:lang w:val="en-US"/>
        </w:rPr>
        <w:t>AdvancedSearch</w:t>
      </w:r>
      <w:r>
        <w:rPr>
          <w:rFonts w:ascii="Times New Roman" w:hAnsi="Times New Roman" w:cs="Times New Roman"/>
          <w:sz w:val="28"/>
          <w:szCs w:val="28"/>
          <w:lang w:val="ru-RU"/>
        </w:rPr>
        <w:t>», то може заповнити або окрем</w:t>
      </w:r>
      <w:r>
        <w:rPr>
          <w:rFonts w:ascii="Times New Roman" w:hAnsi="Times New Roman" w:cs="Times New Roman"/>
          <w:sz w:val="28"/>
          <w:szCs w:val="28"/>
        </w:rPr>
        <w:t xml:space="preserve">і поля, або усі. </w:t>
      </w:r>
      <w:r>
        <w:rPr>
          <w:rFonts w:ascii="Times New Roman" w:hAnsi="Times New Roman" w:cs="Times New Roman"/>
          <w:sz w:val="28"/>
          <w:szCs w:val="28"/>
          <w:lang w:val="en-US"/>
        </w:rPr>
        <w:t>Espacenet</w:t>
      </w:r>
      <w:r>
        <w:rPr>
          <w:rFonts w:ascii="Times New Roman" w:hAnsi="Times New Roman" w:cs="Times New Roman"/>
          <w:sz w:val="28"/>
          <w:szCs w:val="28"/>
        </w:rPr>
        <w:t xml:space="preserve"> </w:t>
      </w:r>
      <w:r>
        <w:rPr>
          <w:rFonts w:ascii="Times New Roman" w:hAnsi="Times New Roman" w:cs="Times New Roman"/>
          <w:sz w:val="28"/>
          <w:szCs w:val="28"/>
          <w:lang w:val="ru-RU"/>
        </w:rPr>
        <w:t xml:space="preserve">виділяється на тлі основних конкурентів тим, що система надає загальну інформацію по кожному полю. Наприклад, при натисканні на символ "i", який присутній над кожним полем ви отримаєте </w:t>
      </w:r>
      <w:r>
        <w:rPr>
          <w:rFonts w:ascii="Times New Roman" w:hAnsi="Times New Roman" w:cs="Times New Roman"/>
          <w:sz w:val="28"/>
          <w:szCs w:val="28"/>
          <w:lang w:val="ru-RU"/>
        </w:rPr>
        <w:lastRenderedPageBreak/>
        <w:t>шаблон заповнення цього поля. У разі помилки при заповнення ви отримаєте некоректний результат (рис. 1.7).</w:t>
      </w:r>
    </w:p>
    <w:p w:rsidR="0039038D" w:rsidRDefault="0039038D">
      <w:pPr>
        <w:spacing w:after="0" w:line="360" w:lineRule="auto"/>
        <w:ind w:firstLine="567"/>
        <w:jc w:val="both"/>
        <w:rPr>
          <w:rFonts w:ascii="Times New Roman" w:hAnsi="Times New Roman" w:cs="Times New Roman"/>
          <w:sz w:val="28"/>
          <w:szCs w:val="28"/>
          <w:lang w:val="ru-RU"/>
        </w:rPr>
      </w:pPr>
    </w:p>
    <w:p w:rsidR="0039038D" w:rsidRDefault="008D4FA6">
      <w:pPr>
        <w:spacing w:after="0" w:line="360" w:lineRule="auto"/>
        <w:ind w:firstLine="567"/>
        <w:jc w:val="center"/>
        <w:rPr>
          <w:rFonts w:ascii="Times New Roman" w:hAnsi="Times New Roman" w:cs="Times New Roman"/>
          <w:sz w:val="28"/>
          <w:szCs w:val="28"/>
          <w:lang w:val="ru-RU"/>
        </w:rPr>
      </w:pPr>
      <w:r>
        <w:rPr>
          <w:noProof/>
          <w:lang w:eastAsia="uk-UA"/>
        </w:rPr>
        <w:drawing>
          <wp:inline distT="0" distB="0" distL="0" distR="0">
            <wp:extent cx="4543425" cy="1175136"/>
            <wp:effectExtent l="0" t="0" r="0" b="6350"/>
            <wp:docPr id="7"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56"/>
                    <pic:cNvPicPr>
                      <a:picLocks noChangeAspect="1" noChangeArrowheads="1"/>
                    </pic:cNvPicPr>
                  </pic:nvPicPr>
                  <pic:blipFill>
                    <a:blip r:embed="rId18"/>
                    <a:stretch>
                      <a:fillRect/>
                    </a:stretch>
                  </pic:blipFill>
                  <pic:spPr bwMode="auto">
                    <a:xfrm>
                      <a:off x="0" y="0"/>
                      <a:ext cx="4551454" cy="1177213"/>
                    </a:xfrm>
                    <a:prstGeom prst="rect">
                      <a:avLst/>
                    </a:prstGeom>
                  </pic:spPr>
                </pic:pic>
              </a:graphicData>
            </a:graphic>
          </wp:inline>
        </w:drawing>
      </w:r>
    </w:p>
    <w:p w:rsidR="008D4FA6" w:rsidRDefault="008D4FA6">
      <w:pPr>
        <w:spacing w:after="0" w:line="360" w:lineRule="auto"/>
        <w:ind w:firstLine="567"/>
        <w:jc w:val="center"/>
        <w:rPr>
          <w:rFonts w:ascii="Times New Roman" w:hAnsi="Times New Roman" w:cs="Times New Roman"/>
          <w:sz w:val="28"/>
          <w:szCs w:val="28"/>
          <w:lang w:val="ru-RU"/>
        </w:rPr>
      </w:pPr>
    </w:p>
    <w:p w:rsidR="0039038D" w:rsidRPr="008D4FA6" w:rsidRDefault="008D4FA6">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1.7 –</w:t>
      </w:r>
      <w:r>
        <w:rPr>
          <w:rFonts w:ascii="Times New Roman" w:hAnsi="Times New Roman" w:cs="Times New Roman"/>
          <w:sz w:val="28"/>
          <w:szCs w:val="28"/>
        </w:rPr>
        <w:t xml:space="preserve"> Інформація про поле в </w:t>
      </w:r>
      <w:r>
        <w:rPr>
          <w:rFonts w:ascii="Times New Roman" w:hAnsi="Times New Roman" w:cs="Times New Roman"/>
          <w:sz w:val="28"/>
          <w:szCs w:val="28"/>
          <w:lang w:val="en-US"/>
        </w:rPr>
        <w:t>Espacenet</w:t>
      </w:r>
    </w:p>
    <w:p w:rsidR="0039038D" w:rsidRDefault="0039038D">
      <w:pPr>
        <w:spacing w:after="0" w:line="360" w:lineRule="auto"/>
        <w:ind w:firstLine="567"/>
        <w:jc w:val="center"/>
        <w:rPr>
          <w:rFonts w:ascii="Times New Roman" w:hAnsi="Times New Roman" w:cs="Times New Roman"/>
          <w:sz w:val="28"/>
          <w:szCs w:val="28"/>
          <w:lang w:val="ru-RU"/>
        </w:rPr>
      </w:pP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Результати пошуку схожі з тими, що надані в аналогічних програмах. Кількість патентних документів приблизно така ж. Варто підкреслити, що в результатах надають</w:t>
      </w:r>
      <w:r w:rsidR="005E7CDC">
        <w:rPr>
          <w:rFonts w:ascii="Times New Roman" w:hAnsi="Times New Roman" w:cs="Times New Roman"/>
          <w:sz w:val="28"/>
          <w:szCs w:val="28"/>
          <w:lang w:val="ru-RU"/>
        </w:rPr>
        <w:t xml:space="preserve">ся всі документи, в назві яких  </w:t>
      </w:r>
      <w:r>
        <w:rPr>
          <w:rFonts w:ascii="Times New Roman" w:hAnsi="Times New Roman" w:cs="Times New Roman"/>
          <w:sz w:val="28"/>
          <w:szCs w:val="28"/>
          <w:lang w:val="ru-RU"/>
        </w:rPr>
        <w:t>присутнє ключове слово.</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Зручністю даної патентної бази є те, що ці ключові слова виділяються жовтим кольором, а тому людина, що проводить пошук зможе практично моментально проаналізувати назви патентів відповідно до </w:t>
      </w:r>
      <w:r w:rsidR="005E7CDC">
        <w:rPr>
          <w:rFonts w:ascii="Times New Roman" w:hAnsi="Times New Roman" w:cs="Times New Roman"/>
          <w:sz w:val="28"/>
          <w:szCs w:val="28"/>
          <w:lang w:val="ru-RU"/>
        </w:rPr>
        <w:t>основних критеріїв.</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Результати патентного</w:t>
      </w:r>
      <w:r>
        <w:rPr>
          <w:rFonts w:ascii="Times New Roman" w:hAnsi="Times New Roman" w:cs="Times New Roman"/>
          <w:sz w:val="28"/>
          <w:szCs w:val="28"/>
        </w:rPr>
        <w:t xml:space="preserve"> пошуку в цій базі даних наведено на рисунку 1.8.</w:t>
      </w:r>
    </w:p>
    <w:p w:rsidR="0039038D" w:rsidRDefault="008D4FA6" w:rsidP="005E7CDC">
      <w:pPr>
        <w:spacing w:after="0" w:line="360" w:lineRule="auto"/>
        <w:ind w:right="567" w:firstLine="1418"/>
        <w:jc w:val="both"/>
        <w:rPr>
          <w:rFonts w:ascii="Times New Roman" w:hAnsi="Times New Roman" w:cs="Times New Roman"/>
          <w:sz w:val="28"/>
          <w:szCs w:val="28"/>
          <w:lang w:val="ru-RU"/>
        </w:rPr>
      </w:pPr>
      <w:r>
        <w:rPr>
          <w:noProof/>
          <w:lang w:eastAsia="uk-UA"/>
        </w:rPr>
        <w:drawing>
          <wp:inline distT="0" distB="0" distL="0" distR="0">
            <wp:extent cx="4457700" cy="3745942"/>
            <wp:effectExtent l="0" t="0" r="0" b="6985"/>
            <wp:docPr id="8"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55"/>
                    <pic:cNvPicPr>
                      <a:picLocks noChangeAspect="1" noChangeArrowheads="1"/>
                    </pic:cNvPicPr>
                  </pic:nvPicPr>
                  <pic:blipFill>
                    <a:blip r:embed="rId19"/>
                    <a:stretch>
                      <a:fillRect/>
                    </a:stretch>
                  </pic:blipFill>
                  <pic:spPr bwMode="auto">
                    <a:xfrm>
                      <a:off x="0" y="0"/>
                      <a:ext cx="4489744" cy="3772870"/>
                    </a:xfrm>
                    <a:prstGeom prst="rect">
                      <a:avLst/>
                    </a:prstGeom>
                  </pic:spPr>
                </pic:pic>
              </a:graphicData>
            </a:graphic>
          </wp:inline>
        </w:drawing>
      </w:r>
    </w:p>
    <w:p w:rsidR="005E7CDC" w:rsidRDefault="005E7CDC" w:rsidP="008D4FA6">
      <w:pPr>
        <w:spacing w:after="0" w:line="360" w:lineRule="auto"/>
        <w:ind w:right="567" w:firstLine="851"/>
        <w:jc w:val="both"/>
        <w:rPr>
          <w:rFonts w:ascii="Times New Roman" w:hAnsi="Times New Roman" w:cs="Times New Roman"/>
          <w:sz w:val="28"/>
          <w:szCs w:val="28"/>
          <w:lang w:val="ru-RU"/>
        </w:rPr>
      </w:pPr>
    </w:p>
    <w:p w:rsidR="0039038D" w:rsidRDefault="008D4FA6" w:rsidP="005E7CDC">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Рисунок 1.8 – Результати патентного пошуку у патентн</w:t>
      </w:r>
      <w:r>
        <w:rPr>
          <w:rFonts w:ascii="Times New Roman" w:hAnsi="Times New Roman" w:cs="Times New Roman"/>
          <w:sz w:val="28"/>
          <w:szCs w:val="28"/>
        </w:rPr>
        <w:t xml:space="preserve">ій базі даних </w:t>
      </w:r>
      <w:r>
        <w:rPr>
          <w:rFonts w:ascii="Times New Roman" w:hAnsi="Times New Roman" w:cs="Times New Roman"/>
          <w:sz w:val="28"/>
          <w:szCs w:val="28"/>
          <w:lang w:val="en-US"/>
        </w:rPr>
        <w:t>Espacenet</w:t>
      </w:r>
    </w:p>
    <w:p w:rsidR="0039038D" w:rsidRPr="005E7CDC" w:rsidRDefault="0039038D">
      <w:pPr>
        <w:spacing w:after="0"/>
        <w:rPr>
          <w:rFonts w:ascii="Times New Roman" w:hAnsi="Times New Roman" w:cs="Times New Roman"/>
          <w:b/>
          <w:bCs/>
          <w:sz w:val="28"/>
          <w:szCs w:val="28"/>
          <w:lang w:val="ru-RU"/>
        </w:rPr>
      </w:pP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Lens – це онлайн–центр пошуку патентів та ресурс знань, що надається Cambia, незалежною міжнародною некомерційною організацією, що займається демократизацією інновацій. Запущений у 2000 році патентний об'єктив дозволив вільний пошук понад 10 мільйонів повнотекстових патентних документів, включаючи патенти та заявки США, австралійські патенти та заявки, заявки на європейські патенти та договори про патентне співробітництво (PCT). Даний пошуковий сервер був відзначений як єдиний неприбутковий онлайн–центр подібного типу з міжнародним покриттям та посиланнями на непатентну літературу та навчальні посібники</w:t>
      </w:r>
      <w:r>
        <w:rPr>
          <w:rFonts w:ascii="Times New Roman" w:hAnsi="Times New Roman" w:cs="Times New Roman"/>
          <w:sz w:val="28"/>
          <w:szCs w:val="28"/>
          <w:lang w:val="ru-RU"/>
        </w:rPr>
        <w:t xml:space="preserve"> [13]</w:t>
      </w:r>
      <w:r>
        <w:rPr>
          <w:rFonts w:ascii="Times New Roman" w:hAnsi="Times New Roman" w:cs="Times New Roman"/>
          <w:sz w:val="28"/>
          <w:szCs w:val="28"/>
        </w:rPr>
        <w:t>.</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Загальний вигляд пошукового вікна патентної бази даних (рис. </w:t>
      </w:r>
      <w:r>
        <w:rPr>
          <w:rFonts w:ascii="Times New Roman" w:hAnsi="Times New Roman" w:cs="Times New Roman"/>
          <w:sz w:val="28"/>
          <w:szCs w:val="28"/>
          <w:lang w:val="ru-RU"/>
        </w:rPr>
        <w:t>1.9</w:t>
      </w:r>
      <w:r>
        <w:rPr>
          <w:rFonts w:ascii="Times New Roman" w:hAnsi="Times New Roman" w:cs="Times New Roman"/>
          <w:sz w:val="28"/>
          <w:szCs w:val="28"/>
        </w:rPr>
        <w:t xml:space="preserve">) та результати пошуку (рис. </w:t>
      </w:r>
      <w:r>
        <w:rPr>
          <w:rFonts w:ascii="Times New Roman" w:hAnsi="Times New Roman" w:cs="Times New Roman"/>
          <w:sz w:val="28"/>
          <w:szCs w:val="28"/>
          <w:lang w:val="ru-RU"/>
        </w:rPr>
        <w:t>1.10</w:t>
      </w:r>
      <w:r>
        <w:rPr>
          <w:rFonts w:ascii="Times New Roman" w:hAnsi="Times New Roman" w:cs="Times New Roman"/>
          <w:sz w:val="28"/>
          <w:szCs w:val="28"/>
        </w:rPr>
        <w:t>) є основними розділами сайту, які потрібно використовувати для патентного пошуку та подальшої побудови патентного ландшафту.</w:t>
      </w:r>
    </w:p>
    <w:p w:rsidR="0039038D" w:rsidRDefault="0039038D">
      <w:pPr>
        <w:spacing w:after="0" w:line="360" w:lineRule="auto"/>
        <w:ind w:firstLine="567"/>
        <w:jc w:val="both"/>
        <w:rPr>
          <w:rFonts w:ascii="Times New Roman" w:hAnsi="Times New Roman" w:cs="Times New Roman"/>
          <w:sz w:val="28"/>
          <w:szCs w:val="28"/>
        </w:rPr>
      </w:pPr>
    </w:p>
    <w:p w:rsidR="0039038D" w:rsidRDefault="008D4FA6">
      <w:pPr>
        <w:spacing w:after="0"/>
        <w:jc w:val="center"/>
      </w:pPr>
      <w:r>
        <w:rPr>
          <w:noProof/>
          <w:lang w:eastAsia="uk-UA"/>
        </w:rPr>
        <w:drawing>
          <wp:inline distT="0" distB="0" distL="0" distR="0">
            <wp:extent cx="4381500" cy="1789690"/>
            <wp:effectExtent l="0" t="0" r="0" b="1270"/>
            <wp:docPr id="9"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54"/>
                    <pic:cNvPicPr>
                      <a:picLocks noChangeAspect="1" noChangeArrowheads="1"/>
                    </pic:cNvPicPr>
                  </pic:nvPicPr>
                  <pic:blipFill>
                    <a:blip r:embed="rId20"/>
                    <a:stretch>
                      <a:fillRect/>
                    </a:stretch>
                  </pic:blipFill>
                  <pic:spPr bwMode="auto">
                    <a:xfrm>
                      <a:off x="0" y="0"/>
                      <a:ext cx="4389622" cy="1793007"/>
                    </a:xfrm>
                    <a:prstGeom prst="rect">
                      <a:avLst/>
                    </a:prstGeom>
                  </pic:spPr>
                </pic:pic>
              </a:graphicData>
            </a:graphic>
          </wp:inline>
        </w:drawing>
      </w:r>
    </w:p>
    <w:p w:rsidR="008D4FA6" w:rsidRDefault="008D4FA6">
      <w:pPr>
        <w:spacing w:after="0"/>
        <w:jc w:val="center"/>
      </w:pPr>
    </w:p>
    <w:p w:rsidR="005E7CDC" w:rsidRDefault="005E7CDC">
      <w:pPr>
        <w:spacing w:after="0"/>
        <w:jc w:val="center"/>
      </w:pPr>
    </w:p>
    <w:p w:rsidR="0039038D" w:rsidRDefault="008D4FA6">
      <w:pPr>
        <w:spacing w:after="0"/>
        <w:jc w:val="center"/>
        <w:rPr>
          <w:rFonts w:ascii="Times New Roman" w:hAnsi="Times New Roman" w:cs="Times New Roman"/>
          <w:sz w:val="28"/>
          <w:szCs w:val="28"/>
        </w:rPr>
      </w:pPr>
      <w:r>
        <w:rPr>
          <w:rFonts w:ascii="Times New Roman" w:hAnsi="Times New Roman" w:cs="Times New Roman"/>
          <w:sz w:val="28"/>
          <w:szCs w:val="28"/>
        </w:rPr>
        <w:t>Рисунок 1</w:t>
      </w:r>
      <w:r>
        <w:rPr>
          <w:rFonts w:ascii="Times New Roman" w:hAnsi="Times New Roman" w:cs="Times New Roman"/>
          <w:sz w:val="28"/>
          <w:szCs w:val="28"/>
          <w:lang w:val="ru-RU"/>
        </w:rPr>
        <w:t xml:space="preserve">.9 </w:t>
      </w:r>
      <w:r>
        <w:rPr>
          <w:rFonts w:ascii="Times New Roman" w:hAnsi="Times New Roman" w:cs="Times New Roman"/>
          <w:sz w:val="28"/>
          <w:szCs w:val="28"/>
        </w:rPr>
        <w:t xml:space="preserve"> – Загальний вигляд пошукового вікна порталу Lens</w:t>
      </w:r>
    </w:p>
    <w:p w:rsidR="0039038D" w:rsidRDefault="0039038D">
      <w:pPr>
        <w:spacing w:after="0"/>
        <w:jc w:val="center"/>
        <w:rPr>
          <w:rFonts w:ascii="Times New Roman" w:hAnsi="Times New Roman" w:cs="Times New Roman"/>
          <w:sz w:val="28"/>
          <w:szCs w:val="28"/>
        </w:rPr>
      </w:pPr>
    </w:p>
    <w:p w:rsidR="0039038D" w:rsidRDefault="0039038D">
      <w:pPr>
        <w:spacing w:after="0"/>
        <w:jc w:val="center"/>
      </w:pP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Результати патентного пошуку надаються у вигляді переліку патентів. Кожен блок має загальну інформацію про конкретний патент, де наведена наступна інформація:</w:t>
      </w:r>
    </w:p>
    <w:p w:rsidR="0039038D" w:rsidRDefault="008D4FA6">
      <w:pPr>
        <w:pStyle w:val="ac"/>
        <w:numPr>
          <w:ilvl w:val="0"/>
          <w:numId w:val="10"/>
        </w:numPr>
        <w:spacing w:after="0" w:line="360" w:lineRule="auto"/>
        <w:ind w:left="567" w:firstLine="426"/>
        <w:jc w:val="both"/>
        <w:rPr>
          <w:rFonts w:ascii="Times New Roman" w:hAnsi="Times New Roman" w:cs="Times New Roman"/>
          <w:sz w:val="28"/>
          <w:szCs w:val="28"/>
        </w:rPr>
      </w:pPr>
      <w:r>
        <w:rPr>
          <w:rFonts w:ascii="Times New Roman" w:hAnsi="Times New Roman" w:cs="Times New Roman"/>
          <w:sz w:val="28"/>
          <w:szCs w:val="28"/>
        </w:rPr>
        <w:t>Дата подачі заявки;</w:t>
      </w:r>
    </w:p>
    <w:p w:rsidR="0039038D" w:rsidRDefault="008D4FA6">
      <w:pPr>
        <w:pStyle w:val="ac"/>
        <w:numPr>
          <w:ilvl w:val="0"/>
          <w:numId w:val="10"/>
        </w:numPr>
        <w:spacing w:after="0" w:line="360" w:lineRule="auto"/>
        <w:ind w:left="567" w:firstLine="426"/>
        <w:jc w:val="both"/>
        <w:rPr>
          <w:rFonts w:ascii="Times New Roman" w:hAnsi="Times New Roman" w:cs="Times New Roman"/>
          <w:sz w:val="28"/>
          <w:szCs w:val="28"/>
        </w:rPr>
      </w:pPr>
      <w:r>
        <w:rPr>
          <w:rFonts w:ascii="Times New Roman" w:hAnsi="Times New Roman" w:cs="Times New Roman"/>
          <w:sz w:val="28"/>
          <w:szCs w:val="28"/>
        </w:rPr>
        <w:t>Дата отримання патентного документу;</w:t>
      </w:r>
    </w:p>
    <w:p w:rsidR="0039038D" w:rsidRDefault="008D4FA6">
      <w:pPr>
        <w:pStyle w:val="ac"/>
        <w:numPr>
          <w:ilvl w:val="0"/>
          <w:numId w:val="10"/>
        </w:numPr>
        <w:spacing w:after="0" w:line="360" w:lineRule="auto"/>
        <w:ind w:left="567" w:firstLine="426"/>
        <w:jc w:val="both"/>
        <w:rPr>
          <w:rFonts w:ascii="Times New Roman" w:hAnsi="Times New Roman" w:cs="Times New Roman"/>
          <w:sz w:val="28"/>
          <w:szCs w:val="28"/>
        </w:rPr>
      </w:pPr>
      <w:r>
        <w:rPr>
          <w:rFonts w:ascii="Times New Roman" w:hAnsi="Times New Roman" w:cs="Times New Roman"/>
          <w:sz w:val="28"/>
          <w:szCs w:val="28"/>
        </w:rPr>
        <w:t>Перша подача;</w:t>
      </w:r>
    </w:p>
    <w:p w:rsidR="0039038D" w:rsidRDefault="008D4FA6">
      <w:pPr>
        <w:pStyle w:val="ac"/>
        <w:numPr>
          <w:ilvl w:val="0"/>
          <w:numId w:val="10"/>
        </w:numPr>
        <w:spacing w:after="0" w:line="360" w:lineRule="auto"/>
        <w:ind w:left="567" w:firstLine="426"/>
        <w:jc w:val="both"/>
        <w:rPr>
          <w:rFonts w:ascii="Times New Roman" w:hAnsi="Times New Roman" w:cs="Times New Roman"/>
          <w:sz w:val="28"/>
          <w:szCs w:val="28"/>
        </w:rPr>
      </w:pPr>
      <w:r>
        <w:rPr>
          <w:rFonts w:ascii="Times New Roman" w:hAnsi="Times New Roman" w:cs="Times New Roman"/>
          <w:sz w:val="28"/>
          <w:szCs w:val="28"/>
        </w:rPr>
        <w:t>Загальна кількість подач заявок;</w:t>
      </w:r>
    </w:p>
    <w:p w:rsidR="0039038D" w:rsidRDefault="008D4FA6">
      <w:pPr>
        <w:pStyle w:val="ac"/>
        <w:numPr>
          <w:ilvl w:val="0"/>
          <w:numId w:val="10"/>
        </w:numPr>
        <w:spacing w:after="0" w:line="360" w:lineRule="auto"/>
        <w:ind w:left="567" w:firstLine="426"/>
        <w:jc w:val="both"/>
        <w:rPr>
          <w:rFonts w:ascii="Times New Roman" w:hAnsi="Times New Roman" w:cs="Times New Roman"/>
          <w:sz w:val="28"/>
          <w:szCs w:val="28"/>
        </w:rPr>
      </w:pPr>
      <w:r>
        <w:rPr>
          <w:rFonts w:ascii="Times New Roman" w:hAnsi="Times New Roman" w:cs="Times New Roman"/>
          <w:sz w:val="28"/>
          <w:szCs w:val="28"/>
        </w:rPr>
        <w:lastRenderedPageBreak/>
        <w:t>Країна замовника, замовник, код патенту.</w:t>
      </w:r>
    </w:p>
    <w:p w:rsidR="0039038D" w:rsidRDefault="0039038D">
      <w:pPr>
        <w:spacing w:after="0" w:line="360" w:lineRule="auto"/>
        <w:jc w:val="both"/>
        <w:rPr>
          <w:rFonts w:ascii="Times New Roman" w:hAnsi="Times New Roman" w:cs="Times New Roman"/>
          <w:sz w:val="28"/>
          <w:szCs w:val="28"/>
        </w:rPr>
      </w:pPr>
    </w:p>
    <w:p w:rsidR="0039038D" w:rsidRDefault="008D4FA6" w:rsidP="008D4FA6">
      <w:pPr>
        <w:spacing w:after="0"/>
        <w:ind w:firstLine="2127"/>
      </w:pPr>
      <w:r>
        <w:rPr>
          <w:noProof/>
          <w:lang w:eastAsia="uk-UA"/>
        </w:rPr>
        <w:drawing>
          <wp:inline distT="0" distB="0" distL="0" distR="0">
            <wp:extent cx="3506413" cy="2114550"/>
            <wp:effectExtent l="0" t="0" r="0" b="0"/>
            <wp:docPr id="10"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53"/>
                    <pic:cNvPicPr>
                      <a:picLocks noChangeAspect="1" noChangeArrowheads="1"/>
                    </pic:cNvPicPr>
                  </pic:nvPicPr>
                  <pic:blipFill>
                    <a:blip r:embed="rId21"/>
                    <a:stretch>
                      <a:fillRect/>
                    </a:stretch>
                  </pic:blipFill>
                  <pic:spPr bwMode="auto">
                    <a:xfrm>
                      <a:off x="0" y="0"/>
                      <a:ext cx="3510841" cy="2117220"/>
                    </a:xfrm>
                    <a:prstGeom prst="rect">
                      <a:avLst/>
                    </a:prstGeom>
                  </pic:spPr>
                </pic:pic>
              </a:graphicData>
            </a:graphic>
          </wp:inline>
        </w:drawing>
      </w:r>
    </w:p>
    <w:p w:rsidR="008D4FA6" w:rsidRDefault="008D4FA6" w:rsidP="008D4FA6">
      <w:pPr>
        <w:spacing w:after="0"/>
        <w:ind w:firstLine="2127"/>
      </w:pPr>
    </w:p>
    <w:p w:rsidR="0039038D" w:rsidRDefault="0039038D">
      <w:pPr>
        <w:spacing w:after="0"/>
        <w:ind w:firstLine="2552"/>
      </w:pPr>
    </w:p>
    <w:p w:rsidR="0039038D" w:rsidRDefault="008D4FA6">
      <w:pPr>
        <w:spacing w:after="0" w:line="360" w:lineRule="auto"/>
        <w:ind w:firstLine="426"/>
        <w:jc w:val="center"/>
        <w:rPr>
          <w:rFonts w:ascii="Times New Roman" w:hAnsi="Times New Roman" w:cs="Times New Roman"/>
          <w:sz w:val="28"/>
          <w:szCs w:val="28"/>
        </w:rPr>
      </w:pPr>
      <w:r>
        <w:rPr>
          <w:rFonts w:ascii="Times New Roman" w:hAnsi="Times New Roman" w:cs="Times New Roman"/>
          <w:sz w:val="28"/>
          <w:szCs w:val="28"/>
        </w:rPr>
        <w:t>Рисунок 1.10 – Результат патентного запиту в Lens</w:t>
      </w:r>
    </w:p>
    <w:p w:rsidR="0039038D" w:rsidRDefault="0039038D">
      <w:pPr>
        <w:spacing w:after="0" w:line="360" w:lineRule="auto"/>
        <w:ind w:firstLine="426"/>
        <w:jc w:val="both"/>
        <w:rPr>
          <w:rFonts w:ascii="Times New Roman" w:hAnsi="Times New Roman" w:cs="Times New Roman"/>
          <w:sz w:val="28"/>
          <w:szCs w:val="28"/>
        </w:rPr>
      </w:pPr>
    </w:p>
    <w:p w:rsidR="0039038D" w:rsidRDefault="008D4FA6">
      <w:pPr>
        <w:spacing w:after="0"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У плані технологічності Lens, на мою думку, є найкращим продуктом для проведення патентних пошуків. Якість інтерфейсу і візуалізації результатів пошуку кр</w:t>
      </w:r>
      <w:r w:rsidR="005E7CDC">
        <w:rPr>
          <w:rFonts w:ascii="Times New Roman" w:hAnsi="Times New Roman" w:cs="Times New Roman"/>
          <w:sz w:val="28"/>
          <w:szCs w:val="28"/>
          <w:lang w:val="ru-RU"/>
        </w:rPr>
        <w:t>аще, ніж в БД «Patentscope».</w:t>
      </w:r>
    </w:p>
    <w:p w:rsidR="0039038D" w:rsidRDefault="008D4FA6">
      <w:pPr>
        <w:spacing w:after="0"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Результати пошуку легко експортуються в зручний для користувачів MS Excel, за допомогою якого він може використовувати різні способи візуалізації.</w:t>
      </w:r>
    </w:p>
    <w:p w:rsidR="0039038D" w:rsidRDefault="008D4FA6">
      <w:pPr>
        <w:spacing w:after="0"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Кожен патент і патентний документ, представлений в даній базі має всю інформацію, необхідну для побудови якісного патентного ландшафту.</w:t>
      </w:r>
    </w:p>
    <w:p w:rsidR="0039038D" w:rsidRDefault="008D4FA6">
      <w:pPr>
        <w:spacing w:after="0"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У зв'язку з доступністю бази даних, якісного функціоновання і можливості різноманітно відобразити результати у вигляді графіків, схем, діаграм і т.д. було вирішено, що саме за допомогою інформації, представленої в цьому ресурсі буде проводитися практична частина дипломної роботи.</w:t>
      </w:r>
    </w:p>
    <w:p w:rsidR="0039038D" w:rsidRDefault="008D4FA6">
      <w:pPr>
        <w:spacing w:after="0"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Укрпатент, або Український інститут інтелектуальної власності — державна організація, яка входить до Міністерства економічного розвитку і торгівлі в Україні. Метою підприємства є кваліфікаційна та формальна експертиза усіх заявок на об'єкти ІВ (корисні моделі, винаходи, промислові зразки, топографії інтегральних мікросхем, знаки для товарів і послуг та зазначення походження товарів). Експертизи проводяться на відповідність заявок умовам наданная правової охорони та у підсумку виносяться рішення відносно видачі охоронних документів, яке допоможе зареєструвати ОПІВ в Україні та за її межами [14].</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Вікно пошуку на сайті Укрпатенту має безліч полів, але фахівець може вибрати ті, які підходять саме йому в контексті предметної області дослідження.</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Цікаво, що крім патентних документів Незалежної України є поле, де можна знайти заявки, які були залишені до 1991 року. Зовнішній вигляд ресурсу, інформованість, функціональність патентної бази настільки різноманітний, що її можна виділити на фоні основних конкурентів. </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Навігація максимально спрощена, а тому дослідник зможе буквально за 5–10 хвилин отримати необхідну інформацію для її подальшої обробки.</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Єдиним мінусом, що не дає можливість повноцінно використовувати базу Укрпатенту для патентного пошуку щодо Blockchain є вузькоспрямованість БД, так як кількість документів значно поступається більш популярним ресурсам.</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Крім того, розробники upiv не пропрацювали можливість безпосередньо провести візуалізацію результатів, отже, цей проект не можна використовувати для побудови патентного ландшафту.</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Також є поля для повнотекстового пошуку, де дослідник може ввести фразу, яку бажає знайти в описах, рефератах або формулах.</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Вікно для розширеного пошуку </w:t>
      </w:r>
      <w:r w:rsidR="005E7CDC">
        <w:rPr>
          <w:rFonts w:ascii="Times New Roman" w:hAnsi="Times New Roman" w:cs="Times New Roman"/>
          <w:sz w:val="28"/>
          <w:szCs w:val="28"/>
          <w:lang w:val="ru-RU"/>
        </w:rPr>
        <w:t>зображено на рисунку 1.11.</w:t>
      </w:r>
    </w:p>
    <w:p w:rsidR="005E7CDC" w:rsidRDefault="005E7CDC">
      <w:pPr>
        <w:spacing w:after="0" w:line="360" w:lineRule="auto"/>
        <w:ind w:firstLine="567"/>
        <w:jc w:val="both"/>
        <w:rPr>
          <w:rFonts w:ascii="Times New Roman" w:hAnsi="Times New Roman" w:cs="Times New Roman"/>
          <w:sz w:val="28"/>
          <w:szCs w:val="28"/>
        </w:rPr>
      </w:pPr>
    </w:p>
    <w:p w:rsidR="0039038D" w:rsidRDefault="008D4FA6">
      <w:pPr>
        <w:spacing w:after="0" w:line="360" w:lineRule="auto"/>
        <w:ind w:firstLine="1985"/>
        <w:jc w:val="both"/>
        <w:rPr>
          <w:rFonts w:ascii="Times New Roman" w:hAnsi="Times New Roman" w:cs="Times New Roman"/>
          <w:sz w:val="28"/>
          <w:szCs w:val="28"/>
        </w:rPr>
      </w:pPr>
      <w:r>
        <w:rPr>
          <w:noProof/>
          <w:lang w:eastAsia="uk-UA"/>
        </w:rPr>
        <w:drawing>
          <wp:inline distT="0" distB="0" distL="0" distR="0">
            <wp:extent cx="3895725" cy="3290794"/>
            <wp:effectExtent l="0" t="0" r="0" b="5080"/>
            <wp:docPr id="11"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52"/>
                    <pic:cNvPicPr>
                      <a:picLocks noChangeAspect="1" noChangeArrowheads="1"/>
                    </pic:cNvPicPr>
                  </pic:nvPicPr>
                  <pic:blipFill>
                    <a:blip r:embed="rId22"/>
                    <a:stretch>
                      <a:fillRect/>
                    </a:stretch>
                  </pic:blipFill>
                  <pic:spPr bwMode="auto">
                    <a:xfrm>
                      <a:off x="0" y="0"/>
                      <a:ext cx="3900429" cy="3294767"/>
                    </a:xfrm>
                    <a:prstGeom prst="rect">
                      <a:avLst/>
                    </a:prstGeom>
                  </pic:spPr>
                </pic:pic>
              </a:graphicData>
            </a:graphic>
          </wp:inline>
        </w:drawing>
      </w:r>
    </w:p>
    <w:p w:rsidR="005E7CDC" w:rsidRDefault="005E7CDC" w:rsidP="005E7CDC">
      <w:pPr>
        <w:spacing w:after="0" w:line="360" w:lineRule="auto"/>
        <w:rPr>
          <w:rFonts w:ascii="Times New Roman" w:hAnsi="Times New Roman" w:cs="Times New Roman"/>
          <w:sz w:val="28"/>
          <w:szCs w:val="28"/>
        </w:rPr>
      </w:pPr>
    </w:p>
    <w:p w:rsidR="0039038D" w:rsidRDefault="008D4FA6" w:rsidP="005E7CDC">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rPr>
        <w:t xml:space="preserve">Рисунок 1.11 – Вікно для патентного пошуку на сайті </w:t>
      </w:r>
      <w:r>
        <w:rPr>
          <w:rFonts w:ascii="Times New Roman" w:hAnsi="Times New Roman" w:cs="Times New Roman"/>
          <w:sz w:val="28"/>
          <w:szCs w:val="28"/>
          <w:lang w:val="en-US"/>
        </w:rPr>
        <w:t>Upiv</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lastRenderedPageBreak/>
        <w:t xml:space="preserve">Проведення пошуку та отримання результатів здійснюється українською мовою. </w:t>
      </w:r>
      <w:r>
        <w:rPr>
          <w:rFonts w:ascii="Times New Roman" w:hAnsi="Times New Roman" w:cs="Times New Roman"/>
          <w:sz w:val="28"/>
          <w:szCs w:val="28"/>
        </w:rPr>
        <w:t xml:space="preserve">Одна сторінка може містити від 25 до 200 патентних документів. </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Оскільки у БД "Укрпатент" зосереджені лише українські документи, їх кількість буде недостатньою для патентного аналізу, це є підтвердженням думки про те, що upiv не є найкращим ресурсом для проведення повномасштабного пошуку щодо популярних технологій.</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Як приклад, проведено пошук за ключовим словом "блокчейн", отримано лише один результат, що демонструє непопулярність цієї технології в плані її захисту, як ОПІВ в Україні. Причиною цьому є те, що в нашій країні найбільше використовуються розробки, створені США та Китаєм, а тому власних патентів мінімум. Результати патентного пошуку наведено на рисунку</w:t>
      </w:r>
      <w:r w:rsidR="00DB7952">
        <w:rPr>
          <w:rFonts w:ascii="Times New Roman" w:hAnsi="Times New Roman" w:cs="Times New Roman"/>
          <w:sz w:val="28"/>
          <w:szCs w:val="28"/>
          <w:lang w:val="ru-RU"/>
        </w:rPr>
        <w:t xml:space="preserve"> </w:t>
      </w:r>
      <w:r>
        <w:rPr>
          <w:rFonts w:ascii="Times New Roman" w:hAnsi="Times New Roman" w:cs="Times New Roman"/>
          <w:sz w:val="28"/>
          <w:szCs w:val="28"/>
          <w:lang w:val="ru-RU"/>
        </w:rPr>
        <w:t>1.12.</w:t>
      </w:r>
    </w:p>
    <w:p w:rsidR="0039038D" w:rsidRDefault="0039038D">
      <w:pPr>
        <w:spacing w:after="0" w:line="360" w:lineRule="auto"/>
        <w:ind w:firstLine="567"/>
        <w:jc w:val="both"/>
        <w:rPr>
          <w:rFonts w:ascii="Times New Roman" w:hAnsi="Times New Roman" w:cs="Times New Roman"/>
          <w:sz w:val="28"/>
          <w:szCs w:val="28"/>
          <w:lang w:val="ru-RU"/>
        </w:rPr>
      </w:pPr>
    </w:p>
    <w:p w:rsidR="0039038D" w:rsidRDefault="008D4FA6">
      <w:pPr>
        <w:spacing w:after="0" w:line="360" w:lineRule="auto"/>
        <w:ind w:firstLine="567"/>
        <w:jc w:val="center"/>
        <w:rPr>
          <w:rFonts w:ascii="Times New Roman" w:hAnsi="Times New Roman" w:cs="Times New Roman"/>
          <w:sz w:val="28"/>
          <w:szCs w:val="28"/>
          <w:lang w:val="ru-RU"/>
        </w:rPr>
      </w:pPr>
      <w:r>
        <w:rPr>
          <w:noProof/>
          <w:lang w:eastAsia="uk-UA"/>
        </w:rPr>
        <w:drawing>
          <wp:inline distT="0" distB="0" distL="0" distR="0">
            <wp:extent cx="4743450" cy="1930043"/>
            <wp:effectExtent l="0" t="0" r="0" b="0"/>
            <wp:docPr id="12"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51"/>
                    <pic:cNvPicPr>
                      <a:picLocks noChangeAspect="1" noChangeArrowheads="1"/>
                    </pic:cNvPicPr>
                  </pic:nvPicPr>
                  <pic:blipFill>
                    <a:blip r:embed="rId23"/>
                    <a:stretch>
                      <a:fillRect/>
                    </a:stretch>
                  </pic:blipFill>
                  <pic:spPr bwMode="auto">
                    <a:xfrm>
                      <a:off x="0" y="0"/>
                      <a:ext cx="4759440" cy="1936549"/>
                    </a:xfrm>
                    <a:prstGeom prst="rect">
                      <a:avLst/>
                    </a:prstGeom>
                  </pic:spPr>
                </pic:pic>
              </a:graphicData>
            </a:graphic>
          </wp:inline>
        </w:drawing>
      </w:r>
    </w:p>
    <w:p w:rsidR="00DB7952" w:rsidRDefault="00DB7952">
      <w:pPr>
        <w:spacing w:after="0" w:line="360" w:lineRule="auto"/>
        <w:ind w:firstLine="567"/>
        <w:jc w:val="center"/>
        <w:rPr>
          <w:rFonts w:ascii="Times New Roman" w:hAnsi="Times New Roman" w:cs="Times New Roman"/>
          <w:sz w:val="28"/>
          <w:szCs w:val="28"/>
          <w:lang w:val="ru-RU"/>
        </w:rPr>
      </w:pPr>
    </w:p>
    <w:p w:rsidR="0039038D" w:rsidRDefault="008D4FA6">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lang w:val="ru-RU"/>
        </w:rPr>
        <w:t>Рисунок 1.12 – Результати патентного пошуку на сайт</w:t>
      </w:r>
      <w:r>
        <w:rPr>
          <w:rFonts w:ascii="Times New Roman" w:hAnsi="Times New Roman" w:cs="Times New Roman"/>
          <w:sz w:val="28"/>
          <w:szCs w:val="28"/>
        </w:rPr>
        <w:t>і Укрпатенту</w:t>
      </w:r>
    </w:p>
    <w:p w:rsidR="0039038D" w:rsidRDefault="0039038D">
      <w:pPr>
        <w:spacing w:after="0" w:line="360" w:lineRule="auto"/>
        <w:ind w:firstLine="567"/>
        <w:jc w:val="center"/>
        <w:rPr>
          <w:rFonts w:ascii="Times New Roman" w:hAnsi="Times New Roman" w:cs="Times New Roman"/>
          <w:sz w:val="28"/>
          <w:szCs w:val="28"/>
        </w:rPr>
      </w:pPr>
    </w:p>
    <w:p w:rsidR="0039038D" w:rsidRDefault="008D4FA6">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1.2.4 Комерційні патентні бази даних</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Розглянемо найбільш відому комерційну базу даних «</w:t>
      </w:r>
      <w:r>
        <w:rPr>
          <w:rFonts w:ascii="Times New Roman" w:hAnsi="Times New Roman" w:cs="Times New Roman"/>
          <w:sz w:val="28"/>
          <w:szCs w:val="28"/>
          <w:lang w:val="en-US"/>
        </w:rPr>
        <w:t>PATSTAT</w:t>
      </w:r>
      <w:r>
        <w:rPr>
          <w:rFonts w:ascii="Times New Roman" w:hAnsi="Times New Roman" w:cs="Times New Roman"/>
          <w:sz w:val="28"/>
          <w:szCs w:val="28"/>
        </w:rPr>
        <w:t>». Це база статистичних даних ЄПВ, є частиною бази даних документації ЄПВ (</w:t>
      </w:r>
      <w:r>
        <w:rPr>
          <w:rFonts w:ascii="Times New Roman" w:hAnsi="Times New Roman" w:cs="Times New Roman"/>
          <w:sz w:val="28"/>
          <w:szCs w:val="28"/>
          <w:lang w:val="en-US"/>
        </w:rPr>
        <w:t>DOCDB</w:t>
      </w:r>
      <w:r>
        <w:rPr>
          <w:rFonts w:ascii="Times New Roman" w:hAnsi="Times New Roman" w:cs="Times New Roman"/>
          <w:sz w:val="28"/>
          <w:szCs w:val="28"/>
        </w:rPr>
        <w:t>) з глобальним покриттям</w:t>
      </w:r>
      <w:r>
        <w:rPr>
          <w:rFonts w:ascii="Times New Roman" w:hAnsi="Times New Roman" w:cs="Times New Roman"/>
          <w:sz w:val="28"/>
          <w:szCs w:val="28"/>
          <w:lang w:val="ru-RU"/>
        </w:rPr>
        <w:t xml:space="preserve"> [15]</w:t>
      </w:r>
      <w:r>
        <w:rPr>
          <w:rFonts w:ascii="Times New Roman" w:hAnsi="Times New Roman" w:cs="Times New Roman"/>
          <w:sz w:val="28"/>
          <w:szCs w:val="28"/>
        </w:rPr>
        <w:t>. До переваг даної бази можна віднести:</w:t>
      </w:r>
    </w:p>
    <w:p w:rsidR="0039038D" w:rsidRDefault="008D4FA6">
      <w:pPr>
        <w:pStyle w:val="ac"/>
        <w:numPr>
          <w:ilvl w:val="0"/>
          <w:numId w:val="11"/>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Зосереджені дані більш ніж з 100 країн і міжнародних організацій;</w:t>
      </w:r>
    </w:p>
    <w:p w:rsidR="0039038D" w:rsidRDefault="008D4FA6">
      <w:pPr>
        <w:pStyle w:val="ac"/>
        <w:numPr>
          <w:ilvl w:val="0"/>
          <w:numId w:val="11"/>
        </w:numPr>
        <w:spacing w:after="0" w:line="360" w:lineRule="auto"/>
        <w:ind w:left="993" w:hanging="426"/>
        <w:jc w:val="both"/>
        <w:rPr>
          <w:rFonts w:ascii="Times New Roman" w:hAnsi="Times New Roman" w:cs="Times New Roman"/>
          <w:sz w:val="28"/>
          <w:szCs w:val="28"/>
          <w:lang w:val="ru-RU"/>
        </w:rPr>
      </w:pPr>
      <w:r>
        <w:rPr>
          <w:rFonts w:ascii="Times New Roman" w:hAnsi="Times New Roman" w:cs="Times New Roman"/>
          <w:sz w:val="28"/>
          <w:szCs w:val="28"/>
        </w:rPr>
        <w:t xml:space="preserve"> </w:t>
      </w:r>
      <w:r>
        <w:rPr>
          <w:rFonts w:ascii="Times New Roman" w:hAnsi="Times New Roman" w:cs="Times New Roman"/>
          <w:sz w:val="28"/>
          <w:szCs w:val="28"/>
          <w:lang w:val="ru-RU"/>
        </w:rPr>
        <w:t>Містить 67 мільйонів патентних заявок, 35 мільйонів виданих патентів і корисних моделей, 150 унікальних атрибутів патентних документів;</w:t>
      </w:r>
    </w:p>
    <w:p w:rsidR="0039038D" w:rsidRDefault="008D4FA6">
      <w:pPr>
        <w:pStyle w:val="ac"/>
        <w:numPr>
          <w:ilvl w:val="0"/>
          <w:numId w:val="11"/>
        </w:numPr>
        <w:spacing w:after="0" w:line="360" w:lineRule="auto"/>
        <w:ind w:left="993" w:hanging="426"/>
        <w:jc w:val="both"/>
        <w:rPr>
          <w:rFonts w:ascii="Times New Roman" w:hAnsi="Times New Roman" w:cs="Times New Roman"/>
          <w:sz w:val="28"/>
          <w:szCs w:val="28"/>
          <w:lang w:val="ru-RU"/>
        </w:rPr>
      </w:pPr>
      <w:r>
        <w:rPr>
          <w:rFonts w:ascii="Times New Roman" w:hAnsi="Times New Roman" w:cs="Times New Roman"/>
          <w:sz w:val="28"/>
          <w:szCs w:val="28"/>
          <w:lang w:val="ru-RU"/>
        </w:rPr>
        <w:t>Значно дешевше існуючих аналогічних систем аналізу патентної статистики (</w:t>
      </w:r>
      <w:r>
        <w:rPr>
          <w:rFonts w:ascii="Times New Roman" w:hAnsi="Times New Roman" w:cs="Times New Roman"/>
          <w:sz w:val="28"/>
          <w:szCs w:val="28"/>
          <w:lang w:val="en-US"/>
        </w:rPr>
        <w:t>ThomsonInnovation</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Questel</w:t>
      </w:r>
      <w:r>
        <w:rPr>
          <w:rFonts w:ascii="Times New Roman" w:hAnsi="Times New Roman" w:cs="Times New Roman"/>
          <w:sz w:val="28"/>
          <w:szCs w:val="28"/>
        </w:rPr>
        <w:t>та інш.</w:t>
      </w:r>
      <w:r>
        <w:rPr>
          <w:rFonts w:ascii="Times New Roman" w:hAnsi="Times New Roman" w:cs="Times New Roman"/>
          <w:sz w:val="28"/>
          <w:szCs w:val="28"/>
          <w:lang w:val="ru-RU"/>
        </w:rPr>
        <w:t>);</w:t>
      </w:r>
    </w:p>
    <w:p w:rsidR="0039038D" w:rsidRDefault="008D4FA6">
      <w:pPr>
        <w:pStyle w:val="ac"/>
        <w:numPr>
          <w:ilvl w:val="0"/>
          <w:numId w:val="11"/>
        </w:numPr>
        <w:spacing w:after="0" w:line="360" w:lineRule="auto"/>
        <w:ind w:left="993" w:hanging="426"/>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Дозволяє завантажувати додаткову інформацію, персоналізувати систему під конкретні потреби на відміну від "пакетних" продуктів компаній </w:t>
      </w:r>
      <w:r>
        <w:rPr>
          <w:rFonts w:ascii="Times New Roman" w:hAnsi="Times New Roman" w:cs="Times New Roman"/>
          <w:sz w:val="28"/>
          <w:szCs w:val="28"/>
          <w:lang w:val="en-US"/>
        </w:rPr>
        <w:t>ThomsonReuters</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Questel</w:t>
      </w:r>
      <w:r>
        <w:rPr>
          <w:rFonts w:ascii="Times New Roman" w:hAnsi="Times New Roman" w:cs="Times New Roman"/>
          <w:sz w:val="28"/>
          <w:szCs w:val="28"/>
          <w:lang w:val="ru-RU"/>
        </w:rPr>
        <w:t>.</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Дана патентна база даних створена спеціально для візуалізації результатів пошуку і їх експортування для подальшої обробки.</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Однак, система повністю англомовна, тому не є зручною для українського споживача, так як патентні заявки отримані в нашій країні мають транслітерацію імен назв компаній та заявників, що значно погіршує процес сприйняття даних документів.</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Комерційний продукт надає можливість безкоштовного користування на протязі двох місяців, після чого за користування бази даних потрібно буде щомісяця, або в інший обраний період сплачувати підписку.</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Звичайно, різноманітність способів візуалізації в порівнянні з програмними продуктами з відкритим кодом значно більша, але для первинних патентних пошуків можна використовувати і безкоштовні аналоги.</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Через те, що patstat є платною програмою доступ до її функціоналу буде доступний користувачам тільки після введення логіна і пароля, які він вказав при реєстрації (рис 1.13)</w:t>
      </w:r>
    </w:p>
    <w:p w:rsidR="00DB7952" w:rsidRDefault="00DB7952">
      <w:pPr>
        <w:spacing w:after="0" w:line="360" w:lineRule="auto"/>
        <w:ind w:firstLine="567"/>
        <w:jc w:val="both"/>
        <w:rPr>
          <w:rFonts w:ascii="Times New Roman" w:hAnsi="Times New Roman" w:cs="Times New Roman"/>
          <w:b/>
          <w:bCs/>
          <w:sz w:val="28"/>
          <w:szCs w:val="28"/>
          <w:lang w:val="ru-RU"/>
        </w:rPr>
      </w:pPr>
    </w:p>
    <w:p w:rsidR="0039038D" w:rsidRDefault="008D4FA6">
      <w:pPr>
        <w:spacing w:after="0" w:line="360" w:lineRule="auto"/>
        <w:ind w:firstLine="567"/>
        <w:jc w:val="center"/>
        <w:rPr>
          <w:rFonts w:ascii="Times New Roman" w:hAnsi="Times New Roman" w:cs="Times New Roman"/>
          <w:b/>
          <w:bCs/>
          <w:sz w:val="28"/>
          <w:szCs w:val="28"/>
          <w:lang w:val="ru-RU"/>
        </w:rPr>
      </w:pPr>
      <w:r>
        <w:rPr>
          <w:noProof/>
          <w:lang w:eastAsia="uk-UA"/>
        </w:rPr>
        <w:drawing>
          <wp:inline distT="0" distB="0" distL="0" distR="0">
            <wp:extent cx="4000500" cy="1893403"/>
            <wp:effectExtent l="0" t="0" r="0" b="0"/>
            <wp:docPr id="1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50"/>
                    <pic:cNvPicPr>
                      <a:picLocks noChangeAspect="1" noChangeArrowheads="1"/>
                    </pic:cNvPicPr>
                  </pic:nvPicPr>
                  <pic:blipFill>
                    <a:blip r:embed="rId24"/>
                    <a:stretch>
                      <a:fillRect/>
                    </a:stretch>
                  </pic:blipFill>
                  <pic:spPr bwMode="auto">
                    <a:xfrm>
                      <a:off x="0" y="0"/>
                      <a:ext cx="4043630" cy="1913816"/>
                    </a:xfrm>
                    <a:prstGeom prst="rect">
                      <a:avLst/>
                    </a:prstGeom>
                  </pic:spPr>
                </pic:pic>
              </a:graphicData>
            </a:graphic>
          </wp:inline>
        </w:drawing>
      </w:r>
    </w:p>
    <w:p w:rsidR="00DB7952" w:rsidRDefault="00DB7952">
      <w:pPr>
        <w:spacing w:after="0" w:line="360" w:lineRule="auto"/>
        <w:ind w:firstLine="567"/>
        <w:jc w:val="center"/>
        <w:rPr>
          <w:rFonts w:ascii="Times New Roman" w:hAnsi="Times New Roman" w:cs="Times New Roman"/>
          <w:b/>
          <w:bCs/>
          <w:sz w:val="28"/>
          <w:szCs w:val="28"/>
          <w:lang w:val="ru-RU"/>
        </w:rPr>
      </w:pPr>
    </w:p>
    <w:p w:rsidR="0039038D" w:rsidRPr="00AB5061" w:rsidRDefault="008D4FA6">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Рисунок 1.13 – </w:t>
      </w:r>
      <w:r>
        <w:rPr>
          <w:rFonts w:ascii="Times New Roman" w:hAnsi="Times New Roman" w:cs="Times New Roman"/>
          <w:sz w:val="28"/>
          <w:szCs w:val="28"/>
        </w:rPr>
        <w:t xml:space="preserve">Вікно авторизації </w:t>
      </w:r>
      <w:r>
        <w:rPr>
          <w:rFonts w:ascii="Times New Roman" w:hAnsi="Times New Roman" w:cs="Times New Roman"/>
          <w:sz w:val="28"/>
          <w:szCs w:val="28"/>
          <w:lang w:val="en-US"/>
        </w:rPr>
        <w:t>Patstat</w:t>
      </w:r>
    </w:p>
    <w:p w:rsidR="00DB7952" w:rsidRDefault="00DB7952">
      <w:pPr>
        <w:spacing w:after="0" w:line="360" w:lineRule="auto"/>
        <w:ind w:firstLine="567"/>
        <w:jc w:val="center"/>
        <w:rPr>
          <w:rFonts w:ascii="Times New Roman" w:hAnsi="Times New Roman" w:cs="Times New Roman"/>
          <w:sz w:val="28"/>
          <w:szCs w:val="28"/>
          <w:lang w:val="ru-RU"/>
        </w:rPr>
      </w:pP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Відповідно, для отримання пробного доступу до використання ресурсу потрібно пройти процедуру реєстрації, основні поля якої зазначені на рисунку 1.14. </w:t>
      </w:r>
    </w:p>
    <w:p w:rsidR="0039038D" w:rsidRDefault="008D4FA6">
      <w:pPr>
        <w:spacing w:after="0" w:line="360" w:lineRule="auto"/>
        <w:ind w:firstLine="1418"/>
        <w:rPr>
          <w:rFonts w:ascii="Times New Roman" w:hAnsi="Times New Roman" w:cs="Times New Roman"/>
          <w:sz w:val="28"/>
          <w:szCs w:val="28"/>
          <w:lang w:val="en-US"/>
        </w:rPr>
      </w:pPr>
      <w:r>
        <w:rPr>
          <w:noProof/>
          <w:lang w:eastAsia="uk-UA"/>
        </w:rPr>
        <w:lastRenderedPageBreak/>
        <w:drawing>
          <wp:inline distT="0" distB="0" distL="0" distR="0">
            <wp:extent cx="5010150" cy="3648075"/>
            <wp:effectExtent l="0" t="0" r="0" b="0"/>
            <wp:docPr id="14"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49"/>
                    <pic:cNvPicPr>
                      <a:picLocks noChangeAspect="1" noChangeArrowheads="1"/>
                    </pic:cNvPicPr>
                  </pic:nvPicPr>
                  <pic:blipFill>
                    <a:blip r:embed="rId25"/>
                    <a:stretch>
                      <a:fillRect/>
                    </a:stretch>
                  </pic:blipFill>
                  <pic:spPr bwMode="auto">
                    <a:xfrm>
                      <a:off x="0" y="0"/>
                      <a:ext cx="5010150" cy="3648075"/>
                    </a:xfrm>
                    <a:prstGeom prst="rect">
                      <a:avLst/>
                    </a:prstGeom>
                  </pic:spPr>
                </pic:pic>
              </a:graphicData>
            </a:graphic>
          </wp:inline>
        </w:drawing>
      </w:r>
    </w:p>
    <w:p w:rsidR="00DB7952" w:rsidRDefault="00DB7952">
      <w:pPr>
        <w:spacing w:after="0" w:line="360" w:lineRule="auto"/>
        <w:ind w:firstLine="1418"/>
        <w:rPr>
          <w:rFonts w:ascii="Times New Roman" w:hAnsi="Times New Roman" w:cs="Times New Roman"/>
          <w:sz w:val="28"/>
          <w:szCs w:val="28"/>
          <w:lang w:val="en-US"/>
        </w:rPr>
      </w:pPr>
    </w:p>
    <w:p w:rsidR="0039038D" w:rsidRDefault="008D4FA6">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Рисунок 1.14 – Реєстрація для отримання пробного використання</w:t>
      </w:r>
    </w:p>
    <w:p w:rsidR="0039038D" w:rsidRDefault="0039038D">
      <w:pPr>
        <w:spacing w:after="0" w:line="360" w:lineRule="auto"/>
        <w:ind w:firstLine="567"/>
        <w:jc w:val="center"/>
        <w:rPr>
          <w:rFonts w:ascii="Times New Roman" w:hAnsi="Times New Roman" w:cs="Times New Roman"/>
          <w:sz w:val="28"/>
          <w:szCs w:val="28"/>
        </w:rPr>
      </w:pP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Вікно патентного пошуку в цій базі даних відрізняється від безкоштовних аналогів, так як пошук проводиться за допомогою </w:t>
      </w:r>
      <w:r>
        <w:rPr>
          <w:rFonts w:ascii="Times New Roman" w:hAnsi="Times New Roman" w:cs="Times New Roman"/>
          <w:sz w:val="28"/>
          <w:szCs w:val="28"/>
          <w:lang w:val="en-US"/>
        </w:rPr>
        <w:t>SQL</w:t>
      </w:r>
      <w:r>
        <w:rPr>
          <w:rFonts w:ascii="Times New Roman" w:hAnsi="Times New Roman" w:cs="Times New Roman"/>
          <w:sz w:val="28"/>
          <w:szCs w:val="28"/>
          <w:lang w:val="ru-RU"/>
        </w:rPr>
        <w:t>–</w:t>
      </w:r>
      <w:r>
        <w:rPr>
          <w:rFonts w:ascii="Times New Roman" w:hAnsi="Times New Roman" w:cs="Times New Roman"/>
          <w:sz w:val="28"/>
          <w:szCs w:val="28"/>
        </w:rPr>
        <w:t>запитів, які відрізняються, в залежності від даних</w:t>
      </w:r>
      <w:r>
        <w:rPr>
          <w:rFonts w:ascii="Times New Roman" w:hAnsi="Times New Roman" w:cs="Times New Roman"/>
          <w:sz w:val="28"/>
          <w:szCs w:val="28"/>
          <w:lang w:val="ru-RU"/>
        </w:rPr>
        <w:t>, що введені користувачем (рис. 1.15).</w:t>
      </w:r>
    </w:p>
    <w:p w:rsidR="0039038D" w:rsidRDefault="0039038D">
      <w:pPr>
        <w:spacing w:after="0" w:line="360" w:lineRule="auto"/>
        <w:ind w:firstLine="567"/>
        <w:jc w:val="both"/>
        <w:rPr>
          <w:rFonts w:ascii="Times New Roman" w:hAnsi="Times New Roman" w:cs="Times New Roman"/>
          <w:sz w:val="28"/>
          <w:szCs w:val="28"/>
          <w:lang w:val="ru-RU"/>
        </w:rPr>
      </w:pPr>
    </w:p>
    <w:p w:rsidR="0039038D" w:rsidRDefault="008D4FA6">
      <w:pPr>
        <w:spacing w:after="0" w:line="360" w:lineRule="auto"/>
        <w:jc w:val="center"/>
        <w:rPr>
          <w:rFonts w:ascii="Times New Roman" w:hAnsi="Times New Roman" w:cs="Times New Roman"/>
          <w:sz w:val="28"/>
          <w:szCs w:val="28"/>
          <w:lang w:val="ru-RU"/>
        </w:rPr>
      </w:pPr>
      <w:r>
        <w:rPr>
          <w:noProof/>
          <w:lang w:eastAsia="uk-UA"/>
        </w:rPr>
        <w:drawing>
          <wp:inline distT="0" distB="0" distL="0" distR="0">
            <wp:extent cx="5324475" cy="2270318"/>
            <wp:effectExtent l="0" t="0" r="0" b="0"/>
            <wp:docPr id="15" name="Рисунок 4" descr="C:\Users\Olexsiy Paziy\Desktop\бпе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4" descr="C:\Users\Olexsiy Paziy\Desktop\бпе1.png"/>
                    <pic:cNvPicPr>
                      <a:picLocks noChangeAspect="1" noChangeArrowheads="1"/>
                    </pic:cNvPicPr>
                  </pic:nvPicPr>
                  <pic:blipFill>
                    <a:blip r:embed="rId26"/>
                    <a:stretch>
                      <a:fillRect/>
                    </a:stretch>
                  </pic:blipFill>
                  <pic:spPr bwMode="auto">
                    <a:xfrm>
                      <a:off x="0" y="0"/>
                      <a:ext cx="5331985" cy="2273520"/>
                    </a:xfrm>
                    <a:prstGeom prst="rect">
                      <a:avLst/>
                    </a:prstGeom>
                  </pic:spPr>
                </pic:pic>
              </a:graphicData>
            </a:graphic>
          </wp:inline>
        </w:drawing>
      </w:r>
    </w:p>
    <w:p w:rsidR="00DB7952" w:rsidRDefault="00DB7952">
      <w:pPr>
        <w:spacing w:after="0" w:line="360" w:lineRule="auto"/>
        <w:jc w:val="center"/>
        <w:rPr>
          <w:rFonts w:ascii="Times New Roman" w:hAnsi="Times New Roman" w:cs="Times New Roman"/>
          <w:sz w:val="28"/>
          <w:szCs w:val="28"/>
          <w:lang w:val="ru-RU"/>
        </w:rPr>
      </w:pPr>
    </w:p>
    <w:p w:rsidR="0039038D" w:rsidRPr="008D4FA6" w:rsidRDefault="008D4FA6">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Рисунок 1.15 – </w:t>
      </w:r>
      <w:r>
        <w:rPr>
          <w:rFonts w:ascii="Times New Roman" w:hAnsi="Times New Roman" w:cs="Times New Roman"/>
          <w:sz w:val="28"/>
          <w:szCs w:val="28"/>
        </w:rPr>
        <w:t xml:space="preserve">Вікно пошуку в базі даних </w:t>
      </w:r>
      <w:r>
        <w:rPr>
          <w:rFonts w:ascii="Times New Roman" w:hAnsi="Times New Roman" w:cs="Times New Roman"/>
          <w:sz w:val="28"/>
          <w:szCs w:val="28"/>
          <w:lang w:val="en-US"/>
        </w:rPr>
        <w:t>Patstat</w:t>
      </w:r>
    </w:p>
    <w:p w:rsidR="0039038D" w:rsidRDefault="0039038D">
      <w:pPr>
        <w:spacing w:after="0" w:line="360" w:lineRule="auto"/>
        <w:jc w:val="center"/>
        <w:rPr>
          <w:rFonts w:ascii="Times New Roman" w:hAnsi="Times New Roman" w:cs="Times New Roman"/>
          <w:sz w:val="28"/>
          <w:szCs w:val="28"/>
          <w:lang w:val="ru-RU"/>
        </w:rPr>
      </w:pPr>
    </w:p>
    <w:p w:rsidR="0039038D" w:rsidRDefault="008D4FA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Загальний вигляд запиту </w:t>
      </w:r>
      <w:r>
        <w:rPr>
          <w:rFonts w:ascii="Times New Roman" w:hAnsi="Times New Roman" w:cs="Times New Roman"/>
          <w:sz w:val="28"/>
          <w:szCs w:val="28"/>
          <w:lang w:val="en-US"/>
        </w:rPr>
        <w:t>SQL</w:t>
      </w:r>
      <w:r>
        <w:rPr>
          <w:rFonts w:ascii="Times New Roman" w:hAnsi="Times New Roman" w:cs="Times New Roman"/>
          <w:sz w:val="28"/>
          <w:szCs w:val="28"/>
          <w:lang w:val="ru-RU"/>
        </w:rPr>
        <w:t xml:space="preserve"> </w:t>
      </w:r>
      <w:r>
        <w:rPr>
          <w:rFonts w:ascii="Times New Roman" w:hAnsi="Times New Roman" w:cs="Times New Roman"/>
          <w:sz w:val="28"/>
          <w:szCs w:val="28"/>
        </w:rPr>
        <w:t>в цій патентній базі дани наведено в Додатку А.</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Серед американських платних продуктів варто виділити Clarivate Innovation, який був створений в 2016 році компанією Clarivate Analytics в Філадельфії. Варто відзначити, що він більше спрямований на американський ринок, а тому</w:t>
      </w:r>
      <w:r>
        <w:rPr>
          <w:rFonts w:ascii="Times New Roman" w:hAnsi="Times New Roman" w:cs="Times New Roman"/>
          <w:sz w:val="28"/>
          <w:szCs w:val="28"/>
        </w:rPr>
        <w:t xml:space="preserve"> європейським</w:t>
      </w:r>
      <w:r>
        <w:rPr>
          <w:rFonts w:ascii="Times New Roman" w:hAnsi="Times New Roman" w:cs="Times New Roman"/>
          <w:sz w:val="28"/>
          <w:szCs w:val="28"/>
          <w:lang w:val="ru-RU"/>
        </w:rPr>
        <w:t xml:space="preserve"> користувачам немає особливої потреби його використовувати в патентному пошуку.</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В результаті проведення теоретичного аналізу спеціалізованої літератури щодо теми диплома, була вивчена специфіка комерціалізації інноваційних технологій. Розглянуто основні методи і способи.</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Були дано загальні трактування щодо методологій побудови патентних ландшафтів, розглянута доцільність проведення подібних досліджень. Як підсумок, вони необхідні в тому випадку, якщо компанія планує отримати охоронний документ на свою розробку, а тому </w:t>
      </w:r>
      <w:r>
        <w:rPr>
          <w:rFonts w:ascii="Times New Roman" w:hAnsi="Times New Roman" w:cs="Times New Roman"/>
          <w:sz w:val="28"/>
          <w:szCs w:val="28"/>
        </w:rPr>
        <w:t>з’являється необхідність</w:t>
      </w:r>
      <w:r>
        <w:rPr>
          <w:rFonts w:ascii="Times New Roman" w:hAnsi="Times New Roman" w:cs="Times New Roman"/>
          <w:sz w:val="28"/>
          <w:szCs w:val="28"/>
          <w:lang w:val="ru-RU"/>
        </w:rPr>
        <w:t xml:space="preserve"> аналізувати ринок на наявність подібних продуктів.</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Візуалізація даних дає чітке уявлення про те, які напрямки є актуальними, хто і коли публікує патентні заявки і в якому напрямку необхідно рухатися, щоб бути конкурентоспроможним в сучасних реаліях введення бізнесу.</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Також, був вивчений основний інструментарій, за допомогою якого дослідник має можливість брати інформацію для подальшої побудови патентного ландшафту.</w:t>
      </w: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lang w:val="ru-RU"/>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8D4FA6">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 ДОСЛІДЖЕННЯ ПАТЕНТНОГО ЛАНДШАФТУ ТЕХНОЛОГІЇ </w:t>
      </w:r>
      <w:r>
        <w:rPr>
          <w:rFonts w:ascii="Times New Roman" w:hAnsi="Times New Roman" w:cs="Times New Roman"/>
          <w:b/>
          <w:sz w:val="28"/>
          <w:szCs w:val="28"/>
          <w:lang w:val="en-US"/>
        </w:rPr>
        <w:t>BLOCKCHAIN</w:t>
      </w:r>
    </w:p>
    <w:p w:rsidR="0039038D" w:rsidRDefault="0039038D">
      <w:pPr>
        <w:spacing w:after="0" w:line="360" w:lineRule="auto"/>
        <w:ind w:firstLine="567"/>
        <w:jc w:val="both"/>
        <w:rPr>
          <w:rFonts w:ascii="Times New Roman" w:hAnsi="Times New Roman" w:cs="Times New Roman"/>
          <w:color w:val="2E74B5" w:themeColor="accent1" w:themeShade="BF"/>
          <w:sz w:val="28"/>
          <w:szCs w:val="28"/>
        </w:rPr>
      </w:pPr>
    </w:p>
    <w:p w:rsidR="0039038D" w:rsidRPr="00DB7952" w:rsidRDefault="008D4FA6">
      <w:pPr>
        <w:spacing w:line="360" w:lineRule="auto"/>
        <w:ind w:firstLine="567"/>
        <w:jc w:val="both"/>
      </w:pPr>
      <w:r w:rsidRPr="00DB7952">
        <w:rPr>
          <w:rFonts w:ascii="Times New Roman" w:hAnsi="Times New Roman" w:cs="Times New Roman"/>
          <w:sz w:val="28"/>
          <w:szCs w:val="28"/>
        </w:rPr>
        <w:t>З метою практичного вдосконалення отриманих в попередньому розділі теоретичних знань проведемо інформаційно-аналітичне дослідження щодо технології блокчейн.</w:t>
      </w:r>
    </w:p>
    <w:p w:rsidR="0039038D" w:rsidRPr="00DB7952" w:rsidRDefault="008D4FA6">
      <w:pPr>
        <w:spacing w:line="360" w:lineRule="auto"/>
        <w:ind w:firstLine="567"/>
        <w:jc w:val="both"/>
      </w:pPr>
      <w:r w:rsidRPr="00DB7952">
        <w:rPr>
          <w:rFonts w:ascii="Times New Roman" w:hAnsi="Times New Roman" w:cs="Times New Roman"/>
          <w:sz w:val="28"/>
          <w:szCs w:val="28"/>
        </w:rPr>
        <w:t>Патентний пошук та подальша побудова ландшафту дасть змогу визначити тенденції, проаналізувати діяльність найбільших компаній у цьому напрямку та спрогнозувати роль технології Blockchain у майбутньому.</w:t>
      </w:r>
    </w:p>
    <w:p w:rsidR="0039038D" w:rsidRPr="00DB7952" w:rsidRDefault="008D4FA6">
      <w:pPr>
        <w:spacing w:after="0" w:line="360" w:lineRule="auto"/>
        <w:ind w:firstLine="567"/>
        <w:jc w:val="both"/>
      </w:pPr>
      <w:r w:rsidRPr="00DB7952">
        <w:rPr>
          <w:rFonts w:ascii="Times New Roman" w:hAnsi="Times New Roman" w:cs="Times New Roman"/>
          <w:color w:val="000000" w:themeColor="text1"/>
          <w:sz w:val="28"/>
          <w:szCs w:val="28"/>
        </w:rPr>
        <w:t xml:space="preserve">Для проведення пошуків та аналітики була обрана патентна база даних "Lens", яка надає найбільшу кількість способів візуалізації результатів дослідження. </w:t>
      </w:r>
    </w:p>
    <w:p w:rsidR="0039038D" w:rsidRDefault="0039038D">
      <w:pPr>
        <w:spacing w:after="0" w:line="360" w:lineRule="auto"/>
        <w:ind w:firstLine="567"/>
        <w:jc w:val="both"/>
        <w:rPr>
          <w:rFonts w:ascii="Times New Roman" w:hAnsi="Times New Roman" w:cs="Times New Roman"/>
          <w:sz w:val="28"/>
          <w:szCs w:val="28"/>
        </w:rPr>
      </w:pPr>
    </w:p>
    <w:p w:rsidR="0039038D" w:rsidRDefault="008D4FA6">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2.1 Blockchain</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проведення пошуків та аналітики була обрана патентна база даних «Lens», яка надає найбільшу кількість способів візуалізації результатів дослідження.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Blockchain  – це розподілена база даних, яка містить систематизований ланцюг записів, які ще називаються блоки, який регулярно довшає</w:t>
      </w:r>
      <w:r>
        <w:rPr>
          <w:rFonts w:ascii="Times New Roman" w:hAnsi="Times New Roman" w:cs="Times New Roman"/>
          <w:sz w:val="28"/>
          <w:szCs w:val="28"/>
          <w:lang w:val="ru-RU"/>
        </w:rPr>
        <w:t xml:space="preserve"> [18]</w:t>
      </w:r>
      <w:r>
        <w:rPr>
          <w:rFonts w:ascii="Times New Roman" w:hAnsi="Times New Roman" w:cs="Times New Roman"/>
          <w:sz w:val="28"/>
          <w:szCs w:val="28"/>
        </w:rPr>
        <w:t>.</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Головною перевагою ланцюга блоків транзакцій є захищеність даних, які містяться в ній від спотворення та підробки.</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Кожен блок, який міститься в Blockchain має:</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Геш попереднього блока</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Часову позначку</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Дані транзакцій, які подані у вигляді геш–дерева.</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Класичним прикладом використання цієї бази даних є криптовалюта Bitcoin, яка користується неймовірною популярністю з 2009 року, коли була реалізована. В контексті Bitcoin, технологія blockchain виконує функцію бухгалтерської книги, де зберігаються усі операції.</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сьогоднішній день мережа інтернет виходить на другий етап свого розвитку. Першим етапом була розробка то впровадження Всесвітньої Павутини </w:t>
      </w:r>
      <w:r>
        <w:rPr>
          <w:rFonts w:ascii="Times New Roman" w:hAnsi="Times New Roman" w:cs="Times New Roman"/>
          <w:sz w:val="28"/>
          <w:szCs w:val="28"/>
        </w:rPr>
        <w:lastRenderedPageBreak/>
        <w:t xml:space="preserve">(WWW), яка дала змогу користувачам обмінюватися інформацією майже миттєво.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 вже на другому, який розвивається наразі, з'явилася "Всесвітня Книга Обліку" (Blockchain). Деякі науковці серед іншого називають цю технологією "Всесвітньою Книгою Обліку Цінностей".</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Ідеальним прикладом найбільшої цінності для людства є гроші. За допомоги blockchain можна враховувати всі цінні дані, які можуть бути представлені в цифровому форматі, а саме фінансові рахунки, шлюбні договори, дипломи про вищу освіту, результати голосування тощо.</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Науковці виділяють сім основних принципів для побудови технології </w:t>
      </w:r>
      <w:r>
        <w:rPr>
          <w:rFonts w:ascii="Times New Roman" w:hAnsi="Times New Roman" w:cs="Times New Roman"/>
          <w:sz w:val="28"/>
          <w:szCs w:val="28"/>
          <w:lang w:val="en-US"/>
        </w:rPr>
        <w:t>B</w:t>
      </w:r>
      <w:r>
        <w:rPr>
          <w:rFonts w:ascii="Times New Roman" w:hAnsi="Times New Roman" w:cs="Times New Roman"/>
          <w:sz w:val="28"/>
          <w:szCs w:val="28"/>
        </w:rPr>
        <w:t>lockchain</w:t>
      </w:r>
      <w:r>
        <w:rPr>
          <w:rFonts w:ascii="Times New Roman" w:hAnsi="Times New Roman" w:cs="Times New Roman"/>
          <w:sz w:val="28"/>
          <w:szCs w:val="28"/>
          <w:lang w:val="ru-RU"/>
        </w:rPr>
        <w:t xml:space="preserve"> [19]</w:t>
      </w:r>
      <w:r>
        <w:rPr>
          <w:rFonts w:ascii="Times New Roman" w:hAnsi="Times New Roman" w:cs="Times New Roman"/>
          <w:sz w:val="28"/>
          <w:szCs w:val="28"/>
        </w:rPr>
        <w:t>.</w:t>
      </w:r>
    </w:p>
    <w:p w:rsidR="0039038D" w:rsidRDefault="008D4FA6">
      <w:pPr>
        <w:pStyle w:val="ac"/>
        <w:numPr>
          <w:ilvl w:val="0"/>
          <w:numId w:val="4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Мережева цілісність.</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Довіра виникає лише зсередини системи, та не диктується ззовні. Учасники, які користуються технологією blockchain чесні на ділі і на словах, а тому повинні поважати інтереси інших учасників та відопвідати за наслідки своїх операцій, які виконуються всередині системи.</w:t>
      </w:r>
    </w:p>
    <w:p w:rsidR="0039038D" w:rsidRDefault="008D4FA6">
      <w:pPr>
        <w:pStyle w:val="ac"/>
        <w:numPr>
          <w:ilvl w:val="0"/>
          <w:numId w:val="4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Розподіл навантаження.</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Уся енерговитрата, яка використовується системою, розподілена по всій пиринговій мережі, де немає жодго вимикача. Немає учасника, використовуючого технологію blockchain, який мав би змогу її вимкнути. Якщо центральна система заблокує діяльність людини, або організації всередині blockchain, то решта "складових" продовжить працювати у повному обсязі.  Якщо приблизно половина мережі спробує взяти контроль над всією мережею, інші побачать, що відбувається.</w:t>
      </w:r>
    </w:p>
    <w:p w:rsidR="0039038D" w:rsidRDefault="008D4FA6">
      <w:pPr>
        <w:pStyle w:val="ac"/>
        <w:numPr>
          <w:ilvl w:val="0"/>
          <w:numId w:val="4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Цінність як стимул.</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Кожен з учасників процесу має рівний стимул з іншими зацікавленими сторонами. Сатоши Нікамото, розробляючи додаток, запрограмував його таким чином, щоб кожна людина, яка розвивала програму мала змогу отримати за це винагородження. Активний користувач Blockchain має змогу отримати 50 біткоїнів за кожен завершений блок після 4 років експлуатації. Кожні наступні </w:t>
      </w:r>
      <w:r>
        <w:rPr>
          <w:rFonts w:ascii="Times New Roman" w:hAnsi="Times New Roman" w:cs="Times New Roman"/>
          <w:sz w:val="28"/>
          <w:szCs w:val="28"/>
        </w:rPr>
        <w:lastRenderedPageBreak/>
        <w:t xml:space="preserve">чотири роки цей користувач буде отримувати вдвічі менше, а саме 25, 12.5, 6.25 тощо. </w:t>
      </w:r>
    </w:p>
    <w:p w:rsidR="0039038D" w:rsidRDefault="008D4FA6">
      <w:pPr>
        <w:pStyle w:val="ac"/>
        <w:numPr>
          <w:ilvl w:val="0"/>
          <w:numId w:val="43"/>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Безпека.</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Кожен користувач, який використовує мережу, повинен використовувати у процесі діяльності всередині мережі шифрування. В свою чергу, основні заходи безпеки вбудовані в системи. Як правило, вони надають користувачеві автентичність відбитку та конфіденційність. Корстувач, у підсумку, має два ключа, один з яких використовується для шифрування, а другий для дешифрування. Цей метод отримав назву РКІ, або інфраструктура відкритих ключей.</w:t>
      </w:r>
    </w:p>
    <w:p w:rsidR="0039038D" w:rsidRDefault="008D4FA6">
      <w:pPr>
        <w:pStyle w:val="ac"/>
        <w:numPr>
          <w:ilvl w:val="0"/>
          <w:numId w:val="44"/>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Конфіденційність.</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Кожна людина, яка користується мережею повинна контролювати свої дані. У користувача повинно бути право вирішувати, які відомості, коли, як і в якому обсязі повідомляти іншим користувачам про себе.</w:t>
      </w:r>
    </w:p>
    <w:p w:rsidR="0039038D" w:rsidRDefault="008D4FA6">
      <w:pPr>
        <w:pStyle w:val="ac"/>
        <w:numPr>
          <w:ilvl w:val="0"/>
          <w:numId w:val="45"/>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Захищеність прав.</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Права, які належать користувачам, прозорі і закріплені в офіційних джерелах. Фіксування часу РКІ і транзакцій не тільки виключають подвійне витрачання, а й фіксують правло власності на об'єкти, які використовуються під час обміну інформацією. Користувач може продавати лише те, що належить їм. Серед іншого, це можуть бути біткоїни, чи будь–яка інша цінність, в тому числі і ОПІВ.</w:t>
      </w:r>
    </w:p>
    <w:p w:rsidR="0039038D" w:rsidRDefault="008D4FA6">
      <w:pPr>
        <w:pStyle w:val="ac"/>
        <w:numPr>
          <w:ilvl w:val="0"/>
          <w:numId w:val="46"/>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Залученість</w:t>
      </w:r>
      <w:r>
        <w:rPr>
          <w:rFonts w:ascii="Times New Roman" w:hAnsi="Times New Roman" w:cs="Times New Roman"/>
          <w:sz w:val="28"/>
          <w:szCs w:val="28"/>
          <w:lang w:val="en-US"/>
        </w:rPr>
        <w:t>.</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Економіка працює краще, коли вона працює для кожного. Це означає зниження вхідного бар'єру. Будь–хто, у кого є стільниковий телефон, може брати участь в ринку як виробник або споживач. Сатоши запропонував метод «спрощеної верифікації платежів» (SPv).</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Треба розуміти, що після повноцінного впровадження технології </w:t>
      </w:r>
      <w:r>
        <w:rPr>
          <w:rFonts w:ascii="Times New Roman" w:hAnsi="Times New Roman" w:cs="Times New Roman"/>
          <w:sz w:val="28"/>
          <w:szCs w:val="28"/>
          <w:lang w:val="en-US"/>
        </w:rPr>
        <w:t>blockchain</w:t>
      </w:r>
      <w:r>
        <w:rPr>
          <w:rFonts w:ascii="Times New Roman" w:hAnsi="Times New Roman" w:cs="Times New Roman"/>
          <w:sz w:val="28"/>
          <w:szCs w:val="28"/>
        </w:rPr>
        <w:t xml:space="preserve"> фінансовий сектор отримає важливий поштовх.</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 точок прориву фінансового сектора, які обов'язково відбудуться після повного впровадження Blockchain потрібно віднести:</w:t>
      </w:r>
    </w:p>
    <w:p w:rsidR="0039038D" w:rsidRDefault="008D4FA6">
      <w:pPr>
        <w:pStyle w:val="ac"/>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Перевірка істинності особи.</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На сьогоднішній день первірка особистості, яка необхідна дя надання доступів до фінансових раухнків лежить на банку. Технологія Blockchain дає змогу проводити транзакції без повної ідентифікації особистосі. При цьому, учасники мережі можуть вводити перевірку справжності особистості.</w:t>
      </w:r>
    </w:p>
    <w:p w:rsidR="0039038D" w:rsidRDefault="008D4FA6">
      <w:pPr>
        <w:pStyle w:val="ac"/>
        <w:numPr>
          <w:ilvl w:val="0"/>
          <w:numId w:val="47"/>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Перевезення цінностей.</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Зараз фінансова система має головну мету, а саме переміщення грошей по усьому світу, без ризика витрачення одного долара двічі. Blockchain може стати реальним стандартом для передачі не лише грошей, а й цінностей.</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Користувач зможе скоротити витрати, знизити ціну на послуги та підвищити швидкість доставки.</w:t>
      </w:r>
    </w:p>
    <w:p w:rsidR="0039038D" w:rsidRDefault="008D4FA6">
      <w:pPr>
        <w:pStyle w:val="ac"/>
        <w:numPr>
          <w:ilvl w:val="0"/>
          <w:numId w:val="4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Сховище цінностей.</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Фінансовий інститут є сховищем того, що є об'єктом цінності для організації, уряду або людини. Банк дає право обрати депозитні комірки, ощадні та розрахункові рахунки. Після впровадження Blockchain людині не обов'язково буде звертатися в банк для того, щоб скористатися цими послугами.</w:t>
      </w:r>
    </w:p>
    <w:p w:rsidR="0039038D" w:rsidRDefault="008D4FA6">
      <w:pPr>
        <w:pStyle w:val="ac"/>
        <w:numPr>
          <w:ilvl w:val="0"/>
          <w:numId w:val="4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Кредитування.</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Фінансові організації регулярно видають кредити, метою яких є покупка машини, освіта, ремонт, муніципальні і державні облігації. Учасники Blockchain–мережі мають змогу брати гроші в кредит від інших користувачів безпосередньо. Це, в свою чергу, прозорість угоди і збільшенння швидкості отримання кредиту.</w:t>
      </w:r>
    </w:p>
    <w:p w:rsidR="0039038D" w:rsidRDefault="008D4FA6">
      <w:pPr>
        <w:pStyle w:val="ac"/>
        <w:numPr>
          <w:ilvl w:val="0"/>
          <w:numId w:val="5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Інвестування.</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правило, залучення інвестицій потребує посередників, а саме інвестиційних банкірів, юристів або венчурних капіталістів.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Впровадження Blockchain дає змогу автоматизувати велику кількість функцій, які зазвичай лежать на посередниках. Появляються нові моделі фінансування на базі пірінгової мережі.</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Виплата і облік дивідендів стануть більш ефективними, безпечними і прозорими. У разі створення благодійних проектів технологія blockchain допоможе проконтролювати цільове витрачання зібраних коштів.</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Зараз швидкий</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розвиток системи </w:t>
      </w:r>
      <w:r>
        <w:rPr>
          <w:rFonts w:ascii="Times New Roman" w:hAnsi="Times New Roman" w:cs="Times New Roman"/>
          <w:sz w:val="28"/>
          <w:szCs w:val="28"/>
          <w:lang w:val="en-US"/>
        </w:rPr>
        <w:t>blockchain</w:t>
      </w:r>
      <w:r>
        <w:rPr>
          <w:rFonts w:ascii="Times New Roman" w:hAnsi="Times New Roman" w:cs="Times New Roman"/>
          <w:sz w:val="28"/>
          <w:szCs w:val="28"/>
        </w:rPr>
        <w:t xml:space="preserve"> зупиняють наступні фактори:</w:t>
      </w:r>
    </w:p>
    <w:p w:rsidR="0039038D" w:rsidRDefault="008D4FA6">
      <w:pPr>
        <w:pStyle w:val="ac"/>
        <w:numPr>
          <w:ilvl w:val="0"/>
          <w:numId w:val="5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Фактична відсутність керуючого органу.</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Розробники технології стикаються з серйозними труднощами, пов'язаними з контролем процесів, які відбуваються всередині системи. Є серйозне побоювання, що кримінальні організації будуть активно використовувати технологію в своїх цілях.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Наприклад, у 2013 році ФБР закрило сайте, де було опубліковано більше 14 тисяч пропозицій, пов'язаних з продажом наркотиків, за які можна було розплатитися біткоїнами</w:t>
      </w:r>
      <w:r>
        <w:rPr>
          <w:rFonts w:ascii="Times New Roman" w:hAnsi="Times New Roman" w:cs="Times New Roman"/>
          <w:sz w:val="28"/>
          <w:szCs w:val="28"/>
          <w:lang w:val="ru-RU"/>
        </w:rPr>
        <w:t xml:space="preserve"> [20]</w:t>
      </w:r>
      <w:r>
        <w:rPr>
          <w:rFonts w:ascii="Times New Roman" w:hAnsi="Times New Roman" w:cs="Times New Roman"/>
          <w:sz w:val="28"/>
          <w:szCs w:val="28"/>
        </w:rPr>
        <w:t>.</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Люди, які вважають Blockchain "технологію, яка далека від ідеальності" кажуть, що великі корпорації, або уряди країн все одно будуть контролювати Blockchain мережі.</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Філософська сторона цього питання полягає у тому, що у мережі немає керуючого органу, а тому постає питання "хто буде вирішувати нагальні питання? хто буде розвивати технологію?". У випадку, якщо цей орган буде заснований, втратиться сама концепція Blockchain</w:t>
      </w:r>
      <w:r>
        <w:rPr>
          <w:rFonts w:ascii="Times New Roman" w:hAnsi="Times New Roman" w:cs="Times New Roman"/>
          <w:sz w:val="28"/>
          <w:szCs w:val="28"/>
          <w:lang w:val="ru-RU"/>
        </w:rPr>
        <w:t xml:space="preserve"> [21]</w:t>
      </w:r>
      <w:r>
        <w:rPr>
          <w:rFonts w:ascii="Times New Roman" w:hAnsi="Times New Roman" w:cs="Times New Roman"/>
          <w:sz w:val="28"/>
          <w:szCs w:val="28"/>
        </w:rPr>
        <w:t>.</w:t>
      </w:r>
    </w:p>
    <w:p w:rsidR="0039038D" w:rsidRDefault="008D4FA6">
      <w:pPr>
        <w:pStyle w:val="ac"/>
        <w:numPr>
          <w:ilvl w:val="1"/>
          <w:numId w:val="52"/>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Недостатня популяризація.</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лише невелика частка користувачів розуміють, що таке Blockchain, чи криптовалюта. Інтерфейс програм недружній, тому аудиторія обмежена захопленням "випробувачами". Крім того, велика кількість людей вважають, що ця технологія напряму пов'язана з фінансовою пірамідою, а тому впровадження Blockchain–технології в багатьох країна стримують серйозні проблеми в економіці.</w:t>
      </w:r>
    </w:p>
    <w:p w:rsidR="0039038D" w:rsidRDefault="008D4FA6">
      <w:pPr>
        <w:pStyle w:val="ac"/>
        <w:numPr>
          <w:ilvl w:val="1"/>
          <w:numId w:val="53"/>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Високий рівень споживаної енергії.</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Відкладені транзакції перевіряються і запускаються через безпечний хеш–алгоритм (SHA–256). Хешування, у свою чергу, використовує багато електроенергії. Мережа біткоіни витрачає електрику, рівне споживання Кіпру, а це більше 4409 млрд кіловат–годин. Чим більше криптовалюти в системі, тим більше буде потрібно обчислювальної потужності.</w:t>
      </w:r>
    </w:p>
    <w:p w:rsidR="0039038D" w:rsidRDefault="008D4FA6">
      <w:pPr>
        <w:pStyle w:val="ac"/>
        <w:numPr>
          <w:ilvl w:val="0"/>
          <w:numId w:val="5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Страх втратити роботу.</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Людина завжди переймається за те, щоб не втратити свою посаду, а будь–яка автоматизація змінює ринок праці і тут немає нічого нового. Платформа </w:t>
      </w:r>
      <w:r>
        <w:rPr>
          <w:rFonts w:ascii="Times New Roman" w:hAnsi="Times New Roman" w:cs="Times New Roman"/>
          <w:sz w:val="28"/>
          <w:szCs w:val="28"/>
        </w:rPr>
        <w:lastRenderedPageBreak/>
        <w:t xml:space="preserve">Blockchain для фінансових послуг через деякий проміжок часу скасує сотні тисяч робочих місць людей, які працюють над веденням рахунків і управлінням IT–системами.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Малокваліфіковані фахівці, які виконують класичні рутинні операції, постраждють від технології blockchain найбільше.</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Блок транзакцій являє особливу структура, яка призначена для запису нових транзакцій в деяких системах, яскравим прикладом яких є Біткоїн.</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блоку транзакцій містяться наступні дані</w:t>
      </w:r>
      <w:r>
        <w:rPr>
          <w:rFonts w:ascii="Times New Roman" w:hAnsi="Times New Roman" w:cs="Times New Roman"/>
          <w:sz w:val="28"/>
          <w:szCs w:val="28"/>
          <w:lang w:val="ru-RU"/>
        </w:rPr>
        <w:t xml:space="preserve"> [22]</w:t>
      </w:r>
      <w:r>
        <w:rPr>
          <w:rFonts w:ascii="Times New Roman" w:hAnsi="Times New Roman" w:cs="Times New Roman"/>
          <w:sz w:val="28"/>
          <w:szCs w:val="28"/>
        </w:rPr>
        <w:t>:</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Власне відомості про транзакції;</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Дерево гешів транзакції;</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Розділ зі службовими даними, де знаходиться геш з попереднього блока.</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Транзакція, яка проведена в системах, пов'язаних з технологією blockchain, повинна бути достовірною. Щоб це сталося, підписи та формат повинні бути записані в новий блок та перевірені. Однак, як правило, для надійної перевірки достовірності транзакції необхідно використати декілька блоків. В свою чергу, кожен блок повинен посилатися на той, що був до нього. У підсумку, така концепція дає змогу вишикувати усі блоки в один повний ланцюжок, який дасть змогу візуалізувати історію транзакція, які були проведені за час існування системи.</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Однак є наглядний приклад блоку, який не посилається на материнський блок. Цей блок має назву "перший блок ланцюжка", або первинний блок.</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Заголовок блоку складається з гешу попереднього та цього блоків, а також гіші транзакцій та службову інформацію. Перша транзакція в кожному ланцюзі блоків  є комісія, яку отримає користувач, який створить цей блок.</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Далі він складається з останніх транзакцій, які не були використані в попередніх блоках.</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межах України використання технології Blockchain прогресує з кожним роком. За даними Асоціації Blockchain України, протягом 2017–2018 рр. було засновано більше 50 % усіх компаній, які в своїй основі використовують саме зазначену технологію</w:t>
      </w:r>
      <w:r>
        <w:rPr>
          <w:rFonts w:ascii="Times New Roman" w:hAnsi="Times New Roman" w:cs="Times New Roman"/>
          <w:sz w:val="28"/>
          <w:szCs w:val="28"/>
          <w:lang w:val="ru-RU"/>
        </w:rPr>
        <w:t xml:space="preserve"> [18]</w:t>
      </w:r>
      <w:r>
        <w:rPr>
          <w:rFonts w:ascii="Times New Roman" w:hAnsi="Times New Roman" w:cs="Times New Roman"/>
          <w:sz w:val="28"/>
          <w:szCs w:val="28"/>
        </w:rPr>
        <w:t>.</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Якщо аналізувати галузі, в межах яких створюється ці системи, то найбільшого визнання технологія Blockchain отримала в компаньях, які пов'язані з:</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Фінансами, трейдингом та інвестиціями (38 %);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Комп'ютерні розробки та програмування (38 %);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Криптовалюти та криптографія (32 %);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 Реклама та маркетинг (12 %).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Компанії, які використовують технологію Blockchain, пов'язані з усіма основними галузями життєдіяльності громадян України, а саме:</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Державні рішення;</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Маркетинг;</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Інноваційні розробки;</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 Фінтех.</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Приклад: В кінці 2017 році в України завдяки технології Blockchain було розроблено оновлену версію інформаційної системи державного земельного кадастру.</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Україна не має власних патентних документів в Lens. Навіть на сайті Укрпатенту опублікований лише один патентний документ, який отримав заявку в нашій країні.</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Але факт відсутності власних розробок не означає, що ця технологія не користується популярністю в Україні. Про це можна судити, як мінімум, тому що в 2018 році була заснована Blockchain асоціація України, головною метою якої є шведке запровадження цієї технології напряму в економіку України.</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Члени цієї організації зараз активно працюють над створенням законопроектів, які будуть пов'язані з технологією Blockchain (розподілений реєстр) та криптовалютами.</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У 2018 року був випущений огляд Blockchain індустрії в України, де пояснюється природа появи та формування Blockchain–суспільства в України. Згідно з цим документом, розвиток Blockchain в нашій країні розпочався в 2014 році, коли основується Bitcoin Foundation Ukraine. З початку біткоїн–посольство </w:t>
      </w:r>
      <w:r>
        <w:rPr>
          <w:rFonts w:ascii="Times New Roman" w:hAnsi="Times New Roman"/>
          <w:sz w:val="28"/>
          <w:szCs w:val="28"/>
        </w:rPr>
        <w:lastRenderedPageBreak/>
        <w:t>не отримало особливої популярності, так як в організації працювало лише декілька людей</w:t>
      </w:r>
      <w:r>
        <w:rPr>
          <w:rFonts w:ascii="Times New Roman" w:hAnsi="Times New Roman"/>
          <w:sz w:val="28"/>
          <w:szCs w:val="28"/>
          <w:lang w:val="ru-RU"/>
        </w:rPr>
        <w:t xml:space="preserve"> [18]</w:t>
      </w:r>
      <w:r>
        <w:rPr>
          <w:rFonts w:ascii="Times New Roman" w:hAnsi="Times New Roman"/>
          <w:sz w:val="28"/>
          <w:szCs w:val="28"/>
        </w:rPr>
        <w:t>.</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За п'ять років інформація, пов'язана з технологією Blockchain вийшла в України на новий рівень. Кожен місяць з'являються нові заходи, де провідні компанії обмінюються досвідом щодо появи впровадження Blockchain–технології в українську реальність.</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Компанії, пов'язані з цією технологією рівномірно появляються на території України, але найбільша їх кількість відноситься до 2017 року. Саме тоді ця технологія гармонійно впроваджується в вітчизняний бізнес.</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Більшість ФАУНДЕР компаній прийшли в сферу Blockchain з розробки та програмування, фінансів та інвестицій, а також криптографії та криптовалюта, що говорить про сильну експертизі засновників компаній [22].</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На рисунку 2.1 зображені Blockchain–компанії, які наразі працюють в України [18]. </w:t>
      </w:r>
    </w:p>
    <w:p w:rsidR="0039038D" w:rsidRDefault="0039038D">
      <w:pPr>
        <w:spacing w:after="0" w:line="360" w:lineRule="auto"/>
        <w:ind w:firstLine="567"/>
        <w:jc w:val="both"/>
        <w:rPr>
          <w:rFonts w:ascii="Times New Roman" w:hAnsi="Times New Roman"/>
          <w:sz w:val="28"/>
          <w:szCs w:val="28"/>
        </w:rPr>
      </w:pPr>
    </w:p>
    <w:p w:rsidR="0039038D" w:rsidRDefault="008D4FA6">
      <w:pPr>
        <w:spacing w:after="0" w:line="360" w:lineRule="auto"/>
        <w:ind w:left="-709" w:firstLine="567"/>
        <w:jc w:val="center"/>
        <w:rPr>
          <w:rFonts w:ascii="Times New Roman" w:hAnsi="Times New Roman"/>
          <w:sz w:val="28"/>
          <w:szCs w:val="28"/>
          <w:lang w:val="ru-RU"/>
        </w:rPr>
      </w:pPr>
      <w:r>
        <w:rPr>
          <w:noProof/>
          <w:lang w:eastAsia="uk-UA"/>
        </w:rPr>
        <w:drawing>
          <wp:inline distT="0" distB="0" distL="0" distR="0">
            <wp:extent cx="5947752" cy="3267075"/>
            <wp:effectExtent l="0" t="0" r="0" b="0"/>
            <wp:docPr id="16" name="Рисунок 48" descr="блокчейн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48" descr="блокчейн2"/>
                    <pic:cNvPicPr>
                      <a:picLocks noChangeAspect="1" noChangeArrowheads="1"/>
                    </pic:cNvPicPr>
                  </pic:nvPicPr>
                  <pic:blipFill>
                    <a:blip r:embed="rId27"/>
                    <a:stretch>
                      <a:fillRect/>
                    </a:stretch>
                  </pic:blipFill>
                  <pic:spPr bwMode="auto">
                    <a:xfrm>
                      <a:off x="0" y="0"/>
                      <a:ext cx="5950366" cy="3268511"/>
                    </a:xfrm>
                    <a:prstGeom prst="rect">
                      <a:avLst/>
                    </a:prstGeom>
                  </pic:spPr>
                </pic:pic>
              </a:graphicData>
            </a:graphic>
          </wp:inline>
        </w:drawing>
      </w:r>
    </w:p>
    <w:p w:rsidR="00DB7952" w:rsidRDefault="00DB7952">
      <w:pPr>
        <w:spacing w:after="0" w:line="360" w:lineRule="auto"/>
        <w:ind w:left="-709" w:firstLine="567"/>
        <w:jc w:val="center"/>
        <w:rPr>
          <w:rFonts w:ascii="Times New Roman" w:hAnsi="Times New Roman"/>
          <w:sz w:val="28"/>
          <w:szCs w:val="28"/>
          <w:lang w:val="ru-RU"/>
        </w:rPr>
      </w:pPr>
    </w:p>
    <w:p w:rsidR="0039038D" w:rsidRDefault="008D4FA6">
      <w:pPr>
        <w:spacing w:after="0" w:line="360" w:lineRule="auto"/>
        <w:ind w:left="-709" w:firstLine="567"/>
        <w:jc w:val="center"/>
        <w:rPr>
          <w:rFonts w:ascii="Times New Roman" w:hAnsi="Times New Roman"/>
          <w:sz w:val="28"/>
          <w:szCs w:val="28"/>
        </w:rPr>
      </w:pPr>
      <w:r>
        <w:rPr>
          <w:rFonts w:ascii="Times New Roman" w:hAnsi="Times New Roman"/>
          <w:sz w:val="28"/>
          <w:szCs w:val="28"/>
          <w:lang w:val="ru-RU"/>
        </w:rPr>
        <w:t>Рисунок 2.1 – Blockchain–компан</w:t>
      </w:r>
      <w:r>
        <w:rPr>
          <w:rFonts w:ascii="Times New Roman" w:hAnsi="Times New Roman"/>
          <w:sz w:val="28"/>
          <w:szCs w:val="28"/>
        </w:rPr>
        <w:t>ії, що функціонують в Україні</w:t>
      </w:r>
    </w:p>
    <w:p w:rsidR="0039038D" w:rsidRDefault="0039038D">
      <w:pPr>
        <w:spacing w:after="0" w:line="360" w:lineRule="auto"/>
        <w:ind w:left="-709" w:firstLine="567"/>
        <w:jc w:val="center"/>
        <w:rPr>
          <w:rFonts w:ascii="Times New Roman" w:hAnsi="Times New Roman"/>
          <w:sz w:val="28"/>
          <w:szCs w:val="28"/>
        </w:rPr>
      </w:pP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Найпопулярнішими сферами в напрямку Blockchain в Україні є розробка платфор і виробництво товарів. На третьому місці є фінансовий сектор, що </w:t>
      </w:r>
      <w:r>
        <w:rPr>
          <w:rFonts w:ascii="Times New Roman" w:hAnsi="Times New Roman"/>
          <w:sz w:val="28"/>
          <w:szCs w:val="28"/>
        </w:rPr>
        <w:lastRenderedPageBreak/>
        <w:t>досить очікувано. Також, технологія тісно пов'язана з юриспруденцією, публічним сектором, інвестиціями, освітою та медіа. Свою роль Blockchain відіграє й в таких попуярних у світі напрямках, як майнінг, аналітика, безпека, геймінг, беттінг тощо.</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На сьогоднішній день віртуальні активи і криптовалюта не має особливого значення для українського ринку.</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Асоціація дізналася у учасників ринку, як вони оцінюють умови ведення бізнесу в сфері Blockchain і криптовалюта в Україні. Згідно з опитуванням, 56% компаній оцінюють рівень безпеки ведення бізнесу в Україні як "нормальний" (3 з 5), 30% як "поганий" (2 з 5), 10% як катастрофічно поганий (1 з 5), і 4% як "хороший" (4 з 5). При цьому 76% учасників ринку впевнені, що нові компанії будуть з'являтися з командою в Україні, але в іншій юрисдикції, 14% вважають, що компанії будуть з'являтися і залишатися в Україні, 10% вважають, що нові проекти з'являтися не будуть, а ті що тобто, будуть йти в іншу юрисдикцію. Очевидно, що перспективні компанії і податки будуть йти з країни, якщо найближчим часом ситуація не зміниться</w:t>
      </w:r>
      <w:r>
        <w:rPr>
          <w:rFonts w:ascii="Times New Roman" w:hAnsi="Times New Roman"/>
          <w:sz w:val="28"/>
          <w:szCs w:val="28"/>
          <w:lang w:val="ru-RU"/>
        </w:rPr>
        <w:t xml:space="preserve"> [18]</w:t>
      </w:r>
      <w:r>
        <w:rPr>
          <w:rFonts w:ascii="Times New Roman" w:hAnsi="Times New Roman"/>
          <w:sz w:val="28"/>
          <w:szCs w:val="28"/>
        </w:rPr>
        <w:t>.</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Відповідаючи на питання "Що б ви хотіли від держави для комфортного розвитку власного бізнесу і розвитку індустрії?" Компанії називали спрощення системи відкриття бізнесу і вдосконалення податкового законодавства, інноваційність та відкритість до експериментів, гарантії невтручання силових органів, розширену правову базу з регулювання сфери криптовалюта, прозорі і зрозумілі правила ведення бізнесу. У той же час, для розвитку екосистеми системні ініціативи спрямовані на розвиток індустрії хотіли б бачити 66% опитаних, фінансову підтримку і інвестиції в компанії – 54%, захист від дій державних органів – 52%, розширені освітні можливості – 50%, більше заходів і нетворкінгу – 34%.</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Нова українська влада сподівається, що в Україні найближчим часом з'являться власні розробки в сфері Blockchain варто, так як Ново вітчизняний уряд намагається в максимально стислі терміни вивести цифровизацию українського суспільства на новий рівень розвитку [18].</w:t>
      </w:r>
    </w:p>
    <w:p w:rsidR="0039038D" w:rsidRDefault="0039038D">
      <w:pPr>
        <w:spacing w:after="0"/>
        <w:ind w:firstLine="567"/>
        <w:jc w:val="both"/>
        <w:rPr>
          <w:rFonts w:ascii="Times New Roman" w:hAnsi="Times New Roman"/>
          <w:sz w:val="28"/>
          <w:szCs w:val="28"/>
        </w:rPr>
      </w:pPr>
    </w:p>
    <w:p w:rsidR="0039038D" w:rsidRDefault="008D4FA6" w:rsidP="00DB7952">
      <w:pPr>
        <w:spacing w:after="0" w:line="360" w:lineRule="auto"/>
        <w:ind w:firstLine="567"/>
        <w:jc w:val="both"/>
        <w:rPr>
          <w:rFonts w:ascii="Times New Roman" w:hAnsi="Times New Roman"/>
          <w:b/>
          <w:sz w:val="28"/>
          <w:szCs w:val="28"/>
        </w:rPr>
      </w:pPr>
      <w:r>
        <w:rPr>
          <w:rFonts w:ascii="Times New Roman" w:hAnsi="Times New Roman"/>
          <w:b/>
          <w:sz w:val="28"/>
          <w:szCs w:val="28"/>
        </w:rPr>
        <w:lastRenderedPageBreak/>
        <w:t xml:space="preserve">2.2 Побудова патентого ландшафту технології </w:t>
      </w:r>
      <w:r>
        <w:rPr>
          <w:rFonts w:ascii="Times New Roman" w:hAnsi="Times New Roman"/>
          <w:b/>
          <w:sz w:val="28"/>
          <w:szCs w:val="28"/>
          <w:lang w:val="en-US"/>
        </w:rPr>
        <w:t>Blockchain</w:t>
      </w:r>
    </w:p>
    <w:p w:rsidR="0039038D" w:rsidRDefault="008D4FA6" w:rsidP="00DB7952">
      <w:pPr>
        <w:spacing w:after="0" w:line="360" w:lineRule="auto"/>
        <w:ind w:firstLine="567"/>
        <w:jc w:val="both"/>
        <w:rPr>
          <w:rFonts w:ascii="Times New Roman" w:hAnsi="Times New Roman"/>
          <w:sz w:val="28"/>
          <w:szCs w:val="28"/>
        </w:rPr>
      </w:pPr>
      <w:r>
        <w:rPr>
          <w:rFonts w:ascii="Times New Roman" w:hAnsi="Times New Roman"/>
          <w:sz w:val="28"/>
          <w:szCs w:val="28"/>
        </w:rPr>
        <w:t xml:space="preserve">Першим етапом патентного пошуку повинен бути аналіз загальної кількості патентних документів щодо технології Blockchain. </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Даний параметр демонструє ступінь розвитку в розробках щодо даного напрямку і можливість подальшого поліпшення вже наявних способів використання.</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На сьогоднішній день технологія Blockchain налічує 4778 захисних документів у патентній базі Lens.org. З кожним роком їх кількість збільшується у геометричній прогресії, починаючи з одного в 2014 році та восьми у 2015 до 2125 у 2019 році (станом на листопад).</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Кількість патентних документів в період за 2014–2019 роках наведено </w:t>
      </w:r>
      <w:r>
        <w:rPr>
          <w:rFonts w:ascii="Times New Roman" w:hAnsi="Times New Roman"/>
          <w:sz w:val="28"/>
          <w:szCs w:val="28"/>
          <w:lang w:val="ru-RU"/>
        </w:rPr>
        <w:t>н</w:t>
      </w:r>
      <w:r>
        <w:rPr>
          <w:rFonts w:ascii="Times New Roman" w:hAnsi="Times New Roman"/>
          <w:sz w:val="28"/>
          <w:szCs w:val="28"/>
        </w:rPr>
        <w:t>а рис</w:t>
      </w:r>
      <w:r>
        <w:rPr>
          <w:rFonts w:ascii="Times New Roman" w:hAnsi="Times New Roman"/>
          <w:sz w:val="28"/>
          <w:szCs w:val="28"/>
          <w:lang w:val="ru-RU"/>
        </w:rPr>
        <w:t>унку</w:t>
      </w:r>
      <w:r>
        <w:rPr>
          <w:rFonts w:ascii="Times New Roman" w:hAnsi="Times New Roman"/>
          <w:sz w:val="28"/>
          <w:szCs w:val="28"/>
        </w:rPr>
        <w:t xml:space="preserve"> </w:t>
      </w:r>
      <w:r>
        <w:rPr>
          <w:rFonts w:ascii="Times New Roman" w:hAnsi="Times New Roman"/>
          <w:sz w:val="28"/>
          <w:szCs w:val="28"/>
          <w:lang w:val="ru-RU"/>
        </w:rPr>
        <w:t>2.</w:t>
      </w:r>
      <w:r>
        <w:rPr>
          <w:rFonts w:ascii="Times New Roman" w:hAnsi="Times New Roman"/>
          <w:sz w:val="28"/>
          <w:szCs w:val="28"/>
        </w:rPr>
        <w:t>2.</w:t>
      </w:r>
    </w:p>
    <w:p w:rsidR="0039038D" w:rsidRDefault="0039038D">
      <w:pPr>
        <w:spacing w:after="0" w:line="360" w:lineRule="auto"/>
        <w:ind w:firstLine="567"/>
        <w:jc w:val="both"/>
        <w:rPr>
          <w:rFonts w:ascii="Times New Roman" w:hAnsi="Times New Roman"/>
          <w:sz w:val="28"/>
          <w:szCs w:val="28"/>
        </w:rPr>
      </w:pPr>
    </w:p>
    <w:p w:rsidR="0039038D" w:rsidRDefault="008D4FA6">
      <w:pPr>
        <w:spacing w:after="0"/>
        <w:jc w:val="center"/>
      </w:pPr>
      <w:r>
        <w:rPr>
          <w:noProof/>
          <w:lang w:eastAsia="uk-UA"/>
        </w:rPr>
        <w:drawing>
          <wp:inline distT="0" distB="0" distL="0" distR="0">
            <wp:extent cx="4695825" cy="283845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B7952" w:rsidRDefault="00DB7952">
      <w:pPr>
        <w:spacing w:after="0"/>
        <w:jc w:val="center"/>
      </w:pPr>
    </w:p>
    <w:p w:rsidR="0039038D" w:rsidRDefault="0039038D">
      <w:pPr>
        <w:spacing w:after="0"/>
      </w:pPr>
    </w:p>
    <w:p w:rsidR="0039038D" w:rsidRDefault="008D4FA6">
      <w:pPr>
        <w:spacing w:after="0"/>
        <w:jc w:val="center"/>
        <w:rPr>
          <w:rFonts w:ascii="Times New Roman" w:hAnsi="Times New Roman"/>
          <w:sz w:val="28"/>
          <w:szCs w:val="28"/>
          <w:lang w:val="ru-RU"/>
        </w:rPr>
      </w:pPr>
      <w:r>
        <w:rPr>
          <w:rFonts w:ascii="Times New Roman" w:hAnsi="Times New Roman"/>
          <w:sz w:val="28"/>
          <w:szCs w:val="28"/>
        </w:rPr>
        <w:t>Рисунок 2.2 – Характеристика інтенсивності патентування</w:t>
      </w:r>
      <w:r>
        <w:rPr>
          <w:rFonts w:ascii="Times New Roman" w:hAnsi="Times New Roman"/>
          <w:sz w:val="28"/>
          <w:szCs w:val="28"/>
          <w:lang w:val="ru-RU"/>
        </w:rPr>
        <w:t xml:space="preserve"> </w:t>
      </w:r>
      <w:r>
        <w:rPr>
          <w:rFonts w:ascii="Times New Roman" w:hAnsi="Times New Roman"/>
          <w:sz w:val="28"/>
          <w:szCs w:val="28"/>
        </w:rPr>
        <w:t xml:space="preserve">(дані </w:t>
      </w:r>
      <w:r>
        <w:rPr>
          <w:rFonts w:ascii="Times New Roman" w:hAnsi="Times New Roman"/>
          <w:sz w:val="28"/>
          <w:szCs w:val="28"/>
          <w:lang w:val="en-US"/>
        </w:rPr>
        <w:t>Lens</w:t>
      </w:r>
      <w:r>
        <w:rPr>
          <w:rFonts w:ascii="Times New Roman" w:hAnsi="Times New Roman"/>
          <w:sz w:val="28"/>
          <w:szCs w:val="28"/>
          <w:lang w:val="ru-RU"/>
        </w:rPr>
        <w:t>.</w:t>
      </w:r>
      <w:r>
        <w:rPr>
          <w:rFonts w:ascii="Times New Roman" w:hAnsi="Times New Roman"/>
          <w:sz w:val="28"/>
          <w:szCs w:val="28"/>
          <w:lang w:val="en-US"/>
        </w:rPr>
        <w:t>org</w:t>
      </w:r>
      <w:r>
        <w:rPr>
          <w:rFonts w:ascii="Times New Roman" w:hAnsi="Times New Roman"/>
          <w:sz w:val="28"/>
          <w:szCs w:val="28"/>
          <w:lang w:val="ru-RU"/>
        </w:rPr>
        <w:t>)</w:t>
      </w:r>
    </w:p>
    <w:p w:rsidR="0039038D" w:rsidRDefault="0039038D">
      <w:pPr>
        <w:spacing w:after="0"/>
        <w:jc w:val="center"/>
        <w:rPr>
          <w:rFonts w:ascii="Times New Roman" w:hAnsi="Times New Roman"/>
          <w:sz w:val="28"/>
          <w:szCs w:val="28"/>
          <w:lang w:val="ru-RU"/>
        </w:rPr>
      </w:pPr>
    </w:p>
    <w:p w:rsidR="0039038D" w:rsidRDefault="0039038D">
      <w:pPr>
        <w:spacing w:after="0"/>
        <w:rPr>
          <w:lang w:val="ru-RU"/>
        </w:rPr>
      </w:pP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lang w:val="ru-RU"/>
        </w:rPr>
        <w:t>Як бачимо з динам</w:t>
      </w:r>
      <w:r>
        <w:rPr>
          <w:rFonts w:ascii="Times New Roman" w:hAnsi="Times New Roman"/>
          <w:sz w:val="28"/>
          <w:szCs w:val="28"/>
        </w:rPr>
        <w:t>іки патентування, кількість патентних документів починає зростати з 2017 року.</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Подібна тенденція патентування спостерігається і в базі даних Patentscope, де перший патентний документ датується 2014 роком.</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Однак, загальна кількість патентних документів, що знаходяться в Patentscope, значно відрізняється від Lens, пов'язано це з більш частими </w:t>
      </w:r>
      <w:r>
        <w:rPr>
          <w:rFonts w:ascii="Times New Roman" w:hAnsi="Times New Roman"/>
          <w:sz w:val="28"/>
          <w:szCs w:val="28"/>
        </w:rPr>
        <w:lastRenderedPageBreak/>
        <w:t>оновленнями даної бази. Загальна динаміка патентування зображена на рисунку 2.3.</w:t>
      </w:r>
    </w:p>
    <w:p w:rsidR="0039038D" w:rsidRDefault="0039038D">
      <w:pPr>
        <w:spacing w:after="0" w:line="360" w:lineRule="auto"/>
        <w:ind w:firstLine="567"/>
        <w:jc w:val="both"/>
        <w:rPr>
          <w:rFonts w:ascii="Times New Roman" w:hAnsi="Times New Roman"/>
          <w:sz w:val="28"/>
          <w:szCs w:val="28"/>
        </w:rPr>
      </w:pPr>
    </w:p>
    <w:p w:rsidR="0039038D" w:rsidRDefault="008D4FA6">
      <w:pPr>
        <w:spacing w:after="0" w:line="360" w:lineRule="auto"/>
        <w:ind w:firstLine="567"/>
        <w:jc w:val="center"/>
        <w:rPr>
          <w:rFonts w:ascii="Times New Roman" w:hAnsi="Times New Roman"/>
          <w:sz w:val="28"/>
          <w:szCs w:val="28"/>
        </w:rPr>
      </w:pPr>
      <w:r>
        <w:rPr>
          <w:noProof/>
          <w:lang w:eastAsia="uk-UA"/>
        </w:rPr>
        <w:drawing>
          <wp:inline distT="0" distB="0" distL="0" distR="0">
            <wp:extent cx="4543425" cy="270510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B7952" w:rsidRDefault="00DB7952">
      <w:pPr>
        <w:spacing w:after="0" w:line="360" w:lineRule="auto"/>
        <w:ind w:firstLine="567"/>
        <w:jc w:val="center"/>
        <w:rPr>
          <w:rFonts w:ascii="Times New Roman" w:hAnsi="Times New Roman"/>
          <w:sz w:val="28"/>
          <w:szCs w:val="28"/>
        </w:rPr>
      </w:pPr>
    </w:p>
    <w:p w:rsidR="0039038D" w:rsidRDefault="008D4FA6">
      <w:pPr>
        <w:spacing w:after="0" w:line="360" w:lineRule="auto"/>
        <w:ind w:firstLine="567"/>
        <w:jc w:val="center"/>
        <w:rPr>
          <w:rFonts w:ascii="Times New Roman" w:hAnsi="Times New Roman"/>
          <w:sz w:val="28"/>
          <w:szCs w:val="28"/>
          <w:lang w:val="ru-RU"/>
        </w:rPr>
      </w:pPr>
      <w:r>
        <w:rPr>
          <w:rFonts w:ascii="Times New Roman" w:hAnsi="Times New Roman"/>
          <w:sz w:val="28"/>
          <w:szCs w:val="28"/>
        </w:rPr>
        <w:t>Рисунок 2.3 – Характеристика інтенсивності патентування (</w:t>
      </w:r>
      <w:r>
        <w:rPr>
          <w:rFonts w:ascii="Times New Roman" w:hAnsi="Times New Roman"/>
          <w:sz w:val="28"/>
          <w:szCs w:val="28"/>
          <w:lang w:val="en-US"/>
        </w:rPr>
        <w:t>Patentscope</w:t>
      </w:r>
      <w:r>
        <w:rPr>
          <w:rFonts w:ascii="Times New Roman" w:hAnsi="Times New Roman"/>
          <w:sz w:val="28"/>
          <w:szCs w:val="28"/>
          <w:lang w:val="ru-RU"/>
        </w:rPr>
        <w:t>)</w:t>
      </w:r>
    </w:p>
    <w:p w:rsidR="0039038D" w:rsidRDefault="0039038D">
      <w:pPr>
        <w:spacing w:after="0" w:line="360" w:lineRule="auto"/>
        <w:ind w:firstLine="567"/>
        <w:jc w:val="center"/>
        <w:rPr>
          <w:rFonts w:ascii="Times New Roman" w:hAnsi="Times New Roman"/>
          <w:sz w:val="28"/>
          <w:szCs w:val="28"/>
          <w:lang w:val="ru-RU"/>
        </w:rPr>
      </w:pP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Ця тенденція демонструє велику зацікавленість до технології з боку великих компаній та подальший розвиток у фінансовій галузі та криптовалютах.</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Деякі патенти отримали нейсмовірну популярність та на неї посилається автори інших заявок. Найбільша кількість посилань, а саме 133 зроблено на документ US 2016/0283920. Документ пов’язаний з аутентифікацією та перевіркою технології цифрових даних, що використовують </w:t>
      </w:r>
      <w:r>
        <w:rPr>
          <w:rFonts w:ascii="Times New Roman" w:hAnsi="Times New Roman"/>
          <w:sz w:val="28"/>
          <w:szCs w:val="28"/>
          <w:lang w:val="en-US"/>
        </w:rPr>
        <w:t>Blockchain</w:t>
      </w:r>
      <w:r>
        <w:rPr>
          <w:rFonts w:ascii="Times New Roman" w:hAnsi="Times New Roman"/>
          <w:sz w:val="28"/>
          <w:szCs w:val="28"/>
        </w:rPr>
        <w:t>. Повний опис цього патенту наведено в Додатку Б.</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Дослідження масиву патентних документів щодо технології Blockchain за країнами дозволило виділити в якості лідерів Китай та США, на які припадає понад половини усіх патентів. Серед інших країн та організацій, які знаходяться в числі. </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Серед лідерів за кількістю патентних документів, варто відзначити ВОІВ та ЄПВ, а також Південну Корею і Австралію, що цілком несподівано.</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Однак, в загальному частка двох перших країн у захисті результатів своїх досліджень займає більше половини ринку, що вказує їх в деякому роді, як "монополістів"</w:t>
      </w:r>
      <w:r>
        <w:rPr>
          <w:rFonts w:ascii="Times New Roman" w:hAnsi="Times New Roman"/>
          <w:sz w:val="28"/>
          <w:szCs w:val="28"/>
          <w:lang w:val="ru-RU"/>
        </w:rPr>
        <w:t xml:space="preserve"> (рис. 2.4)</w:t>
      </w:r>
      <w:r>
        <w:rPr>
          <w:rFonts w:ascii="Times New Roman" w:hAnsi="Times New Roman"/>
          <w:sz w:val="28"/>
          <w:szCs w:val="28"/>
        </w:rPr>
        <w:t>.</w:t>
      </w:r>
    </w:p>
    <w:p w:rsidR="0039038D" w:rsidRDefault="0039038D">
      <w:pPr>
        <w:spacing w:after="0" w:line="360" w:lineRule="auto"/>
        <w:ind w:firstLine="567"/>
        <w:jc w:val="both"/>
        <w:rPr>
          <w:rFonts w:ascii="Times New Roman" w:hAnsi="Times New Roman"/>
          <w:sz w:val="28"/>
          <w:szCs w:val="28"/>
        </w:rPr>
      </w:pPr>
    </w:p>
    <w:p w:rsidR="0039038D" w:rsidRDefault="008D4FA6">
      <w:pPr>
        <w:spacing w:after="0" w:line="360" w:lineRule="auto"/>
        <w:ind w:firstLine="567"/>
        <w:jc w:val="both"/>
        <w:rPr>
          <w:rFonts w:ascii="Times New Roman" w:hAnsi="Times New Roman"/>
          <w:sz w:val="28"/>
          <w:szCs w:val="28"/>
        </w:rPr>
      </w:pPr>
      <w:r>
        <w:rPr>
          <w:noProof/>
          <w:lang w:eastAsia="uk-UA"/>
        </w:rPr>
        <w:drawing>
          <wp:inline distT="0" distB="0" distL="0" distR="0">
            <wp:extent cx="5490845" cy="2943225"/>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B7952" w:rsidRDefault="00DB7952">
      <w:pPr>
        <w:spacing w:after="0" w:line="360" w:lineRule="auto"/>
        <w:ind w:firstLine="567"/>
        <w:jc w:val="both"/>
        <w:rPr>
          <w:rFonts w:ascii="Times New Roman" w:hAnsi="Times New Roman"/>
          <w:sz w:val="28"/>
          <w:szCs w:val="28"/>
        </w:rPr>
      </w:pPr>
    </w:p>
    <w:p w:rsidR="0039038D" w:rsidRDefault="008D4FA6">
      <w:pPr>
        <w:spacing w:after="0" w:line="360" w:lineRule="auto"/>
        <w:ind w:firstLine="567"/>
        <w:jc w:val="center"/>
        <w:rPr>
          <w:rFonts w:ascii="Times New Roman" w:hAnsi="Times New Roman"/>
          <w:sz w:val="28"/>
          <w:szCs w:val="28"/>
          <w:lang w:val="ru-RU"/>
        </w:rPr>
      </w:pPr>
      <w:r>
        <w:rPr>
          <w:rFonts w:ascii="Times New Roman" w:hAnsi="Times New Roman"/>
          <w:sz w:val="28"/>
          <w:szCs w:val="28"/>
        </w:rPr>
        <w:t>Рисунок 2.4 – Інтенсивність патентування за країнами (</w:t>
      </w:r>
      <w:r>
        <w:rPr>
          <w:rFonts w:ascii="Times New Roman" w:hAnsi="Times New Roman"/>
          <w:sz w:val="28"/>
          <w:szCs w:val="28"/>
          <w:lang w:val="en-US"/>
        </w:rPr>
        <w:t>Lens</w:t>
      </w:r>
      <w:r>
        <w:rPr>
          <w:rFonts w:ascii="Times New Roman" w:hAnsi="Times New Roman"/>
          <w:sz w:val="28"/>
          <w:szCs w:val="28"/>
          <w:lang w:val="ru-RU"/>
        </w:rPr>
        <w:t>)</w:t>
      </w:r>
    </w:p>
    <w:p w:rsidR="0039038D" w:rsidRDefault="008D4FA6">
      <w:pPr>
        <w:spacing w:after="0" w:line="360" w:lineRule="auto"/>
        <w:ind w:firstLine="567"/>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 xml:space="preserve">       </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Для повноти картини, бажано порівняти інформацію, яка є в </w:t>
      </w:r>
      <w:r>
        <w:rPr>
          <w:rFonts w:ascii="Times New Roman" w:hAnsi="Times New Roman"/>
          <w:sz w:val="28"/>
          <w:szCs w:val="28"/>
          <w:lang w:val="en-US"/>
        </w:rPr>
        <w:t>Patentscope</w:t>
      </w:r>
      <w:r>
        <w:rPr>
          <w:rFonts w:ascii="Times New Roman" w:hAnsi="Times New Roman"/>
          <w:sz w:val="28"/>
          <w:szCs w:val="28"/>
        </w:rPr>
        <w:t>, резлуьтати інтенсивності патентування, згідно даних якої наведено на рисунку 2.5.</w:t>
      </w:r>
    </w:p>
    <w:p w:rsidR="0039038D" w:rsidRDefault="0039038D">
      <w:pPr>
        <w:spacing w:after="0" w:line="360" w:lineRule="auto"/>
        <w:ind w:firstLine="567"/>
        <w:jc w:val="both"/>
        <w:rPr>
          <w:lang w:eastAsia="uk-UA"/>
        </w:rPr>
      </w:pPr>
    </w:p>
    <w:p w:rsidR="0039038D" w:rsidRDefault="008D4FA6">
      <w:pPr>
        <w:spacing w:after="0" w:line="360" w:lineRule="auto"/>
        <w:ind w:firstLine="567"/>
        <w:jc w:val="center"/>
        <w:rPr>
          <w:rFonts w:ascii="Times New Roman" w:hAnsi="Times New Roman"/>
          <w:sz w:val="28"/>
          <w:szCs w:val="28"/>
        </w:rPr>
      </w:pPr>
      <w:r>
        <w:rPr>
          <w:noProof/>
          <w:lang w:eastAsia="uk-UA"/>
        </w:rPr>
        <w:drawing>
          <wp:inline distT="0" distB="0" distL="0" distR="0">
            <wp:extent cx="4572000" cy="2743200"/>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DB7952" w:rsidRDefault="00DB7952">
      <w:pPr>
        <w:spacing w:after="0" w:line="360" w:lineRule="auto"/>
        <w:ind w:firstLine="567"/>
        <w:jc w:val="center"/>
        <w:rPr>
          <w:rFonts w:ascii="Times New Roman" w:hAnsi="Times New Roman"/>
          <w:sz w:val="28"/>
          <w:szCs w:val="28"/>
        </w:rPr>
      </w:pPr>
    </w:p>
    <w:p w:rsidR="0039038D" w:rsidRDefault="008D4FA6">
      <w:pPr>
        <w:spacing w:after="0" w:line="360" w:lineRule="auto"/>
        <w:ind w:firstLine="567"/>
        <w:jc w:val="center"/>
        <w:rPr>
          <w:rFonts w:ascii="Times New Roman" w:hAnsi="Times New Roman"/>
          <w:sz w:val="28"/>
          <w:szCs w:val="28"/>
        </w:rPr>
      </w:pPr>
      <w:r>
        <w:rPr>
          <w:rFonts w:ascii="Times New Roman" w:hAnsi="Times New Roman"/>
          <w:sz w:val="28"/>
          <w:szCs w:val="28"/>
        </w:rPr>
        <w:t>Рисунок 2.5 – Інтенсивність патентування за країнами (</w:t>
      </w:r>
      <w:r>
        <w:rPr>
          <w:rFonts w:ascii="Times New Roman" w:hAnsi="Times New Roman"/>
          <w:sz w:val="28"/>
          <w:szCs w:val="28"/>
          <w:lang w:val="en-US"/>
        </w:rPr>
        <w:t>Patentscope</w:t>
      </w:r>
      <w:r>
        <w:rPr>
          <w:rFonts w:ascii="Times New Roman" w:hAnsi="Times New Roman"/>
          <w:sz w:val="28"/>
          <w:szCs w:val="28"/>
          <w:lang w:val="ru-RU"/>
        </w:rPr>
        <w:t>)</w:t>
      </w:r>
    </w:p>
    <w:p w:rsidR="0039038D" w:rsidRDefault="0039038D">
      <w:pPr>
        <w:spacing w:after="0" w:line="360" w:lineRule="auto"/>
        <w:ind w:firstLine="567"/>
        <w:jc w:val="center"/>
        <w:rPr>
          <w:rFonts w:ascii="Times New Roman" w:hAnsi="Times New Roman"/>
          <w:sz w:val="28"/>
          <w:szCs w:val="28"/>
        </w:rPr>
      </w:pP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В обох аналізованих патентних базах лідери ідентичні. Однак, в Patentscope на п'ятому місці, за загальною кількістю документів не Корея, а Австралія.</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Якщо дивитися в пропорції, то результати приблизно однакові і подальші дослідження в даному розділі дипломної роботи будуть проводитися, згідно з інформацією, що є в Lens.</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rPr>
        <w:t>Про перспективні напрями розробок можна судити, якщо оцінювати розподіл документів по класах МПК</w:t>
      </w:r>
      <w:r>
        <w:rPr>
          <w:rFonts w:ascii="Times New Roman" w:hAnsi="Times New Roman"/>
          <w:sz w:val="28"/>
          <w:szCs w:val="28"/>
          <w:lang w:val="ru-RU"/>
        </w:rPr>
        <w:t>.</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Міжнародна патентна класифікація — ієрархічна система патентної класифікації, що була створена відповідно до Страсбурзької угоди про міжнародну патентну класифікацію 1971 року і з того часу регулярно оновлюється Комітетом Експертів, що складається із представників країн–учасниць цієї угоди, а також спостерігачів від інших організацій.</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Опублікованим патентам усіх країн–учасниць, а також патентним документам більшості інших країн, надається принаймні один класифікаційний номер, що вказує на предмет, якого стосується винахід. Патентному документу можуть надаватися і додаткові класифікаційні та індексаційні номери з метою уточнити його зміст та спростити наступний пошук.</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МПК є засобом для однакового в міжнародному масштабі класифікування патентних документів. Основним призначенням МПК є полегшення пошуку аналогічних технічних рішень. У зв'язку з цим МПК розроблена і повинна використовуватися таким чином, щоб однакові технічні рішення класифікувалися однаково, і, отже, могли бути знайдені в одному і тому ж місці системи класифікації.</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За результати патентного пошуку за індексами МПК проведено їх структуризацію (табл.</w:t>
      </w:r>
      <w:r>
        <w:rPr>
          <w:rFonts w:ascii="Times New Roman" w:hAnsi="Times New Roman"/>
          <w:sz w:val="28"/>
          <w:szCs w:val="28"/>
          <w:lang w:val="ru-RU"/>
        </w:rPr>
        <w:t>2.1</w:t>
      </w:r>
      <w:r>
        <w:rPr>
          <w:rFonts w:ascii="Times New Roman" w:hAnsi="Times New Roman"/>
          <w:sz w:val="28"/>
          <w:szCs w:val="28"/>
        </w:rPr>
        <w:t>)</w:t>
      </w:r>
    </w:p>
    <w:p w:rsidR="0039038D" w:rsidRDefault="0039038D">
      <w:pPr>
        <w:spacing w:after="0" w:line="360" w:lineRule="auto"/>
        <w:ind w:firstLine="567"/>
        <w:jc w:val="both"/>
        <w:rPr>
          <w:rFonts w:ascii="Times New Roman" w:hAnsi="Times New Roman"/>
          <w:sz w:val="28"/>
          <w:szCs w:val="28"/>
        </w:rPr>
      </w:pP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Таблиця 2.1 – Кількість документів по основним МПК</w:t>
      </w:r>
    </w:p>
    <w:p w:rsidR="00DB7952" w:rsidRDefault="00DB7952">
      <w:pPr>
        <w:spacing w:after="0" w:line="360" w:lineRule="auto"/>
        <w:ind w:firstLine="567"/>
        <w:jc w:val="both"/>
        <w:rPr>
          <w:rFonts w:ascii="Times New Roman" w:hAnsi="Times New Roman"/>
          <w:sz w:val="28"/>
          <w:szCs w:val="28"/>
        </w:rPr>
      </w:pPr>
    </w:p>
    <w:tbl>
      <w:tblPr>
        <w:tblW w:w="5382" w:type="dxa"/>
        <w:jc w:val="center"/>
        <w:tblLook w:val="04A0" w:firstRow="1" w:lastRow="0" w:firstColumn="1" w:lastColumn="0" w:noHBand="0" w:noVBand="1"/>
      </w:tblPr>
      <w:tblGrid>
        <w:gridCol w:w="3114"/>
        <w:gridCol w:w="2268"/>
      </w:tblGrid>
      <w:tr w:rsidR="0039038D">
        <w:trPr>
          <w:jc w:val="center"/>
        </w:trPr>
        <w:tc>
          <w:tcPr>
            <w:tcW w:w="3113"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360" w:lineRule="auto"/>
              <w:jc w:val="center"/>
              <w:rPr>
                <w:rFonts w:ascii="Times New Roman" w:hAnsi="Times New Roman"/>
                <w:sz w:val="28"/>
                <w:szCs w:val="28"/>
              </w:rPr>
            </w:pPr>
            <w:r>
              <w:rPr>
                <w:rFonts w:ascii="Times New Roman" w:hAnsi="Times New Roman"/>
                <w:sz w:val="28"/>
                <w:szCs w:val="28"/>
              </w:rPr>
              <w:t>МПК</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360" w:lineRule="auto"/>
              <w:jc w:val="center"/>
              <w:rPr>
                <w:rFonts w:ascii="Times New Roman" w:hAnsi="Times New Roman"/>
                <w:sz w:val="28"/>
                <w:szCs w:val="28"/>
              </w:rPr>
            </w:pPr>
            <w:r>
              <w:rPr>
                <w:rFonts w:ascii="Times New Roman" w:hAnsi="Times New Roman"/>
                <w:sz w:val="28"/>
                <w:szCs w:val="28"/>
              </w:rPr>
              <w:t>Кількість док.</w:t>
            </w:r>
          </w:p>
        </w:tc>
      </w:tr>
      <w:tr w:rsidR="0039038D">
        <w:trPr>
          <w:jc w:val="center"/>
        </w:trPr>
        <w:tc>
          <w:tcPr>
            <w:tcW w:w="3113"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360" w:lineRule="auto"/>
              <w:jc w:val="center"/>
              <w:rPr>
                <w:rFonts w:ascii="Times New Roman" w:hAnsi="Times New Roman"/>
                <w:sz w:val="28"/>
                <w:szCs w:val="28"/>
              </w:rPr>
            </w:pPr>
            <w:r>
              <w:rPr>
                <w:rFonts w:ascii="Times New Roman" w:eastAsia="Times New Roman" w:hAnsi="Times New Roman"/>
                <w:color w:val="000000"/>
                <w:sz w:val="28"/>
                <w:szCs w:val="28"/>
                <w:lang w:eastAsia="uk-UA"/>
              </w:rPr>
              <w:t>H04L</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360" w:lineRule="auto"/>
              <w:jc w:val="center"/>
              <w:rPr>
                <w:rFonts w:ascii="Times New Roman" w:hAnsi="Times New Roman"/>
                <w:sz w:val="28"/>
                <w:szCs w:val="28"/>
                <w:lang w:val="ru-RU"/>
              </w:rPr>
            </w:pPr>
            <w:r>
              <w:rPr>
                <w:rFonts w:ascii="Times New Roman" w:hAnsi="Times New Roman"/>
                <w:sz w:val="28"/>
                <w:szCs w:val="28"/>
                <w:lang w:val="ru-RU"/>
              </w:rPr>
              <w:t>3502</w:t>
            </w:r>
          </w:p>
        </w:tc>
      </w:tr>
      <w:tr w:rsidR="0039038D">
        <w:trPr>
          <w:jc w:val="center"/>
        </w:trPr>
        <w:tc>
          <w:tcPr>
            <w:tcW w:w="3113"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360" w:lineRule="auto"/>
              <w:jc w:val="center"/>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G06Q</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360" w:lineRule="auto"/>
              <w:jc w:val="center"/>
              <w:rPr>
                <w:rFonts w:ascii="Times New Roman" w:eastAsia="Times New Roman" w:hAnsi="Times New Roman"/>
                <w:color w:val="000000"/>
                <w:sz w:val="28"/>
                <w:szCs w:val="28"/>
                <w:lang w:val="ru-RU" w:eastAsia="uk-UA"/>
              </w:rPr>
            </w:pPr>
            <w:r>
              <w:rPr>
                <w:rFonts w:ascii="Times New Roman" w:eastAsia="Times New Roman" w:hAnsi="Times New Roman"/>
                <w:color w:val="000000"/>
                <w:sz w:val="28"/>
                <w:szCs w:val="28"/>
                <w:lang w:val="ru-RU" w:eastAsia="uk-UA"/>
              </w:rPr>
              <w:t>2335</w:t>
            </w:r>
          </w:p>
        </w:tc>
      </w:tr>
    </w:tbl>
    <w:p w:rsidR="0039038D" w:rsidRDefault="0039038D">
      <w:pPr>
        <w:spacing w:after="0" w:line="360" w:lineRule="auto"/>
        <w:ind w:firstLine="567"/>
        <w:jc w:val="both"/>
        <w:rPr>
          <w:rFonts w:ascii="Times New Roman" w:hAnsi="Times New Roman"/>
          <w:sz w:val="28"/>
          <w:szCs w:val="28"/>
        </w:rPr>
      </w:pP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Саме в наведених класах МПК подано левова частина всіх патентів (до 95 %), але патентний пошук згідно з цими даними не дасть оптимальних результатів. Пов'язано це з тим, що в рамках даних класів МПК функціонує велика кількість підкласів, які спрямовані на певні "гілки" розробок.</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Однозначними лідерами є два підкласи, кожен з яких відноситься до різних основних класів – H04L9/32 та G06Q20/38, відносно яких опубліковано 1004 та 921 патент, відповідно.</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Структура тематичного трактування згідно МПК наведена у таблиці 2.3.</w:t>
      </w:r>
    </w:p>
    <w:p w:rsidR="0039038D" w:rsidRDefault="0039038D">
      <w:pPr>
        <w:spacing w:after="0" w:line="360" w:lineRule="auto"/>
        <w:ind w:firstLine="567"/>
        <w:jc w:val="both"/>
        <w:rPr>
          <w:rFonts w:ascii="Times New Roman" w:hAnsi="Times New Roman"/>
          <w:sz w:val="28"/>
          <w:szCs w:val="28"/>
        </w:rPr>
      </w:pP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Таблиця 2.2 – Тематична структура технології Blockchain</w:t>
      </w:r>
    </w:p>
    <w:p w:rsidR="00DB7952" w:rsidRDefault="00DB7952">
      <w:pPr>
        <w:spacing w:after="0" w:line="360" w:lineRule="auto"/>
        <w:ind w:firstLine="567"/>
        <w:jc w:val="both"/>
        <w:rPr>
          <w:rFonts w:ascii="Times New Roman" w:hAnsi="Times New Roman"/>
          <w:sz w:val="28"/>
          <w:szCs w:val="28"/>
        </w:rPr>
      </w:pPr>
    </w:p>
    <w:tbl>
      <w:tblPr>
        <w:tblW w:w="9629" w:type="dxa"/>
        <w:tblLook w:val="04A0" w:firstRow="1" w:lastRow="0" w:firstColumn="1" w:lastColumn="0" w:noHBand="0" w:noVBand="1"/>
      </w:tblPr>
      <w:tblGrid>
        <w:gridCol w:w="2688"/>
        <w:gridCol w:w="6941"/>
      </w:tblGrid>
      <w:tr w:rsidR="0039038D">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center"/>
              <w:rPr>
                <w:rFonts w:ascii="Times New Roman" w:hAnsi="Times New Roman"/>
                <w:sz w:val="28"/>
                <w:szCs w:val="28"/>
              </w:rPr>
            </w:pPr>
            <w:r>
              <w:rPr>
                <w:rFonts w:ascii="Times New Roman" w:hAnsi="Times New Roman"/>
                <w:sz w:val="28"/>
                <w:szCs w:val="28"/>
              </w:rPr>
              <w:t>МПК</w:t>
            </w:r>
          </w:p>
        </w:tc>
        <w:tc>
          <w:tcPr>
            <w:tcW w:w="6940"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center"/>
              <w:rPr>
                <w:rFonts w:ascii="Times New Roman" w:hAnsi="Times New Roman"/>
                <w:sz w:val="28"/>
                <w:szCs w:val="28"/>
              </w:rPr>
            </w:pPr>
            <w:r>
              <w:rPr>
                <w:rFonts w:ascii="Times New Roman" w:hAnsi="Times New Roman"/>
                <w:sz w:val="28"/>
                <w:szCs w:val="28"/>
              </w:rPr>
              <w:t>Значення згідно МПК</w:t>
            </w:r>
          </w:p>
        </w:tc>
      </w:tr>
      <w:tr w:rsidR="0039038D">
        <w:trPr>
          <w:trHeight w:val="1186"/>
        </w:trPr>
        <w:tc>
          <w:tcPr>
            <w:tcW w:w="268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H04L9/32</w:t>
            </w:r>
          </w:p>
        </w:tc>
        <w:tc>
          <w:tcPr>
            <w:tcW w:w="6940"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both"/>
              <w:rPr>
                <w:rFonts w:ascii="Times New Roman" w:hAnsi="Times New Roman"/>
                <w:sz w:val="28"/>
                <w:szCs w:val="28"/>
              </w:rPr>
            </w:pPr>
            <w:r>
              <w:rPr>
                <w:rFonts w:ascii="Times New Roman" w:hAnsi="Times New Roman"/>
                <w:sz w:val="28"/>
                <w:szCs w:val="28"/>
              </w:rPr>
              <w:t>Пристрої для секретного або захищеного зв’язку із засобами для перевіряння особи або повноважень користувача системи.</w:t>
            </w:r>
          </w:p>
        </w:tc>
      </w:tr>
      <w:tr w:rsidR="0039038D">
        <w:trPr>
          <w:trHeight w:val="1342"/>
        </w:trPr>
        <w:tc>
          <w:tcPr>
            <w:tcW w:w="268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H04L9/06</w:t>
            </w:r>
          </w:p>
        </w:tc>
        <w:tc>
          <w:tcPr>
            <w:tcW w:w="6940"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both"/>
              <w:rPr>
                <w:rFonts w:ascii="Times New Roman" w:hAnsi="Times New Roman"/>
                <w:sz w:val="28"/>
                <w:szCs w:val="28"/>
              </w:rPr>
            </w:pPr>
            <w:r>
              <w:rPr>
                <w:rFonts w:ascii="Times New Roman" w:hAnsi="Times New Roman"/>
                <w:sz w:val="28"/>
                <w:szCs w:val="28"/>
              </w:rPr>
              <w:t>Шифрувальні пристрої, що використовують зсувні регістри чи запам’ятовувальні пристрої для блокового кодування, наприклад системи D.E.S.</w:t>
            </w:r>
          </w:p>
        </w:tc>
      </w:tr>
      <w:tr w:rsidR="0039038D">
        <w:trPr>
          <w:trHeight w:val="931"/>
        </w:trPr>
        <w:tc>
          <w:tcPr>
            <w:tcW w:w="268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H04L9/08</w:t>
            </w:r>
          </w:p>
        </w:tc>
        <w:tc>
          <w:tcPr>
            <w:tcW w:w="6940"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both"/>
              <w:rPr>
                <w:rFonts w:ascii="Times New Roman" w:hAnsi="Times New Roman"/>
                <w:sz w:val="28"/>
                <w:szCs w:val="28"/>
              </w:rPr>
            </w:pPr>
            <w:r>
              <w:rPr>
                <w:rFonts w:ascii="Times New Roman" w:hAnsi="Times New Roman"/>
                <w:sz w:val="28"/>
                <w:szCs w:val="28"/>
              </w:rPr>
              <w:t>Пристрої для секретного або захищеного зв’язку розподіляння ключів</w:t>
            </w:r>
          </w:p>
        </w:tc>
      </w:tr>
      <w:tr w:rsidR="0039038D" w:rsidTr="00DB7952">
        <w:trPr>
          <w:trHeight w:val="1278"/>
        </w:trPr>
        <w:tc>
          <w:tcPr>
            <w:tcW w:w="268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H04L29/06</w:t>
            </w:r>
          </w:p>
        </w:tc>
        <w:tc>
          <w:tcPr>
            <w:tcW w:w="6940"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both"/>
              <w:rPr>
                <w:rFonts w:ascii="Times New Roman" w:hAnsi="Times New Roman"/>
                <w:sz w:val="28"/>
                <w:szCs w:val="28"/>
                <w:lang w:val="ru-RU"/>
              </w:rPr>
            </w:pPr>
            <w:r>
              <w:rPr>
                <w:rFonts w:ascii="Times New Roman" w:hAnsi="Times New Roman"/>
                <w:sz w:val="28"/>
                <w:szCs w:val="28"/>
              </w:rPr>
              <w:t>Пристрої, апаратура, схеми або системи, що характеризовані протоколом</w:t>
            </w:r>
          </w:p>
        </w:tc>
      </w:tr>
      <w:tr w:rsidR="0039038D" w:rsidTr="00DB7952">
        <w:trPr>
          <w:trHeight w:val="1718"/>
        </w:trPr>
        <w:tc>
          <w:tcPr>
            <w:tcW w:w="268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H04L29/08</w:t>
            </w:r>
          </w:p>
        </w:tc>
        <w:tc>
          <w:tcPr>
            <w:tcW w:w="6940"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both"/>
              <w:rPr>
                <w:rFonts w:ascii="Times New Roman" w:hAnsi="Times New Roman"/>
                <w:sz w:val="28"/>
                <w:szCs w:val="28"/>
              </w:rPr>
            </w:pPr>
            <w:r>
              <w:rPr>
                <w:rFonts w:ascii="Times New Roman" w:hAnsi="Times New Roman"/>
                <w:sz w:val="28"/>
                <w:szCs w:val="28"/>
              </w:rPr>
              <w:t>Пристрої, установки, ланцюги або системи, не віднесені до жодної з груп 1/00 - процедура управління передачею, наприклад рівнем даних в каналі передачі</w:t>
            </w:r>
          </w:p>
        </w:tc>
      </w:tr>
      <w:tr w:rsidR="0039038D">
        <w:trPr>
          <w:trHeight w:val="1474"/>
        </w:trPr>
        <w:tc>
          <w:tcPr>
            <w:tcW w:w="268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G06Q20/06</w:t>
            </w:r>
          </w:p>
        </w:tc>
        <w:tc>
          <w:tcPr>
            <w:tcW w:w="6940"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both"/>
              <w:rPr>
                <w:rFonts w:ascii="Times New Roman" w:hAnsi="Times New Roman"/>
                <w:sz w:val="28"/>
                <w:szCs w:val="28"/>
              </w:rPr>
            </w:pPr>
            <w:r>
              <w:rPr>
                <w:rFonts w:ascii="Times New Roman" w:hAnsi="Times New Roman"/>
                <w:sz w:val="28"/>
                <w:szCs w:val="28"/>
              </w:rPr>
              <w:t>Закриті схеми оплати, наприклад із залучанням електронної валюти, яка застосовується тільки учасниками спільної схеми оплати</w:t>
            </w:r>
          </w:p>
        </w:tc>
      </w:tr>
      <w:tr w:rsidR="0039038D">
        <w:trPr>
          <w:trHeight w:val="638"/>
        </w:trPr>
        <w:tc>
          <w:tcPr>
            <w:tcW w:w="268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G06Q20/38</w:t>
            </w:r>
          </w:p>
        </w:tc>
        <w:tc>
          <w:tcPr>
            <w:tcW w:w="6940"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both"/>
              <w:rPr>
                <w:rFonts w:ascii="Times New Roman" w:hAnsi="Times New Roman"/>
                <w:sz w:val="28"/>
                <w:szCs w:val="28"/>
                <w:lang w:val="ru-RU"/>
              </w:rPr>
            </w:pPr>
            <w:r>
              <w:rPr>
                <w:rFonts w:ascii="Times New Roman" w:hAnsi="Times New Roman"/>
                <w:sz w:val="28"/>
                <w:szCs w:val="28"/>
              </w:rPr>
              <w:t>Протоколи оплати; подробиці щодо них</w:t>
            </w:r>
            <w:r>
              <w:rPr>
                <w:rFonts w:ascii="Times New Roman" w:hAnsi="Times New Roman"/>
                <w:sz w:val="28"/>
                <w:szCs w:val="28"/>
                <w:lang w:val="ru-RU"/>
              </w:rPr>
              <w:t>.</w:t>
            </w:r>
          </w:p>
        </w:tc>
      </w:tr>
    </w:tbl>
    <w:p w:rsidR="0039038D" w:rsidRDefault="0039038D">
      <w:pPr>
        <w:spacing w:after="0" w:line="360" w:lineRule="auto"/>
        <w:ind w:firstLine="567"/>
        <w:jc w:val="both"/>
        <w:rPr>
          <w:rFonts w:ascii="Times New Roman" w:hAnsi="Times New Roman"/>
          <w:sz w:val="28"/>
          <w:szCs w:val="28"/>
          <w:lang w:val="ru-RU"/>
        </w:rPr>
      </w:pP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rPr>
        <w:lastRenderedPageBreak/>
        <w:t>Більш детально ознайомитися з результатами пошуку можна, проаналізувавши схему, представлену на рисунку 2.6, де зображені основні підкласи МПК, в яких компанії намагаються отримати захист</w:t>
      </w:r>
      <w:r w:rsidR="00DB7952">
        <w:rPr>
          <w:rFonts w:ascii="Times New Roman" w:hAnsi="Times New Roman"/>
          <w:sz w:val="28"/>
          <w:szCs w:val="28"/>
        </w:rPr>
        <w:t>.</w:t>
      </w:r>
      <w:r>
        <w:rPr>
          <w:rFonts w:ascii="Times New Roman" w:hAnsi="Times New Roman"/>
          <w:sz w:val="28"/>
          <w:szCs w:val="28"/>
        </w:rPr>
        <w:t xml:space="preserve"> </w:t>
      </w:r>
    </w:p>
    <w:p w:rsidR="0039038D" w:rsidRDefault="0039038D">
      <w:pPr>
        <w:spacing w:after="0" w:line="360" w:lineRule="auto"/>
        <w:rPr>
          <w:rFonts w:ascii="Times New Roman" w:hAnsi="Times New Roman"/>
          <w:sz w:val="28"/>
          <w:szCs w:val="28"/>
        </w:rPr>
      </w:pPr>
    </w:p>
    <w:p w:rsidR="0039038D" w:rsidRDefault="008D4FA6">
      <w:pPr>
        <w:spacing w:after="0" w:line="360" w:lineRule="auto"/>
        <w:jc w:val="center"/>
        <w:rPr>
          <w:rFonts w:ascii="Times New Roman" w:hAnsi="Times New Roman"/>
          <w:sz w:val="28"/>
          <w:szCs w:val="28"/>
          <w:highlight w:val="yellow"/>
        </w:rPr>
      </w:pPr>
      <w:r>
        <w:rPr>
          <w:noProof/>
          <w:lang w:eastAsia="uk-UA"/>
        </w:rPr>
        <w:drawing>
          <wp:inline distT="0" distB="0" distL="0" distR="0">
            <wp:extent cx="4391025" cy="2257425"/>
            <wp:effectExtent l="0" t="0" r="9525" b="952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B7952" w:rsidRDefault="00DB7952">
      <w:pPr>
        <w:spacing w:after="0" w:line="360" w:lineRule="auto"/>
        <w:jc w:val="center"/>
        <w:rPr>
          <w:rFonts w:ascii="Times New Roman" w:hAnsi="Times New Roman"/>
          <w:sz w:val="28"/>
          <w:szCs w:val="28"/>
          <w:highlight w:val="yellow"/>
        </w:rPr>
      </w:pPr>
    </w:p>
    <w:p w:rsidR="0039038D" w:rsidRDefault="008D4FA6">
      <w:pPr>
        <w:spacing w:after="0" w:line="360" w:lineRule="auto"/>
        <w:jc w:val="center"/>
        <w:rPr>
          <w:rFonts w:ascii="Times New Roman" w:hAnsi="Times New Roman"/>
          <w:sz w:val="28"/>
          <w:szCs w:val="28"/>
        </w:rPr>
      </w:pPr>
      <w:r>
        <w:rPr>
          <w:rFonts w:ascii="Times New Roman" w:hAnsi="Times New Roman"/>
          <w:sz w:val="28"/>
          <w:szCs w:val="28"/>
        </w:rPr>
        <w:t xml:space="preserve">Рисунок </w:t>
      </w:r>
      <w:r>
        <w:rPr>
          <w:rFonts w:ascii="Times New Roman" w:hAnsi="Times New Roman"/>
          <w:sz w:val="28"/>
          <w:szCs w:val="28"/>
          <w:lang w:val="ru-RU"/>
        </w:rPr>
        <w:t>2.6</w:t>
      </w:r>
      <w:r>
        <w:rPr>
          <w:rFonts w:ascii="Times New Roman" w:hAnsi="Times New Roman"/>
          <w:sz w:val="28"/>
          <w:szCs w:val="28"/>
        </w:rPr>
        <w:t xml:space="preserve"> – Основні МПК у патентних документах технології Blockchain</w:t>
      </w:r>
    </w:p>
    <w:p w:rsidR="0039038D" w:rsidRDefault="0039038D">
      <w:pPr>
        <w:spacing w:after="0" w:line="360" w:lineRule="auto"/>
        <w:ind w:firstLine="567"/>
        <w:jc w:val="both"/>
        <w:rPr>
          <w:rFonts w:ascii="Times New Roman" w:hAnsi="Times New Roman"/>
          <w:sz w:val="28"/>
          <w:szCs w:val="28"/>
        </w:rPr>
      </w:pP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Найбільша кількість патентів технологія Blockchain має у підкласі </w:t>
      </w:r>
      <w:r>
        <w:rPr>
          <w:rFonts w:ascii="Times New Roman" w:hAnsi="Times New Roman"/>
          <w:color w:val="000000"/>
          <w:sz w:val="28"/>
          <w:szCs w:val="28"/>
          <w:shd w:val="clear" w:color="auto" w:fill="FFFFFF"/>
        </w:rPr>
        <w:t xml:space="preserve">H04L9/32 – </w:t>
      </w:r>
      <w:r>
        <w:rPr>
          <w:rFonts w:ascii="Times New Roman" w:hAnsi="Times New Roman"/>
          <w:sz w:val="28"/>
          <w:szCs w:val="28"/>
        </w:rPr>
        <w:t xml:space="preserve"> пристрій для секретної або прихованої зв'язку із засобами для встановлення особи або повноважень користувача системи. Кількість патентних документів у цьому напрямку станом на листопад місяць 2018 року нараховує 1004 що складає 23 % від загальної кількості патентних документів</w:t>
      </w:r>
      <w:r>
        <w:rPr>
          <w:rFonts w:ascii="Times New Roman" w:hAnsi="Times New Roman"/>
          <w:sz w:val="28"/>
          <w:szCs w:val="28"/>
          <w:lang w:val="ru-RU"/>
        </w:rPr>
        <w:t xml:space="preserve"> (рис.2.7)</w:t>
      </w:r>
      <w:r>
        <w:rPr>
          <w:rFonts w:ascii="Times New Roman" w:hAnsi="Times New Roman"/>
          <w:sz w:val="28"/>
          <w:szCs w:val="28"/>
        </w:rPr>
        <w:t>.</w:t>
      </w:r>
    </w:p>
    <w:p w:rsidR="0039038D" w:rsidRDefault="0039038D">
      <w:pPr>
        <w:spacing w:after="0" w:line="360" w:lineRule="auto"/>
        <w:ind w:firstLine="567"/>
        <w:jc w:val="both"/>
        <w:rPr>
          <w:rFonts w:ascii="Times New Roman" w:hAnsi="Times New Roman"/>
          <w:sz w:val="28"/>
          <w:szCs w:val="28"/>
        </w:rPr>
      </w:pPr>
    </w:p>
    <w:p w:rsidR="0039038D" w:rsidRDefault="008D4FA6">
      <w:pPr>
        <w:spacing w:after="0" w:line="360" w:lineRule="auto"/>
        <w:jc w:val="center"/>
        <w:rPr>
          <w:rFonts w:ascii="Times New Roman" w:hAnsi="Times New Roman"/>
          <w:sz w:val="28"/>
          <w:szCs w:val="28"/>
          <w:highlight w:val="yellow"/>
        </w:rPr>
      </w:pPr>
      <w:r>
        <w:rPr>
          <w:noProof/>
          <w:lang w:eastAsia="uk-UA"/>
        </w:rPr>
        <w:drawing>
          <wp:inline distT="0" distB="0" distL="0" distR="0">
            <wp:extent cx="4343400" cy="2638425"/>
            <wp:effectExtent l="0" t="0" r="0" b="952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B7952" w:rsidRDefault="00DB7952">
      <w:pPr>
        <w:spacing w:after="0" w:line="360" w:lineRule="auto"/>
        <w:jc w:val="center"/>
        <w:rPr>
          <w:rFonts w:ascii="Times New Roman" w:hAnsi="Times New Roman"/>
          <w:sz w:val="28"/>
          <w:szCs w:val="28"/>
          <w:highlight w:val="yellow"/>
        </w:rPr>
      </w:pPr>
    </w:p>
    <w:p w:rsidR="0039038D" w:rsidRDefault="008D4FA6">
      <w:pPr>
        <w:spacing w:after="0" w:line="360" w:lineRule="auto"/>
        <w:jc w:val="center"/>
        <w:rPr>
          <w:rFonts w:ascii="Times New Roman" w:hAnsi="Times New Roman"/>
          <w:sz w:val="28"/>
          <w:szCs w:val="28"/>
        </w:rPr>
      </w:pPr>
      <w:r>
        <w:rPr>
          <w:rFonts w:ascii="Times New Roman" w:hAnsi="Times New Roman"/>
          <w:sz w:val="28"/>
          <w:szCs w:val="28"/>
        </w:rPr>
        <w:t>Рисунок</w:t>
      </w:r>
      <w:r>
        <w:rPr>
          <w:rFonts w:ascii="Times New Roman" w:hAnsi="Times New Roman"/>
          <w:sz w:val="28"/>
          <w:szCs w:val="28"/>
          <w:lang w:val="ru-RU"/>
        </w:rPr>
        <w:t xml:space="preserve"> 2.7</w:t>
      </w:r>
      <w:r>
        <w:rPr>
          <w:rFonts w:ascii="Times New Roman" w:hAnsi="Times New Roman"/>
          <w:sz w:val="28"/>
          <w:szCs w:val="28"/>
        </w:rPr>
        <w:t xml:space="preserve"> – Кількість патентних документів у підкласі МПК – </w:t>
      </w:r>
      <w:r>
        <w:rPr>
          <w:rFonts w:ascii="Times New Roman" w:hAnsi="Times New Roman"/>
          <w:color w:val="000000"/>
          <w:sz w:val="28"/>
          <w:szCs w:val="28"/>
          <w:shd w:val="clear" w:color="auto" w:fill="FFFFFF"/>
        </w:rPr>
        <w:t>H04L9/32</w:t>
      </w:r>
    </w:p>
    <w:p w:rsidR="0039038D" w:rsidRDefault="0039038D">
      <w:pPr>
        <w:spacing w:after="0" w:line="360" w:lineRule="auto"/>
        <w:jc w:val="both"/>
        <w:rPr>
          <w:rFonts w:ascii="Times New Roman" w:hAnsi="Times New Roman"/>
          <w:sz w:val="28"/>
          <w:szCs w:val="28"/>
        </w:rPr>
      </w:pP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Своє поширення цей підклас в технології Blockchain отримав з 2016 р., коли були опубліковані перші 8 документів. З цього часу кількість документів збільшилось у 67 раз (з 8 до 542). Тенденція щодо збільшення документів має місце кожен рік, але найбільше поширення цей підклас отримав у 2017–2019 рр.</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Максимально ідентичне кількість патентних документів опубліковано і по підкласу G06Q20/38. Згідно рисунком 2.8 можна визначити, що даний напрямок активізувався вже з 2016 р., з перших 14 заявок на отримання охоронних документів. Причому тенденція до збільшення патентних документів триває і зараз. Всього за 3 роки кількість заявок збільшилася майже в 34 рази, що вказує на популярність розробок в цьому напрямку. Інтенсивність патентування вказує на подальше збільшення патентних документів у цьому підкласі.</w:t>
      </w:r>
    </w:p>
    <w:p w:rsidR="0039038D" w:rsidRDefault="0039038D">
      <w:pPr>
        <w:spacing w:after="0" w:line="360" w:lineRule="auto"/>
        <w:ind w:firstLine="567"/>
        <w:jc w:val="both"/>
        <w:rPr>
          <w:rFonts w:ascii="Times New Roman" w:hAnsi="Times New Roman"/>
          <w:sz w:val="28"/>
          <w:szCs w:val="28"/>
          <w:lang w:val="ru-RU"/>
        </w:rPr>
      </w:pPr>
    </w:p>
    <w:p w:rsidR="0039038D" w:rsidRDefault="008D4FA6">
      <w:pPr>
        <w:spacing w:after="0" w:line="360" w:lineRule="auto"/>
        <w:ind w:firstLine="709"/>
        <w:jc w:val="center"/>
        <w:rPr>
          <w:lang w:eastAsia="uk-UA"/>
        </w:rPr>
      </w:pPr>
      <w:r>
        <w:rPr>
          <w:noProof/>
          <w:lang w:eastAsia="uk-UA"/>
        </w:rPr>
        <w:drawing>
          <wp:inline distT="0" distB="0" distL="0" distR="0">
            <wp:extent cx="4848225" cy="2886075"/>
            <wp:effectExtent l="0" t="0" r="9525" b="952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B7952" w:rsidRDefault="00DB7952">
      <w:pPr>
        <w:spacing w:after="0" w:line="360" w:lineRule="auto"/>
        <w:ind w:firstLine="709"/>
        <w:jc w:val="center"/>
        <w:rPr>
          <w:lang w:eastAsia="uk-UA"/>
        </w:rPr>
      </w:pPr>
    </w:p>
    <w:p w:rsidR="0039038D" w:rsidRDefault="008D4FA6">
      <w:pPr>
        <w:spacing w:after="0" w:line="360" w:lineRule="auto"/>
        <w:ind w:firstLine="567"/>
        <w:jc w:val="center"/>
        <w:rPr>
          <w:rFonts w:ascii="Times New Roman" w:hAnsi="Times New Roman"/>
          <w:sz w:val="28"/>
          <w:szCs w:val="28"/>
          <w:lang w:eastAsia="uk-UA"/>
        </w:rPr>
      </w:pPr>
      <w:r>
        <w:rPr>
          <w:rFonts w:ascii="Times New Roman" w:hAnsi="Times New Roman"/>
          <w:sz w:val="28"/>
          <w:szCs w:val="28"/>
          <w:lang w:eastAsia="uk-UA"/>
        </w:rPr>
        <w:t xml:space="preserve">Рисунок 2.8 – Динаміка патентування в підкласі </w:t>
      </w:r>
      <w:r>
        <w:rPr>
          <w:rFonts w:ascii="Times New Roman" w:hAnsi="Times New Roman"/>
          <w:sz w:val="28"/>
          <w:szCs w:val="28"/>
          <w:lang w:val="ru-RU"/>
        </w:rPr>
        <w:t>G06Q20/38</w:t>
      </w:r>
      <w:r>
        <w:rPr>
          <w:rFonts w:ascii="Times New Roman" w:hAnsi="Times New Roman"/>
          <w:sz w:val="28"/>
          <w:szCs w:val="28"/>
          <w:lang w:eastAsia="uk-UA"/>
        </w:rPr>
        <w:t xml:space="preserve"> </w:t>
      </w:r>
    </w:p>
    <w:p w:rsidR="0039038D" w:rsidRDefault="0039038D">
      <w:pPr>
        <w:spacing w:after="0" w:line="360" w:lineRule="auto"/>
        <w:ind w:firstLine="567"/>
        <w:jc w:val="center"/>
        <w:rPr>
          <w:rFonts w:ascii="Times New Roman" w:hAnsi="Times New Roman"/>
          <w:sz w:val="28"/>
          <w:szCs w:val="28"/>
          <w:lang w:eastAsia="uk-UA"/>
        </w:rPr>
      </w:pP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Очікувано, лідерами в цьому напрямку є платіжні системи. Лідери за загальною кількістю патентів (Alibaba і IBM) далекі від лідируючих позицій за </w:t>
      </w:r>
      <w:r>
        <w:rPr>
          <w:rFonts w:ascii="Times New Roman" w:hAnsi="Times New Roman"/>
          <w:sz w:val="28"/>
          <w:szCs w:val="28"/>
          <w:lang w:val="ru-RU"/>
        </w:rPr>
        <w:t>G</w:t>
      </w:r>
      <w:r>
        <w:rPr>
          <w:rFonts w:ascii="Times New Roman" w:hAnsi="Times New Roman"/>
          <w:sz w:val="28"/>
          <w:szCs w:val="28"/>
        </w:rPr>
        <w:t>06</w:t>
      </w:r>
      <w:r>
        <w:rPr>
          <w:rFonts w:ascii="Times New Roman" w:hAnsi="Times New Roman"/>
          <w:sz w:val="28"/>
          <w:szCs w:val="28"/>
          <w:lang w:val="ru-RU"/>
        </w:rPr>
        <w:t>Q</w:t>
      </w:r>
      <w:r>
        <w:rPr>
          <w:rFonts w:ascii="Times New Roman" w:hAnsi="Times New Roman"/>
          <w:sz w:val="28"/>
          <w:szCs w:val="28"/>
        </w:rPr>
        <w:t>20/38 (рис. 2.9).</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rPr>
        <w:t>Крім того, розробками займаються, як правило, Китайські організації, кількість документів яких більше, ніж аналогічних в США приблизно в 1.5 рази</w:t>
      </w:r>
      <w:r>
        <w:rPr>
          <w:rFonts w:ascii="Times New Roman" w:hAnsi="Times New Roman"/>
          <w:sz w:val="28"/>
          <w:szCs w:val="28"/>
          <w:lang w:val="ru-RU"/>
        </w:rPr>
        <w:t xml:space="preserve"> (279 проти 186).</w:t>
      </w:r>
    </w:p>
    <w:p w:rsidR="0039038D" w:rsidRDefault="008D4FA6">
      <w:pPr>
        <w:spacing w:after="0" w:line="360" w:lineRule="auto"/>
        <w:ind w:firstLine="567"/>
        <w:jc w:val="center"/>
        <w:rPr>
          <w:lang w:eastAsia="uk-UA"/>
        </w:rPr>
      </w:pPr>
      <w:r>
        <w:rPr>
          <w:noProof/>
          <w:lang w:eastAsia="uk-UA"/>
        </w:rPr>
        <w:lastRenderedPageBreak/>
        <w:drawing>
          <wp:inline distT="0" distB="0" distL="0" distR="0">
            <wp:extent cx="4772025" cy="3086100"/>
            <wp:effectExtent l="0" t="0" r="9525"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DB7952" w:rsidRDefault="00DB7952">
      <w:pPr>
        <w:spacing w:after="0" w:line="360" w:lineRule="auto"/>
        <w:ind w:firstLine="567"/>
        <w:jc w:val="center"/>
        <w:rPr>
          <w:lang w:eastAsia="uk-UA"/>
        </w:rPr>
      </w:pPr>
    </w:p>
    <w:p w:rsidR="0039038D" w:rsidRDefault="008D4FA6">
      <w:pPr>
        <w:spacing w:after="0" w:line="360" w:lineRule="auto"/>
        <w:ind w:firstLine="567"/>
        <w:jc w:val="center"/>
        <w:rPr>
          <w:rFonts w:ascii="Times New Roman" w:hAnsi="Times New Roman"/>
          <w:sz w:val="28"/>
          <w:szCs w:val="28"/>
          <w:lang w:val="ru-RU"/>
        </w:rPr>
      </w:pPr>
      <w:r>
        <w:rPr>
          <w:rFonts w:ascii="Times New Roman" w:hAnsi="Times New Roman"/>
          <w:sz w:val="28"/>
          <w:szCs w:val="28"/>
          <w:lang w:eastAsia="uk-UA"/>
        </w:rPr>
        <w:t xml:space="preserve">Рисунок 2.9 – Компанії–лідери по кількості заявок в підкласі  </w:t>
      </w:r>
      <w:r>
        <w:rPr>
          <w:rFonts w:ascii="Times New Roman" w:hAnsi="Times New Roman"/>
          <w:sz w:val="28"/>
          <w:szCs w:val="28"/>
          <w:lang w:val="ru-RU"/>
        </w:rPr>
        <w:t>G06Q20/38</w:t>
      </w:r>
    </w:p>
    <w:p w:rsidR="0039038D" w:rsidRDefault="0039038D">
      <w:pPr>
        <w:spacing w:after="0" w:line="360" w:lineRule="auto"/>
        <w:ind w:firstLine="567"/>
        <w:jc w:val="center"/>
        <w:rPr>
          <w:rFonts w:ascii="Times New Roman" w:hAnsi="Times New Roman"/>
          <w:sz w:val="28"/>
          <w:szCs w:val="28"/>
          <w:lang w:eastAsia="uk-UA"/>
        </w:rPr>
      </w:pPr>
    </w:p>
    <w:p w:rsidR="00DB7952"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У 2016 році, коли були опубліковані перші патенти в цьому підкласі, найбільший розвиток вносила компанія </w:t>
      </w:r>
      <w:r>
        <w:rPr>
          <w:rFonts w:ascii="Times New Roman" w:hAnsi="Times New Roman"/>
          <w:sz w:val="28"/>
          <w:szCs w:val="28"/>
          <w:lang w:val="en-US"/>
        </w:rPr>
        <w:t>Mastercard</w:t>
      </w:r>
      <w:r>
        <w:rPr>
          <w:rFonts w:ascii="Times New Roman" w:hAnsi="Times New Roman"/>
          <w:sz w:val="28"/>
          <w:szCs w:val="28"/>
        </w:rPr>
        <w:t xml:space="preserve">, яка розробляла різні способи проведення транзакцій. </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Китайські компанії в цьому році взагалі не працювали над отриманням захисних документів щодо розробок в цьому підкласі.</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Останні патентні документи у сфері Blockchain здебільшого пов'язані з методами обробки даних на основі Blockchain.</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При аналізі найпопулярніших напрямків у розробках щодо будь–якої інноваційної технології, варто враховувати таксономію.</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Таксономія — наука про принципи та способи класифікації й номенклатури складноорганізованих ієрархічних систем дійсності. </w:t>
      </w:r>
    </w:p>
    <w:p w:rsidR="00DB7952"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Що стосується технології </w:t>
      </w:r>
      <w:r>
        <w:rPr>
          <w:rFonts w:ascii="Times New Roman" w:hAnsi="Times New Roman"/>
          <w:sz w:val="28"/>
          <w:szCs w:val="28"/>
          <w:lang w:val="en-US"/>
        </w:rPr>
        <w:t>Blockchain</w:t>
      </w:r>
      <w:r>
        <w:rPr>
          <w:rFonts w:ascii="Times New Roman" w:hAnsi="Times New Roman"/>
          <w:sz w:val="28"/>
          <w:szCs w:val="28"/>
        </w:rPr>
        <w:t xml:space="preserve">, то можливо виділити складові, в яких наразі є найбільша зацікавленість з боку великих компаній. Візуалізація цієї інформації наведена на рисунку 2.10. </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З інформації, що наведена вище (згідно МПК), можна зробити висновок, що технологія вже давно не пов'язана виключно з платіжними системами і криптовалютою. </w:t>
      </w:r>
    </w:p>
    <w:p w:rsidR="0039038D" w:rsidRDefault="0039038D">
      <w:pPr>
        <w:spacing w:after="0" w:line="360" w:lineRule="auto"/>
        <w:ind w:firstLine="426"/>
        <w:jc w:val="both"/>
        <w:rPr>
          <w:rFonts w:ascii="Times New Roman" w:hAnsi="Times New Roman"/>
          <w:sz w:val="28"/>
          <w:szCs w:val="28"/>
        </w:rPr>
      </w:pPr>
    </w:p>
    <w:p w:rsidR="0039038D" w:rsidRDefault="008D4FA6">
      <w:pPr>
        <w:spacing w:after="0" w:line="360" w:lineRule="auto"/>
        <w:jc w:val="center"/>
        <w:rPr>
          <w:lang w:eastAsia="uk-UA"/>
        </w:rPr>
      </w:pPr>
      <w:r>
        <w:rPr>
          <w:noProof/>
          <w:lang w:eastAsia="uk-UA"/>
        </w:rPr>
        <w:lastRenderedPageBreak/>
        <w:drawing>
          <wp:inline distT="0" distB="0" distL="0" distR="0">
            <wp:extent cx="5124450" cy="3352800"/>
            <wp:effectExtent l="0" t="0" r="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B7952" w:rsidRDefault="00DB7952">
      <w:pPr>
        <w:spacing w:after="0" w:line="360" w:lineRule="auto"/>
        <w:jc w:val="center"/>
        <w:rPr>
          <w:lang w:eastAsia="uk-UA"/>
        </w:rPr>
      </w:pPr>
    </w:p>
    <w:p w:rsidR="0039038D" w:rsidRDefault="008D4FA6">
      <w:pPr>
        <w:spacing w:after="0" w:line="360" w:lineRule="auto"/>
        <w:jc w:val="center"/>
        <w:rPr>
          <w:rFonts w:ascii="Times New Roman" w:hAnsi="Times New Roman"/>
          <w:sz w:val="28"/>
          <w:szCs w:val="28"/>
          <w:lang w:eastAsia="uk-UA"/>
        </w:rPr>
      </w:pPr>
      <w:r>
        <w:rPr>
          <w:rFonts w:ascii="Times New Roman" w:hAnsi="Times New Roman"/>
          <w:sz w:val="28"/>
          <w:szCs w:val="28"/>
          <w:lang w:eastAsia="uk-UA"/>
        </w:rPr>
        <w:t>Рисунок 2.10 – Процентне співвідношення патентних документів відносно таксономії</w:t>
      </w:r>
    </w:p>
    <w:p w:rsidR="00DB7952" w:rsidRDefault="00DB7952">
      <w:pPr>
        <w:spacing w:after="0" w:line="360" w:lineRule="auto"/>
        <w:jc w:val="center"/>
        <w:rPr>
          <w:rFonts w:ascii="Times New Roman" w:hAnsi="Times New Roman"/>
          <w:sz w:val="28"/>
          <w:szCs w:val="28"/>
          <w:lang w:eastAsia="uk-UA"/>
        </w:rPr>
      </w:pPr>
    </w:p>
    <w:p w:rsidR="0039038D" w:rsidRDefault="008D4FA6">
      <w:pPr>
        <w:spacing w:after="0" w:line="360" w:lineRule="auto"/>
        <w:ind w:firstLine="426"/>
        <w:jc w:val="both"/>
        <w:rPr>
          <w:rFonts w:ascii="Times New Roman" w:hAnsi="Times New Roman"/>
          <w:sz w:val="28"/>
          <w:szCs w:val="28"/>
        </w:rPr>
      </w:pPr>
      <w:r>
        <w:rPr>
          <w:rFonts w:ascii="Times New Roman" w:hAnsi="Times New Roman"/>
          <w:sz w:val="28"/>
          <w:szCs w:val="28"/>
        </w:rPr>
        <w:t>Як видно з рисунку, найбільша кількість патентних документів щодо таксономії, пов'язана з додатками і способами аутентифікації в системі.</w:t>
      </w:r>
    </w:p>
    <w:p w:rsidR="0039038D" w:rsidRDefault="008D4FA6">
      <w:pPr>
        <w:spacing w:after="0" w:line="360" w:lineRule="auto"/>
        <w:ind w:firstLine="567"/>
        <w:jc w:val="both"/>
        <w:rPr>
          <w:rFonts w:ascii="Times New Roman" w:hAnsi="Times New Roman"/>
          <w:sz w:val="28"/>
          <w:szCs w:val="28"/>
          <w:lang w:val="ru-RU" w:eastAsia="uk-UA"/>
        </w:rPr>
      </w:pPr>
      <w:r>
        <w:rPr>
          <w:rFonts w:ascii="Times New Roman" w:hAnsi="Times New Roman"/>
          <w:sz w:val="28"/>
          <w:szCs w:val="28"/>
          <w:lang w:val="ru-RU" w:eastAsia="uk-UA"/>
        </w:rPr>
        <w:t>Оскільки серед передових напрямків виділяються додатки, то необхідно проаналізувати динаміку патентування (рис.2.11).</w:t>
      </w:r>
    </w:p>
    <w:p w:rsidR="0039038D" w:rsidRDefault="0039038D">
      <w:pPr>
        <w:spacing w:after="0" w:line="360" w:lineRule="auto"/>
        <w:ind w:firstLine="567"/>
        <w:jc w:val="both"/>
        <w:rPr>
          <w:rFonts w:ascii="Times New Roman" w:hAnsi="Times New Roman"/>
          <w:sz w:val="28"/>
          <w:szCs w:val="28"/>
          <w:lang w:val="ru-RU" w:eastAsia="uk-UA"/>
        </w:rPr>
      </w:pPr>
    </w:p>
    <w:p w:rsidR="0039038D" w:rsidRDefault="008D4FA6">
      <w:pPr>
        <w:spacing w:after="0" w:line="360" w:lineRule="auto"/>
        <w:ind w:firstLine="567"/>
        <w:jc w:val="center"/>
        <w:rPr>
          <w:lang w:eastAsia="uk-UA"/>
        </w:rPr>
      </w:pPr>
      <w:r>
        <w:rPr>
          <w:noProof/>
          <w:lang w:eastAsia="uk-UA"/>
        </w:rPr>
        <w:drawing>
          <wp:inline distT="0" distB="0" distL="0" distR="0">
            <wp:extent cx="5210175" cy="2886075"/>
            <wp:effectExtent l="0" t="0" r="9525" b="9525"/>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B7952" w:rsidRDefault="00DB7952">
      <w:pPr>
        <w:spacing w:after="0" w:line="360" w:lineRule="auto"/>
        <w:ind w:firstLine="567"/>
        <w:jc w:val="center"/>
        <w:rPr>
          <w:lang w:eastAsia="uk-UA"/>
        </w:rPr>
      </w:pPr>
    </w:p>
    <w:p w:rsidR="0039038D" w:rsidRDefault="008D4FA6">
      <w:pPr>
        <w:spacing w:after="0" w:line="360" w:lineRule="auto"/>
        <w:ind w:firstLine="567"/>
        <w:jc w:val="center"/>
        <w:rPr>
          <w:rFonts w:ascii="Times New Roman" w:hAnsi="Times New Roman"/>
          <w:sz w:val="28"/>
          <w:szCs w:val="28"/>
          <w:lang w:eastAsia="uk-UA"/>
        </w:rPr>
      </w:pPr>
      <w:r>
        <w:rPr>
          <w:rFonts w:ascii="Times New Roman" w:hAnsi="Times New Roman"/>
          <w:sz w:val="28"/>
          <w:szCs w:val="28"/>
          <w:lang w:eastAsia="uk-UA"/>
        </w:rPr>
        <w:t>Рисунок 2.11 – Динаміка патентування розробок відносно «додатків»</w:t>
      </w:r>
    </w:p>
    <w:p w:rsidR="0039038D" w:rsidRDefault="008D4FA6">
      <w:pPr>
        <w:spacing w:after="0" w:line="360" w:lineRule="auto"/>
        <w:ind w:firstLine="567"/>
        <w:jc w:val="both"/>
        <w:rPr>
          <w:rFonts w:ascii="Times New Roman" w:hAnsi="Times New Roman"/>
          <w:sz w:val="28"/>
          <w:szCs w:val="28"/>
          <w:lang w:eastAsia="uk-UA"/>
        </w:rPr>
      </w:pPr>
      <w:r>
        <w:rPr>
          <w:rFonts w:ascii="Times New Roman" w:hAnsi="Times New Roman"/>
          <w:sz w:val="28"/>
          <w:szCs w:val="28"/>
          <w:lang w:eastAsia="uk-UA"/>
        </w:rPr>
        <w:lastRenderedPageBreak/>
        <w:t>Причому, патентних документів, пов'язаних з додатками в 2019 році опубліковано більше, ніж розробок пов'язаних, з аутентифікацією (рис. 2.12), кількість яких лише трохи більше, ніж в 2018 році.</w:t>
      </w:r>
    </w:p>
    <w:p w:rsidR="0039038D" w:rsidRDefault="0039038D">
      <w:pPr>
        <w:spacing w:after="0" w:line="360" w:lineRule="auto"/>
        <w:ind w:firstLine="567"/>
        <w:jc w:val="both"/>
        <w:rPr>
          <w:rFonts w:ascii="Times New Roman" w:hAnsi="Times New Roman"/>
          <w:sz w:val="28"/>
          <w:szCs w:val="28"/>
          <w:lang w:eastAsia="uk-UA"/>
        </w:rPr>
      </w:pPr>
    </w:p>
    <w:p w:rsidR="0039038D" w:rsidRDefault="008D4FA6">
      <w:pPr>
        <w:spacing w:after="0" w:line="360" w:lineRule="auto"/>
        <w:ind w:firstLine="567"/>
        <w:jc w:val="center"/>
        <w:rPr>
          <w:lang w:eastAsia="uk-UA"/>
        </w:rPr>
      </w:pPr>
      <w:r>
        <w:rPr>
          <w:noProof/>
          <w:lang w:eastAsia="uk-UA"/>
        </w:rPr>
        <w:drawing>
          <wp:inline distT="0" distB="0" distL="0" distR="0">
            <wp:extent cx="5267325" cy="3476625"/>
            <wp:effectExtent l="0" t="0" r="9525" b="952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B7952" w:rsidRDefault="00DB7952">
      <w:pPr>
        <w:spacing w:after="0" w:line="360" w:lineRule="auto"/>
        <w:ind w:firstLine="567"/>
        <w:jc w:val="center"/>
        <w:rPr>
          <w:lang w:eastAsia="uk-UA"/>
        </w:rPr>
      </w:pPr>
    </w:p>
    <w:p w:rsidR="0039038D" w:rsidRDefault="008D4FA6">
      <w:pPr>
        <w:spacing w:after="0" w:line="360" w:lineRule="auto"/>
        <w:ind w:firstLine="567"/>
        <w:jc w:val="center"/>
        <w:rPr>
          <w:rFonts w:ascii="Times New Roman" w:hAnsi="Times New Roman"/>
          <w:sz w:val="28"/>
          <w:szCs w:val="28"/>
          <w:lang w:eastAsia="uk-UA"/>
        </w:rPr>
      </w:pPr>
      <w:r>
        <w:rPr>
          <w:rFonts w:ascii="Times New Roman" w:hAnsi="Times New Roman"/>
          <w:sz w:val="28"/>
          <w:szCs w:val="28"/>
          <w:lang w:eastAsia="uk-UA"/>
        </w:rPr>
        <w:t xml:space="preserve">Рисунок 2.12 – </w:t>
      </w:r>
      <w:r>
        <w:rPr>
          <w:rFonts w:ascii="Times New Roman" w:hAnsi="Times New Roman"/>
          <w:sz w:val="28"/>
          <w:szCs w:val="28"/>
          <w:lang w:val="ru-RU" w:eastAsia="uk-UA"/>
        </w:rPr>
        <w:t>Тенденц</w:t>
      </w:r>
      <w:r>
        <w:rPr>
          <w:rFonts w:ascii="Times New Roman" w:hAnsi="Times New Roman"/>
          <w:sz w:val="28"/>
          <w:szCs w:val="28"/>
          <w:lang w:eastAsia="uk-UA"/>
        </w:rPr>
        <w:t>ії патентування розробок відносносно «аутентифікації»</w:t>
      </w:r>
    </w:p>
    <w:p w:rsidR="0039038D" w:rsidRDefault="0039038D">
      <w:pPr>
        <w:spacing w:after="0" w:line="360" w:lineRule="auto"/>
        <w:ind w:firstLine="567"/>
        <w:jc w:val="center"/>
        <w:rPr>
          <w:rFonts w:ascii="Times New Roman" w:hAnsi="Times New Roman"/>
          <w:sz w:val="28"/>
          <w:szCs w:val="28"/>
          <w:lang w:eastAsia="uk-UA"/>
        </w:rPr>
      </w:pPr>
    </w:p>
    <w:p w:rsidR="00DB7952" w:rsidRDefault="008D4FA6">
      <w:pPr>
        <w:spacing w:after="0" w:line="360" w:lineRule="auto"/>
        <w:ind w:firstLine="567"/>
        <w:jc w:val="both"/>
        <w:rPr>
          <w:rFonts w:ascii="Times New Roman" w:hAnsi="Times New Roman"/>
          <w:sz w:val="28"/>
          <w:szCs w:val="28"/>
          <w:lang w:eastAsia="uk-UA"/>
        </w:rPr>
      </w:pPr>
      <w:r>
        <w:rPr>
          <w:rFonts w:ascii="Times New Roman" w:hAnsi="Times New Roman"/>
          <w:sz w:val="28"/>
          <w:szCs w:val="28"/>
          <w:lang w:eastAsia="uk-UA"/>
        </w:rPr>
        <w:t xml:space="preserve">Варто зазначити, що відносно способів аутентифікації розробки почалися вже в 2015 році, де було випущено два перших патентних документа. </w:t>
      </w:r>
    </w:p>
    <w:p w:rsidR="0039038D" w:rsidRDefault="008D4FA6">
      <w:pPr>
        <w:spacing w:after="0" w:line="360" w:lineRule="auto"/>
        <w:ind w:firstLine="567"/>
        <w:jc w:val="both"/>
        <w:rPr>
          <w:rFonts w:ascii="Times New Roman" w:hAnsi="Times New Roman"/>
          <w:sz w:val="28"/>
          <w:szCs w:val="28"/>
          <w:lang w:eastAsia="uk-UA"/>
        </w:rPr>
      </w:pPr>
      <w:r>
        <w:rPr>
          <w:rFonts w:ascii="Times New Roman" w:hAnsi="Times New Roman"/>
          <w:sz w:val="28"/>
          <w:szCs w:val="28"/>
          <w:lang w:eastAsia="uk-UA"/>
        </w:rPr>
        <w:t>На "конвеєр" публікація патенту документів була поставлена в 2018–2019 роки, де відзначається різке зростання.</w:t>
      </w:r>
    </w:p>
    <w:p w:rsidR="00DB7952"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Лідером серед країн в контексті патентування своїх розробок в сфері Blockchain–технологій є Китай. Не останню роль в цьому відіграли компаніъ Alibaba та </w:t>
      </w:r>
      <w:r>
        <w:rPr>
          <w:rFonts w:ascii="Times New Roman" w:hAnsi="Times New Roman"/>
          <w:sz w:val="28"/>
          <w:szCs w:val="28"/>
          <w:lang w:val="en-US"/>
        </w:rPr>
        <w:t>Nchain</w:t>
      </w:r>
      <w:r>
        <w:rPr>
          <w:rFonts w:ascii="Times New Roman" w:hAnsi="Times New Roman"/>
          <w:sz w:val="28"/>
          <w:szCs w:val="28"/>
        </w:rPr>
        <w:t xml:space="preserve"> (харакетристика яких буде наведена трохи нижче), для яких в 2019 році розробки відносно технології </w:t>
      </w:r>
      <w:r>
        <w:rPr>
          <w:rFonts w:ascii="Times New Roman" w:hAnsi="Times New Roman"/>
          <w:sz w:val="28"/>
          <w:szCs w:val="28"/>
          <w:lang w:val="en-US"/>
        </w:rPr>
        <w:t>Blockchain</w:t>
      </w:r>
      <w:r>
        <w:rPr>
          <w:rFonts w:ascii="Times New Roman" w:hAnsi="Times New Roman"/>
          <w:sz w:val="28"/>
          <w:szCs w:val="28"/>
        </w:rPr>
        <w:t xml:space="preserve"> стали неймовірно важливим напрямком. </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rPr>
        <w:t>Динаміка патентування власних розробок</w:t>
      </w:r>
      <w:r>
        <w:rPr>
          <w:rFonts w:ascii="Times New Roman" w:hAnsi="Times New Roman"/>
          <w:sz w:val="28"/>
          <w:szCs w:val="28"/>
          <w:lang w:val="ru-RU"/>
        </w:rPr>
        <w:t xml:space="preserve"> в Китаї</w:t>
      </w:r>
      <w:r>
        <w:rPr>
          <w:rFonts w:ascii="Times New Roman" w:hAnsi="Times New Roman"/>
          <w:sz w:val="28"/>
          <w:szCs w:val="28"/>
        </w:rPr>
        <w:t xml:space="preserve"> відносно технології </w:t>
      </w:r>
      <w:r>
        <w:rPr>
          <w:rFonts w:ascii="Times New Roman" w:hAnsi="Times New Roman"/>
          <w:sz w:val="28"/>
          <w:szCs w:val="28"/>
          <w:lang w:val="en-US"/>
        </w:rPr>
        <w:t>Blockchain</w:t>
      </w:r>
      <w:r>
        <w:rPr>
          <w:rFonts w:ascii="Times New Roman" w:hAnsi="Times New Roman"/>
          <w:sz w:val="28"/>
          <w:szCs w:val="28"/>
          <w:lang w:val="ru-RU"/>
        </w:rPr>
        <w:t xml:space="preserve"> </w:t>
      </w:r>
      <w:r>
        <w:rPr>
          <w:rFonts w:ascii="Times New Roman" w:hAnsi="Times New Roman"/>
          <w:sz w:val="28"/>
          <w:szCs w:val="28"/>
        </w:rPr>
        <w:t>наведено на рисунку 2.13.</w:t>
      </w:r>
      <w:r>
        <w:rPr>
          <w:rFonts w:ascii="Times New Roman" w:hAnsi="Times New Roman"/>
          <w:sz w:val="28"/>
          <w:szCs w:val="28"/>
          <w:lang w:val="ru-RU"/>
        </w:rPr>
        <w:t xml:space="preserve"> </w:t>
      </w:r>
    </w:p>
    <w:p w:rsidR="0039038D" w:rsidRDefault="0039038D">
      <w:pPr>
        <w:spacing w:after="0" w:line="360" w:lineRule="auto"/>
        <w:ind w:firstLine="567"/>
        <w:jc w:val="both"/>
        <w:rPr>
          <w:rFonts w:ascii="Times New Roman" w:hAnsi="Times New Roman"/>
          <w:sz w:val="28"/>
          <w:szCs w:val="28"/>
          <w:lang w:val="ru-RU"/>
        </w:rPr>
      </w:pPr>
    </w:p>
    <w:p w:rsidR="0039038D" w:rsidRDefault="008D4FA6">
      <w:pPr>
        <w:spacing w:after="0" w:line="360" w:lineRule="auto"/>
        <w:ind w:firstLine="567"/>
        <w:jc w:val="center"/>
        <w:rPr>
          <w:rFonts w:ascii="Times New Roman" w:hAnsi="Times New Roman"/>
          <w:sz w:val="28"/>
          <w:szCs w:val="28"/>
        </w:rPr>
      </w:pPr>
      <w:r>
        <w:rPr>
          <w:noProof/>
          <w:lang w:eastAsia="uk-UA"/>
        </w:rPr>
        <w:lastRenderedPageBreak/>
        <w:drawing>
          <wp:inline distT="0" distB="0" distL="0" distR="0">
            <wp:extent cx="5010150" cy="3076575"/>
            <wp:effectExtent l="0" t="0" r="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39038D" w:rsidRDefault="008D4FA6">
      <w:pPr>
        <w:spacing w:after="0" w:line="360" w:lineRule="auto"/>
        <w:ind w:firstLine="567"/>
        <w:jc w:val="center"/>
        <w:rPr>
          <w:rFonts w:ascii="Times New Roman" w:hAnsi="Times New Roman"/>
          <w:sz w:val="28"/>
          <w:szCs w:val="28"/>
        </w:rPr>
      </w:pPr>
      <w:r>
        <w:rPr>
          <w:rFonts w:ascii="Times New Roman" w:hAnsi="Times New Roman"/>
          <w:sz w:val="28"/>
          <w:szCs w:val="28"/>
        </w:rPr>
        <w:t>Рисунок 2.13 – Динаміка патентування за роками в Китаю</w:t>
      </w:r>
    </w:p>
    <w:p w:rsidR="0039038D" w:rsidRDefault="0039038D">
      <w:pPr>
        <w:spacing w:after="0" w:line="360" w:lineRule="auto"/>
        <w:ind w:firstLine="567"/>
        <w:jc w:val="both"/>
        <w:rPr>
          <w:rFonts w:ascii="Times New Roman" w:hAnsi="Times New Roman"/>
          <w:sz w:val="28"/>
          <w:szCs w:val="28"/>
        </w:rPr>
      </w:pP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Однак, судячи з динаміки, різкий темп патентування починається з 2017 року. І за 2018 рік у цій країні патентних документів налічує</w:t>
      </w:r>
      <w:r>
        <w:rPr>
          <w:rFonts w:ascii="Times New Roman" w:hAnsi="Times New Roman"/>
          <w:sz w:val="28"/>
          <w:szCs w:val="28"/>
          <w:lang w:val="ru-RU"/>
        </w:rPr>
        <w:t>ться</w:t>
      </w:r>
      <w:r>
        <w:rPr>
          <w:rFonts w:ascii="Times New Roman" w:hAnsi="Times New Roman"/>
          <w:sz w:val="28"/>
          <w:szCs w:val="28"/>
        </w:rPr>
        <w:t xml:space="preserve"> максимальна кількість (810), але в 2019 році проглядається регрес і скорочення на 33% (до 532, станом на 01.12.19).</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Влада Китаю виділяє величезні кошти для вивчення можливостей Blockchain в умовах сучасної економічної системи. Більш того, в Китаї створено спеціальний фонд, який займеться інвестуванням перспективних Blockchain–інновацій.</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США втратило свої позиції, але Американський уряд виділив близько 1 мільйона доларів на просування технологічної компанії DigitalBazaar, яка займеться розробкою спеціалізованих Blockchain, спрямованих на ідентифікацію та перевірку особистих даних. </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Випередження Китаю за загальною кількістю патентних документів не пов'язане безпосередньо з згасанням інтересу з боку США по відношенню до технології блокчейн, що відображено на рисунку 2.14. Аналізуючи його, варто виділити, </w:t>
      </w:r>
      <w:r w:rsidR="00DB7952">
        <w:rPr>
          <w:rFonts w:ascii="Times New Roman" w:hAnsi="Times New Roman"/>
          <w:sz w:val="28"/>
          <w:szCs w:val="28"/>
        </w:rPr>
        <w:t>регулярний</w:t>
      </w:r>
      <w:r>
        <w:rPr>
          <w:rFonts w:ascii="Times New Roman" w:hAnsi="Times New Roman"/>
          <w:sz w:val="28"/>
          <w:szCs w:val="28"/>
        </w:rPr>
        <w:t xml:space="preserve"> розвиток патентних документів щодо технології і зацікавленість в них з боку найбільших компаній.</w:t>
      </w:r>
    </w:p>
    <w:p w:rsidR="0039038D" w:rsidRDefault="0039038D">
      <w:pPr>
        <w:spacing w:after="0" w:line="360" w:lineRule="auto"/>
        <w:ind w:firstLine="567"/>
        <w:jc w:val="both"/>
        <w:rPr>
          <w:rFonts w:ascii="Times New Roman" w:hAnsi="Times New Roman"/>
          <w:sz w:val="28"/>
          <w:szCs w:val="28"/>
        </w:rPr>
      </w:pPr>
    </w:p>
    <w:p w:rsidR="0039038D" w:rsidRDefault="008D4FA6">
      <w:pPr>
        <w:spacing w:after="0" w:line="360" w:lineRule="auto"/>
        <w:ind w:firstLine="567"/>
        <w:jc w:val="center"/>
        <w:rPr>
          <w:rFonts w:ascii="Times New Roman" w:hAnsi="Times New Roman"/>
          <w:sz w:val="28"/>
          <w:szCs w:val="28"/>
        </w:rPr>
      </w:pPr>
      <w:r>
        <w:rPr>
          <w:noProof/>
          <w:lang w:eastAsia="uk-UA"/>
        </w:rPr>
        <w:lastRenderedPageBreak/>
        <w:drawing>
          <wp:inline distT="0" distB="0" distL="0" distR="0">
            <wp:extent cx="5276850" cy="2733675"/>
            <wp:effectExtent l="0" t="0" r="0" b="9525"/>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39038D" w:rsidRDefault="008D4FA6">
      <w:pPr>
        <w:spacing w:after="0" w:line="360" w:lineRule="auto"/>
        <w:ind w:firstLine="567"/>
        <w:jc w:val="center"/>
        <w:rPr>
          <w:rFonts w:ascii="Times New Roman" w:hAnsi="Times New Roman"/>
          <w:sz w:val="28"/>
          <w:szCs w:val="28"/>
        </w:rPr>
      </w:pPr>
      <w:r>
        <w:rPr>
          <w:rFonts w:ascii="Times New Roman" w:hAnsi="Times New Roman"/>
          <w:sz w:val="28"/>
          <w:szCs w:val="28"/>
          <w:lang w:val="ru-RU"/>
        </w:rPr>
        <w:t>Рисунок 2.14 – Дина</w:t>
      </w:r>
      <w:r>
        <w:rPr>
          <w:rFonts w:ascii="Times New Roman" w:hAnsi="Times New Roman"/>
          <w:sz w:val="28"/>
          <w:szCs w:val="28"/>
        </w:rPr>
        <w:t>міка патентування в США</w:t>
      </w:r>
    </w:p>
    <w:p w:rsidR="0039038D" w:rsidRDefault="0039038D">
      <w:pPr>
        <w:spacing w:after="0" w:line="360" w:lineRule="auto"/>
        <w:ind w:firstLine="567"/>
        <w:jc w:val="center"/>
        <w:rPr>
          <w:rFonts w:ascii="Times New Roman" w:hAnsi="Times New Roman"/>
          <w:sz w:val="28"/>
          <w:szCs w:val="28"/>
        </w:rPr>
      </w:pPr>
    </w:p>
    <w:p w:rsidR="0039038D" w:rsidRDefault="002015CE">
      <w:pPr>
        <w:spacing w:after="0" w:line="360" w:lineRule="auto"/>
        <w:ind w:firstLine="567"/>
        <w:jc w:val="both"/>
        <w:rPr>
          <w:rFonts w:ascii="Times New Roman" w:hAnsi="Times New Roman"/>
          <w:sz w:val="28"/>
          <w:szCs w:val="28"/>
        </w:rPr>
      </w:pPr>
      <w:r>
        <w:rPr>
          <w:rFonts w:ascii="Times New Roman" w:hAnsi="Times New Roman"/>
          <w:sz w:val="28"/>
          <w:szCs w:val="28"/>
        </w:rPr>
        <w:t xml:space="preserve">Країна </w:t>
      </w:r>
      <w:r w:rsidR="008D4FA6">
        <w:rPr>
          <w:rFonts w:ascii="Times New Roman" w:hAnsi="Times New Roman"/>
          <w:sz w:val="28"/>
          <w:szCs w:val="28"/>
        </w:rPr>
        <w:t xml:space="preserve"> відома своїми швидкими темпами захоплення статусу "монополіста" по відношенню до нових розробок. Звичайно, боротьба на сьогоднішній день з азіатськими конкурентами регулярно набирає обертів, але для європейського ринку методи, системи, додатки, які пов'язані з Америкою є кращими.</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Динаміка патентування, згідно інформацією з бази даних </w:t>
      </w:r>
      <w:r>
        <w:rPr>
          <w:rFonts w:ascii="Times New Roman" w:hAnsi="Times New Roman"/>
          <w:sz w:val="28"/>
          <w:szCs w:val="28"/>
          <w:lang w:val="en-US"/>
        </w:rPr>
        <w:t>Patentscope</w:t>
      </w:r>
      <w:r>
        <w:rPr>
          <w:rFonts w:ascii="Times New Roman" w:hAnsi="Times New Roman"/>
          <w:sz w:val="28"/>
          <w:szCs w:val="28"/>
        </w:rPr>
        <w:t xml:space="preserve"> наведено на рисунку 2.15.</w:t>
      </w:r>
    </w:p>
    <w:p w:rsidR="0039038D" w:rsidRDefault="0039038D">
      <w:pPr>
        <w:spacing w:after="0" w:line="360" w:lineRule="auto"/>
        <w:ind w:firstLine="567"/>
        <w:jc w:val="both"/>
        <w:rPr>
          <w:rFonts w:ascii="Times New Roman" w:hAnsi="Times New Roman"/>
          <w:sz w:val="28"/>
          <w:szCs w:val="28"/>
        </w:rPr>
      </w:pPr>
    </w:p>
    <w:p w:rsidR="0039038D" w:rsidRDefault="008D4FA6">
      <w:pPr>
        <w:spacing w:after="0" w:line="360" w:lineRule="auto"/>
        <w:ind w:firstLine="567"/>
        <w:jc w:val="center"/>
        <w:rPr>
          <w:rFonts w:ascii="Times New Roman" w:hAnsi="Times New Roman"/>
          <w:sz w:val="28"/>
          <w:szCs w:val="28"/>
        </w:rPr>
      </w:pPr>
      <w:r>
        <w:rPr>
          <w:noProof/>
          <w:lang w:eastAsia="uk-UA"/>
        </w:rPr>
        <w:drawing>
          <wp:inline distT="0" distB="0" distL="0" distR="0">
            <wp:extent cx="4295775" cy="3048000"/>
            <wp:effectExtent l="0" t="0" r="9525"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2015CE" w:rsidRDefault="002015CE">
      <w:pPr>
        <w:spacing w:after="0" w:line="360" w:lineRule="auto"/>
        <w:ind w:firstLine="567"/>
        <w:jc w:val="center"/>
        <w:rPr>
          <w:rFonts w:ascii="Times New Roman" w:hAnsi="Times New Roman"/>
          <w:sz w:val="28"/>
          <w:szCs w:val="28"/>
        </w:rPr>
      </w:pPr>
    </w:p>
    <w:p w:rsidR="0039038D" w:rsidRDefault="008D4FA6">
      <w:pPr>
        <w:spacing w:after="0" w:line="360" w:lineRule="auto"/>
        <w:ind w:firstLine="567"/>
        <w:jc w:val="center"/>
        <w:rPr>
          <w:rFonts w:ascii="Times New Roman" w:hAnsi="Times New Roman"/>
          <w:sz w:val="28"/>
          <w:szCs w:val="28"/>
          <w:lang w:val="ru-RU"/>
        </w:rPr>
      </w:pPr>
      <w:r>
        <w:rPr>
          <w:rFonts w:ascii="Times New Roman" w:hAnsi="Times New Roman"/>
          <w:sz w:val="28"/>
          <w:szCs w:val="28"/>
        </w:rPr>
        <w:t>Рисунок 2.15 – Динаміка патентування в США (</w:t>
      </w:r>
      <w:r>
        <w:rPr>
          <w:rFonts w:ascii="Times New Roman" w:hAnsi="Times New Roman"/>
          <w:sz w:val="28"/>
          <w:szCs w:val="28"/>
          <w:lang w:val="en-US"/>
        </w:rPr>
        <w:t>Patentscope</w:t>
      </w:r>
      <w:r>
        <w:rPr>
          <w:rFonts w:ascii="Times New Roman" w:hAnsi="Times New Roman"/>
          <w:sz w:val="28"/>
          <w:szCs w:val="28"/>
          <w:lang w:val="ru-RU"/>
        </w:rPr>
        <w:t>)</w:t>
      </w:r>
    </w:p>
    <w:p w:rsidR="0039038D" w:rsidRDefault="0039038D">
      <w:pPr>
        <w:spacing w:after="0" w:line="360" w:lineRule="auto"/>
        <w:ind w:firstLine="567"/>
        <w:jc w:val="center"/>
        <w:rPr>
          <w:rFonts w:ascii="Times New Roman" w:hAnsi="Times New Roman"/>
          <w:sz w:val="28"/>
          <w:szCs w:val="28"/>
          <w:lang w:val="ru-RU"/>
        </w:rPr>
      </w:pPr>
    </w:p>
    <w:p w:rsidR="0039038D" w:rsidRDefault="008D4FA6">
      <w:pPr>
        <w:spacing w:after="0" w:line="360" w:lineRule="auto"/>
        <w:ind w:firstLine="567"/>
        <w:jc w:val="both"/>
        <w:rPr>
          <w:rFonts w:ascii="Times New Roman" w:hAnsi="Times New Roman"/>
          <w:sz w:val="28"/>
          <w:szCs w:val="28"/>
          <w:lang w:val="ru-RU" w:eastAsia="uk-UA"/>
        </w:rPr>
      </w:pPr>
      <w:r>
        <w:rPr>
          <w:rFonts w:ascii="Times New Roman" w:hAnsi="Times New Roman"/>
          <w:sz w:val="28"/>
          <w:szCs w:val="28"/>
          <w:lang w:val="ru-RU" w:eastAsia="uk-UA"/>
        </w:rPr>
        <w:lastRenderedPageBreak/>
        <w:t>Тенденція до збільшення кількості розробок в цьому напрямку вказує на те, що американський ринок зацікавлений до подальшого розвитку технології. Цікаво, що в рамках США немає явної переваги щодо формату розробок. Це і додатки, і способи, і методи роботи в системах.</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rPr>
        <w:t xml:space="preserve">Цікаво, що </w:t>
      </w:r>
      <w:r>
        <w:rPr>
          <w:rFonts w:ascii="Times New Roman" w:hAnsi="Times New Roman"/>
          <w:sz w:val="28"/>
          <w:szCs w:val="28"/>
          <w:lang w:val="ru-RU"/>
        </w:rPr>
        <w:t>на частку компанії ІВМ припадає більше половини від загального числа патентних документів, що означає фактичну монополію на багатьох напрямках в розробках.</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Ймовірно, у найближчимй часом, дана тенденція не буде простежуватися, тому що компанія починає втрачати позиції, щодо основних конкурентів, але саме щодо кількісного показника, так як в якісному все знаходиться на вищому рівні.</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Про те, що різкий розвиток ця технологія отримала лише за останні два роки, свідчить і інформація про статус патентів заявок. Адже більше 80% від загальної кількості документів, ще не мають статус повноцінного патенту (рис. 2.16).</w:t>
      </w:r>
    </w:p>
    <w:p w:rsidR="0039038D" w:rsidRDefault="0039038D">
      <w:pPr>
        <w:spacing w:after="0" w:line="360" w:lineRule="auto"/>
        <w:ind w:firstLine="567"/>
        <w:jc w:val="both"/>
        <w:rPr>
          <w:rFonts w:ascii="Times New Roman" w:hAnsi="Times New Roman"/>
          <w:sz w:val="28"/>
          <w:szCs w:val="28"/>
          <w:lang w:val="ru-RU"/>
        </w:rPr>
      </w:pPr>
    </w:p>
    <w:p w:rsidR="0039038D" w:rsidRDefault="008D4FA6">
      <w:pPr>
        <w:spacing w:after="0" w:line="360" w:lineRule="auto"/>
        <w:ind w:firstLine="567"/>
        <w:jc w:val="center"/>
        <w:rPr>
          <w:lang w:eastAsia="uk-UA"/>
        </w:rPr>
      </w:pPr>
      <w:r>
        <w:rPr>
          <w:noProof/>
          <w:lang w:eastAsia="uk-UA"/>
        </w:rPr>
        <w:drawing>
          <wp:inline distT="0" distB="0" distL="0" distR="0">
            <wp:extent cx="4314825" cy="2486025"/>
            <wp:effectExtent l="0" t="0" r="9525" b="9525"/>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015CE" w:rsidRDefault="002015CE">
      <w:pPr>
        <w:spacing w:after="0" w:line="360" w:lineRule="auto"/>
        <w:ind w:firstLine="567"/>
        <w:jc w:val="center"/>
        <w:rPr>
          <w:lang w:eastAsia="uk-UA"/>
        </w:rPr>
      </w:pPr>
    </w:p>
    <w:p w:rsidR="0039038D" w:rsidRDefault="008D4FA6">
      <w:pPr>
        <w:spacing w:after="0" w:line="360" w:lineRule="auto"/>
        <w:ind w:firstLine="567"/>
        <w:jc w:val="center"/>
        <w:rPr>
          <w:rFonts w:ascii="Times New Roman" w:hAnsi="Times New Roman"/>
          <w:sz w:val="28"/>
          <w:szCs w:val="28"/>
          <w:lang w:eastAsia="uk-UA"/>
        </w:rPr>
      </w:pPr>
      <w:r>
        <w:rPr>
          <w:rFonts w:ascii="Times New Roman" w:hAnsi="Times New Roman"/>
          <w:sz w:val="28"/>
          <w:szCs w:val="28"/>
          <w:lang w:eastAsia="uk-UA"/>
        </w:rPr>
        <w:t>Рисунок 2.16 – Види патентних документів США</w:t>
      </w:r>
    </w:p>
    <w:p w:rsidR="0039038D" w:rsidRDefault="0039038D">
      <w:pPr>
        <w:spacing w:after="0" w:line="360" w:lineRule="auto"/>
        <w:ind w:firstLine="567"/>
        <w:jc w:val="center"/>
        <w:rPr>
          <w:rFonts w:ascii="Times New Roman" w:hAnsi="Times New Roman"/>
          <w:sz w:val="28"/>
          <w:szCs w:val="28"/>
          <w:lang w:eastAsia="uk-UA"/>
        </w:rPr>
      </w:pP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З загальної кількості патентів, виданих в США 870 має статус «Заявка на патент», 148 «Отриманий патент».</w:t>
      </w:r>
    </w:p>
    <w:p w:rsidR="0039038D" w:rsidRDefault="008D4FA6" w:rsidP="002015CE">
      <w:pPr>
        <w:spacing w:after="0" w:line="360" w:lineRule="auto"/>
        <w:ind w:firstLine="567"/>
        <w:jc w:val="both"/>
        <w:rPr>
          <w:rFonts w:ascii="Times New Roman" w:hAnsi="Times New Roman"/>
          <w:sz w:val="28"/>
          <w:szCs w:val="28"/>
        </w:rPr>
      </w:pPr>
      <w:r>
        <w:rPr>
          <w:rFonts w:ascii="Times New Roman" w:hAnsi="Times New Roman"/>
          <w:sz w:val="28"/>
          <w:szCs w:val="28"/>
        </w:rPr>
        <w:t>Далі розглянемо розподіл провідних компаній та інтенсивність патентування в цьому напрямку в США (рис. 2.17).</w:t>
      </w:r>
    </w:p>
    <w:p w:rsidR="0039038D" w:rsidRDefault="008D4FA6">
      <w:pPr>
        <w:spacing w:after="0" w:line="360" w:lineRule="auto"/>
        <w:ind w:firstLine="567"/>
        <w:jc w:val="center"/>
        <w:rPr>
          <w:rFonts w:ascii="Times New Roman" w:hAnsi="Times New Roman"/>
          <w:sz w:val="28"/>
          <w:szCs w:val="28"/>
        </w:rPr>
      </w:pPr>
      <w:r>
        <w:rPr>
          <w:noProof/>
          <w:lang w:eastAsia="uk-UA"/>
        </w:rPr>
        <w:lastRenderedPageBreak/>
        <w:drawing>
          <wp:inline distT="0" distB="0" distL="0" distR="0">
            <wp:extent cx="5724525" cy="3724275"/>
            <wp:effectExtent l="0" t="0" r="9525" b="9525"/>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2015CE" w:rsidRDefault="002015CE">
      <w:pPr>
        <w:spacing w:after="0" w:line="360" w:lineRule="auto"/>
        <w:ind w:firstLine="567"/>
        <w:jc w:val="center"/>
        <w:rPr>
          <w:rFonts w:ascii="Times New Roman" w:hAnsi="Times New Roman"/>
          <w:sz w:val="28"/>
          <w:szCs w:val="28"/>
        </w:rPr>
      </w:pPr>
    </w:p>
    <w:p w:rsidR="0039038D" w:rsidRDefault="008D4FA6">
      <w:pPr>
        <w:spacing w:after="0" w:line="360" w:lineRule="auto"/>
        <w:ind w:firstLine="567"/>
        <w:jc w:val="center"/>
        <w:rPr>
          <w:rFonts w:ascii="Times New Roman" w:hAnsi="Times New Roman"/>
          <w:sz w:val="28"/>
          <w:szCs w:val="28"/>
          <w:lang w:eastAsia="uk-UA"/>
        </w:rPr>
      </w:pPr>
      <w:r>
        <w:rPr>
          <w:rFonts w:ascii="Times New Roman" w:hAnsi="Times New Roman"/>
          <w:sz w:val="28"/>
          <w:szCs w:val="28"/>
          <w:lang w:eastAsia="uk-UA"/>
        </w:rPr>
        <w:t>Рисунок 2.17 – Компанії–лідери по кількості патентних заявок</w:t>
      </w:r>
    </w:p>
    <w:p w:rsidR="002015CE" w:rsidRDefault="002015CE">
      <w:pPr>
        <w:spacing w:after="0" w:line="360" w:lineRule="auto"/>
        <w:ind w:firstLine="567"/>
        <w:jc w:val="center"/>
        <w:rPr>
          <w:rFonts w:ascii="Times New Roman" w:hAnsi="Times New Roman"/>
          <w:sz w:val="28"/>
          <w:szCs w:val="28"/>
          <w:lang w:eastAsia="uk-UA"/>
        </w:rPr>
      </w:pP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З діаграми стає зрозумілим, що найбільшу кількість патентних заявок в США подали компанії у галузі IT–технологій (IBM) та платіжні системи (Mastercard).</w:t>
      </w:r>
    </w:p>
    <w:p w:rsidR="002015CE"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У США лідируючі класи МПК істотно відрізняються від загальних тенденцій розвитку. Найбільша кількість патентних документів припало на розробки, пов'язані з кодуванням інформації та захисту даних в системі. </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Американські компанії є лідерами в цьому напрямку незалежно від технологій, так як саме їх ІТ–фірми.</w:t>
      </w:r>
    </w:p>
    <w:p w:rsidR="002015CE"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До патентних документів, пов'язаних з оплатою (G06Q20/38) відноситься близько 17% патентних документів, що свідчить про прогрес у цьому напрямку. </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В цьому напрямку найбільший скарб зробила платіжна система Mastercard на яку пріподает 22 патентних документа. </w:t>
      </w:r>
      <w:r>
        <w:rPr>
          <w:rFonts w:ascii="Times New Roman" w:hAnsi="Times New Roman"/>
          <w:sz w:val="28"/>
          <w:szCs w:val="28"/>
          <w:lang w:val="en-US"/>
        </w:rPr>
        <w:t>IBM</w:t>
      </w:r>
      <w:r>
        <w:rPr>
          <w:rFonts w:ascii="Times New Roman" w:hAnsi="Times New Roman"/>
          <w:sz w:val="28"/>
          <w:szCs w:val="28"/>
          <w:lang w:val="ru-RU"/>
        </w:rPr>
        <w:t xml:space="preserve"> в свою чергу не дивлячись на "гегемонію" на ринку Блокечейна в США займає лише друге місце з 18 заявками.</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Основні підкласи МПК в яких подаються заявки на отримання патенту в США зображено на рисунку 2.18.</w:t>
      </w:r>
    </w:p>
    <w:p w:rsidR="0039038D" w:rsidRDefault="0039038D">
      <w:pPr>
        <w:spacing w:after="0" w:line="360" w:lineRule="auto"/>
        <w:jc w:val="center"/>
        <w:rPr>
          <w:rFonts w:ascii="Times New Roman" w:hAnsi="Times New Roman"/>
          <w:sz w:val="28"/>
          <w:szCs w:val="28"/>
          <w:lang w:val="ru-RU"/>
        </w:rPr>
      </w:pPr>
    </w:p>
    <w:p w:rsidR="0039038D" w:rsidRDefault="008D4FA6">
      <w:pPr>
        <w:spacing w:after="0" w:line="360" w:lineRule="auto"/>
        <w:jc w:val="center"/>
        <w:rPr>
          <w:rFonts w:ascii="Times New Roman" w:hAnsi="Times New Roman"/>
          <w:sz w:val="28"/>
          <w:szCs w:val="28"/>
        </w:rPr>
      </w:pPr>
      <w:r>
        <w:rPr>
          <w:noProof/>
          <w:lang w:eastAsia="uk-UA"/>
        </w:rPr>
        <w:lastRenderedPageBreak/>
        <w:drawing>
          <wp:inline distT="0" distB="0" distL="0" distR="0">
            <wp:extent cx="4895850" cy="3133725"/>
            <wp:effectExtent l="0" t="0" r="0" b="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2015CE" w:rsidRDefault="002015CE">
      <w:pPr>
        <w:spacing w:after="0" w:line="360" w:lineRule="auto"/>
        <w:jc w:val="center"/>
        <w:rPr>
          <w:rFonts w:ascii="Times New Roman" w:hAnsi="Times New Roman"/>
          <w:sz w:val="28"/>
          <w:szCs w:val="28"/>
        </w:rPr>
      </w:pPr>
    </w:p>
    <w:p w:rsidR="0039038D" w:rsidRDefault="008D4FA6">
      <w:pPr>
        <w:spacing w:after="0" w:line="360" w:lineRule="auto"/>
        <w:jc w:val="center"/>
        <w:rPr>
          <w:rFonts w:ascii="Times New Roman" w:hAnsi="Times New Roman"/>
          <w:sz w:val="28"/>
          <w:szCs w:val="28"/>
        </w:rPr>
      </w:pPr>
      <w:r>
        <w:rPr>
          <w:rFonts w:ascii="Times New Roman" w:hAnsi="Times New Roman"/>
          <w:sz w:val="28"/>
          <w:szCs w:val="28"/>
        </w:rPr>
        <w:t>Рисунок 2.18 – Основні підкласи МПК в США</w:t>
      </w:r>
    </w:p>
    <w:p w:rsidR="0039038D" w:rsidRDefault="0039038D">
      <w:pPr>
        <w:spacing w:after="0" w:line="360" w:lineRule="auto"/>
        <w:jc w:val="center"/>
        <w:rPr>
          <w:rFonts w:ascii="Times New Roman" w:hAnsi="Times New Roman"/>
          <w:sz w:val="28"/>
          <w:szCs w:val="28"/>
        </w:rPr>
      </w:pP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rPr>
        <w:t>Як вже зазначалося вище, підклас, пов'язаний з кодуванням інформації (</w:t>
      </w:r>
      <w:r>
        <w:rPr>
          <w:rFonts w:ascii="Times New Roman" w:hAnsi="Times New Roman"/>
          <w:sz w:val="28"/>
          <w:szCs w:val="28"/>
          <w:lang w:val="ru-RU"/>
        </w:rPr>
        <w:t>H</w:t>
      </w:r>
      <w:r>
        <w:rPr>
          <w:rFonts w:ascii="Times New Roman" w:hAnsi="Times New Roman"/>
          <w:sz w:val="28"/>
          <w:szCs w:val="28"/>
        </w:rPr>
        <w:t>04</w:t>
      </w:r>
      <w:r>
        <w:rPr>
          <w:rFonts w:ascii="Times New Roman" w:hAnsi="Times New Roman"/>
          <w:sz w:val="28"/>
          <w:szCs w:val="28"/>
          <w:lang w:val="en-US"/>
        </w:rPr>
        <w:t>L</w:t>
      </w:r>
      <w:r>
        <w:rPr>
          <w:rFonts w:ascii="Times New Roman" w:hAnsi="Times New Roman"/>
          <w:sz w:val="28"/>
          <w:szCs w:val="28"/>
        </w:rPr>
        <w:t xml:space="preserve">9/06) займає в США лідируючу позицію. </w:t>
      </w:r>
      <w:r>
        <w:rPr>
          <w:rFonts w:ascii="Times New Roman" w:hAnsi="Times New Roman"/>
          <w:sz w:val="28"/>
          <w:szCs w:val="28"/>
          <w:lang w:val="ru-RU"/>
        </w:rPr>
        <w:t>І саме цей підклас тільки набирає пріоритетність серед розробок провідних американських компаній (рис. 2.19).</w:t>
      </w:r>
    </w:p>
    <w:p w:rsidR="002015CE" w:rsidRDefault="002015CE">
      <w:pPr>
        <w:spacing w:after="0" w:line="360" w:lineRule="auto"/>
        <w:ind w:firstLine="567"/>
        <w:jc w:val="both"/>
        <w:rPr>
          <w:rFonts w:ascii="Times New Roman" w:hAnsi="Times New Roman"/>
          <w:sz w:val="28"/>
          <w:szCs w:val="28"/>
          <w:lang w:val="ru-RU"/>
        </w:rPr>
      </w:pPr>
    </w:p>
    <w:p w:rsidR="0039038D" w:rsidRDefault="008D4FA6">
      <w:pPr>
        <w:spacing w:after="0" w:line="360" w:lineRule="auto"/>
        <w:ind w:firstLine="567"/>
        <w:jc w:val="center"/>
        <w:rPr>
          <w:lang w:eastAsia="uk-UA"/>
        </w:rPr>
      </w:pPr>
      <w:r>
        <w:rPr>
          <w:noProof/>
          <w:lang w:eastAsia="uk-UA"/>
        </w:rPr>
        <w:drawing>
          <wp:inline distT="0" distB="0" distL="0" distR="0">
            <wp:extent cx="4905375" cy="3695700"/>
            <wp:effectExtent l="0" t="0" r="9525" b="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2015CE" w:rsidRDefault="002015CE">
      <w:pPr>
        <w:spacing w:after="0" w:line="360" w:lineRule="auto"/>
        <w:ind w:firstLine="567"/>
        <w:jc w:val="center"/>
        <w:rPr>
          <w:lang w:eastAsia="uk-UA"/>
        </w:rPr>
      </w:pPr>
    </w:p>
    <w:p w:rsidR="0039038D" w:rsidRDefault="008D4FA6">
      <w:pPr>
        <w:spacing w:after="0" w:line="360" w:lineRule="auto"/>
        <w:ind w:firstLine="567"/>
        <w:jc w:val="center"/>
        <w:rPr>
          <w:rFonts w:ascii="Times New Roman" w:hAnsi="Times New Roman"/>
          <w:sz w:val="28"/>
          <w:szCs w:val="28"/>
          <w:lang w:val="ru-RU"/>
        </w:rPr>
      </w:pPr>
      <w:r>
        <w:rPr>
          <w:rFonts w:ascii="Times New Roman" w:hAnsi="Times New Roman"/>
          <w:sz w:val="28"/>
          <w:szCs w:val="28"/>
          <w:lang w:eastAsia="uk-UA"/>
        </w:rPr>
        <w:t>Рисунок 2.19 – Динаміка патентування в США в підкласі</w:t>
      </w:r>
      <w:r>
        <w:rPr>
          <w:rFonts w:ascii="Times New Roman" w:hAnsi="Times New Roman"/>
          <w:sz w:val="28"/>
          <w:szCs w:val="28"/>
          <w:lang w:val="ru-RU" w:eastAsia="uk-UA"/>
        </w:rPr>
        <w:t xml:space="preserve"> </w:t>
      </w:r>
      <w:r>
        <w:rPr>
          <w:rFonts w:ascii="Times New Roman" w:hAnsi="Times New Roman"/>
          <w:sz w:val="28"/>
          <w:szCs w:val="28"/>
          <w:lang w:val="ru-RU"/>
        </w:rPr>
        <w:t>H04</w:t>
      </w:r>
      <w:r>
        <w:rPr>
          <w:rFonts w:ascii="Times New Roman" w:hAnsi="Times New Roman"/>
          <w:sz w:val="28"/>
          <w:szCs w:val="28"/>
          <w:lang w:val="en-US"/>
        </w:rPr>
        <w:t>L</w:t>
      </w:r>
      <w:r>
        <w:rPr>
          <w:rFonts w:ascii="Times New Roman" w:hAnsi="Times New Roman"/>
          <w:sz w:val="28"/>
          <w:szCs w:val="28"/>
          <w:lang w:val="ru-RU"/>
        </w:rPr>
        <w:t>9 / 06</w:t>
      </w:r>
    </w:p>
    <w:p w:rsidR="0039038D" w:rsidRDefault="0039038D">
      <w:pPr>
        <w:spacing w:after="0" w:line="360" w:lineRule="auto"/>
        <w:jc w:val="both"/>
        <w:rPr>
          <w:rFonts w:ascii="Times New Roman" w:hAnsi="Times New Roman"/>
          <w:sz w:val="28"/>
          <w:szCs w:val="28"/>
          <w:lang w:val="ru-RU"/>
        </w:rPr>
      </w:pP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Лідерами за розподілом документів за H04</w:t>
      </w:r>
      <w:r>
        <w:rPr>
          <w:rFonts w:ascii="Times New Roman" w:hAnsi="Times New Roman"/>
          <w:sz w:val="28"/>
          <w:szCs w:val="28"/>
          <w:lang w:val="en-US"/>
        </w:rPr>
        <w:t>L</w:t>
      </w:r>
      <w:r>
        <w:rPr>
          <w:rFonts w:ascii="Times New Roman" w:hAnsi="Times New Roman"/>
          <w:sz w:val="28"/>
          <w:szCs w:val="28"/>
          <w:lang w:val="ru-RU"/>
        </w:rPr>
        <w:t xml:space="preserve">9 / 06 є ІВМ і </w:t>
      </w:r>
      <w:r>
        <w:rPr>
          <w:rFonts w:ascii="Times New Roman" w:hAnsi="Times New Roman"/>
          <w:sz w:val="28"/>
          <w:szCs w:val="28"/>
          <w:lang w:val="en-US"/>
        </w:rPr>
        <w:t>Alibaba</w:t>
      </w:r>
      <w:r>
        <w:rPr>
          <w:rFonts w:ascii="Times New Roman" w:hAnsi="Times New Roman"/>
          <w:sz w:val="28"/>
          <w:szCs w:val="28"/>
          <w:lang w:val="ru-RU"/>
        </w:rPr>
        <w:t>, які намагаються вивести цю область на абсолютно новий рівень (67 і 39 патентів, відповідно).</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При аналізі найпопулярніших напрямків у розробках щодо будь–якої інноваційної технології, варто враховувати таксономію.</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У трійці лідерів закріпилася і ВОІВ, де намагаються отримати патенти найбільші компанії щодо технології </w:t>
      </w:r>
      <w:r>
        <w:rPr>
          <w:rFonts w:ascii="Times New Roman" w:hAnsi="Times New Roman"/>
          <w:sz w:val="28"/>
          <w:szCs w:val="28"/>
          <w:lang w:val="ru-RU"/>
        </w:rPr>
        <w:t>Blockchain</w:t>
      </w:r>
      <w:r>
        <w:rPr>
          <w:rFonts w:ascii="Times New Roman" w:hAnsi="Times New Roman"/>
          <w:sz w:val="28"/>
          <w:szCs w:val="28"/>
        </w:rPr>
        <w:t xml:space="preserve"> (рис 2.20).</w:t>
      </w:r>
    </w:p>
    <w:p w:rsidR="0039038D" w:rsidRDefault="0039038D">
      <w:pPr>
        <w:spacing w:after="0" w:line="360" w:lineRule="auto"/>
        <w:ind w:firstLine="567"/>
        <w:jc w:val="both"/>
        <w:rPr>
          <w:rFonts w:ascii="Times New Roman" w:hAnsi="Times New Roman"/>
          <w:sz w:val="28"/>
          <w:szCs w:val="28"/>
        </w:rPr>
      </w:pPr>
    </w:p>
    <w:p w:rsidR="0039038D" w:rsidRDefault="008D4FA6">
      <w:pPr>
        <w:spacing w:after="0" w:line="360" w:lineRule="auto"/>
        <w:ind w:firstLine="567"/>
        <w:jc w:val="center"/>
        <w:rPr>
          <w:rFonts w:ascii="Times New Roman" w:hAnsi="Times New Roman"/>
          <w:sz w:val="28"/>
          <w:szCs w:val="28"/>
        </w:rPr>
      </w:pPr>
      <w:r>
        <w:rPr>
          <w:noProof/>
          <w:lang w:eastAsia="uk-UA"/>
        </w:rPr>
        <w:drawing>
          <wp:inline distT="0" distB="0" distL="0" distR="0">
            <wp:extent cx="5086350" cy="4171950"/>
            <wp:effectExtent l="0" t="0" r="0" b="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2015CE" w:rsidRDefault="002015CE">
      <w:pPr>
        <w:spacing w:after="0" w:line="360" w:lineRule="auto"/>
        <w:ind w:firstLine="567"/>
        <w:jc w:val="center"/>
        <w:rPr>
          <w:rFonts w:ascii="Times New Roman" w:hAnsi="Times New Roman"/>
          <w:sz w:val="28"/>
          <w:szCs w:val="28"/>
        </w:rPr>
      </w:pPr>
    </w:p>
    <w:p w:rsidR="0039038D" w:rsidRDefault="008D4FA6">
      <w:pPr>
        <w:spacing w:after="0" w:line="360" w:lineRule="auto"/>
        <w:ind w:firstLine="567"/>
        <w:jc w:val="center"/>
        <w:rPr>
          <w:rFonts w:ascii="Times New Roman" w:hAnsi="Times New Roman"/>
          <w:sz w:val="28"/>
          <w:szCs w:val="28"/>
        </w:rPr>
      </w:pPr>
      <w:r>
        <w:rPr>
          <w:rFonts w:ascii="Times New Roman" w:hAnsi="Times New Roman"/>
          <w:sz w:val="28"/>
          <w:szCs w:val="28"/>
          <w:lang w:val="ru-RU"/>
        </w:rPr>
        <w:t>Рисунок 2.20 – Динам</w:t>
      </w:r>
      <w:r>
        <w:rPr>
          <w:rFonts w:ascii="Times New Roman" w:hAnsi="Times New Roman"/>
          <w:sz w:val="28"/>
          <w:szCs w:val="28"/>
        </w:rPr>
        <w:t>іка патентування в ВОІВ</w:t>
      </w:r>
    </w:p>
    <w:p w:rsidR="0039038D" w:rsidRDefault="0039038D">
      <w:pPr>
        <w:spacing w:after="0" w:line="360" w:lineRule="auto"/>
        <w:ind w:firstLine="567"/>
        <w:jc w:val="both"/>
        <w:rPr>
          <w:rFonts w:ascii="Times New Roman" w:hAnsi="Times New Roman"/>
          <w:sz w:val="28"/>
          <w:szCs w:val="28"/>
        </w:rPr>
      </w:pP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Згідно з інформацією, яка наведена на даному графіку, патентних заявок з кожним все більше.</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Очікувано, найбільше зростання спостерігається в період з 2017 по 2019 рік.</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На четверте місце несподівано вийшла Корейська Республіка, яка значно збільшила кількість заявок за останній рік (рис. 2.21).</w:t>
      </w:r>
    </w:p>
    <w:p w:rsidR="0039038D" w:rsidRDefault="0039038D">
      <w:pPr>
        <w:spacing w:after="0" w:line="360" w:lineRule="auto"/>
        <w:ind w:firstLine="567"/>
        <w:jc w:val="both"/>
        <w:rPr>
          <w:rFonts w:ascii="Times New Roman" w:hAnsi="Times New Roman"/>
          <w:sz w:val="28"/>
          <w:szCs w:val="28"/>
          <w:lang w:val="ru-RU"/>
        </w:rPr>
      </w:pPr>
    </w:p>
    <w:p w:rsidR="0039038D" w:rsidRDefault="008D4FA6">
      <w:pPr>
        <w:spacing w:after="0" w:line="360" w:lineRule="auto"/>
        <w:ind w:firstLine="426"/>
        <w:jc w:val="center"/>
        <w:rPr>
          <w:rFonts w:ascii="Times New Roman" w:hAnsi="Times New Roman"/>
          <w:sz w:val="28"/>
          <w:szCs w:val="28"/>
        </w:rPr>
      </w:pPr>
      <w:r>
        <w:rPr>
          <w:noProof/>
          <w:lang w:eastAsia="uk-UA"/>
        </w:rPr>
        <w:drawing>
          <wp:inline distT="0" distB="0" distL="0" distR="0">
            <wp:extent cx="4752975" cy="2600325"/>
            <wp:effectExtent l="0" t="0" r="9525" b="9525"/>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2015CE" w:rsidRDefault="002015CE">
      <w:pPr>
        <w:spacing w:after="0" w:line="360" w:lineRule="auto"/>
        <w:ind w:firstLine="426"/>
        <w:jc w:val="center"/>
        <w:rPr>
          <w:rFonts w:ascii="Times New Roman" w:hAnsi="Times New Roman"/>
          <w:sz w:val="28"/>
          <w:szCs w:val="28"/>
        </w:rPr>
      </w:pPr>
    </w:p>
    <w:p w:rsidR="0039038D" w:rsidRDefault="008D4FA6">
      <w:pPr>
        <w:spacing w:after="0" w:line="360" w:lineRule="auto"/>
        <w:ind w:firstLine="567"/>
        <w:jc w:val="center"/>
        <w:rPr>
          <w:rFonts w:ascii="Times New Roman" w:hAnsi="Times New Roman"/>
          <w:sz w:val="28"/>
          <w:szCs w:val="28"/>
        </w:rPr>
      </w:pPr>
      <w:r>
        <w:rPr>
          <w:rFonts w:ascii="Times New Roman" w:hAnsi="Times New Roman"/>
          <w:sz w:val="28"/>
          <w:szCs w:val="28"/>
          <w:lang w:val="ru-RU"/>
        </w:rPr>
        <w:t>Рисунок 2.21 – Дина</w:t>
      </w:r>
      <w:r>
        <w:rPr>
          <w:rFonts w:ascii="Times New Roman" w:hAnsi="Times New Roman"/>
          <w:sz w:val="28"/>
          <w:szCs w:val="28"/>
        </w:rPr>
        <w:t>міка патентування в Південній Кореї</w:t>
      </w:r>
    </w:p>
    <w:p w:rsidR="0039038D" w:rsidRDefault="0039038D">
      <w:pPr>
        <w:spacing w:after="0" w:line="360" w:lineRule="auto"/>
        <w:ind w:firstLine="567"/>
        <w:jc w:val="center"/>
        <w:rPr>
          <w:rFonts w:ascii="Times New Roman" w:hAnsi="Times New Roman"/>
          <w:sz w:val="28"/>
          <w:szCs w:val="28"/>
        </w:rPr>
      </w:pP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В основному, патентні заявки подаються на напрацювання, пов'язані з оплатами всередині платіжних систем. Найбільший відсоток патентних документів пов'язаний з компанією Bizmodeline, у якій станом на 01.12.19 подано 121 заявок (третина від загальної кількості).</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П'яте місце, за загальною кількістю патентних документів, займає Європейське Патентне Відомство. Перші заявки подавалися в 2017 році і за цей час їх кількість збільшилася в 25 разів (з 8 до 199). Загальна динамічних патентування приведена на рисунку 2.22.</w:t>
      </w:r>
    </w:p>
    <w:p w:rsidR="002015CE" w:rsidRDefault="002015CE">
      <w:pPr>
        <w:spacing w:after="0" w:line="360" w:lineRule="auto"/>
        <w:ind w:firstLine="567"/>
        <w:jc w:val="both"/>
        <w:rPr>
          <w:rFonts w:ascii="Times New Roman" w:hAnsi="Times New Roman"/>
          <w:sz w:val="28"/>
          <w:szCs w:val="28"/>
          <w:lang w:val="ru-RU"/>
        </w:rPr>
      </w:pPr>
    </w:p>
    <w:p w:rsidR="0039038D" w:rsidRDefault="008D4FA6">
      <w:pPr>
        <w:spacing w:after="0" w:line="360" w:lineRule="auto"/>
        <w:ind w:firstLine="567"/>
        <w:jc w:val="center"/>
        <w:rPr>
          <w:rFonts w:ascii="Times New Roman" w:hAnsi="Times New Roman"/>
          <w:sz w:val="28"/>
          <w:szCs w:val="28"/>
        </w:rPr>
      </w:pPr>
      <w:r>
        <w:rPr>
          <w:noProof/>
          <w:lang w:eastAsia="uk-UA"/>
        </w:rPr>
        <w:drawing>
          <wp:inline distT="0" distB="0" distL="0" distR="0">
            <wp:extent cx="4333875" cy="2238375"/>
            <wp:effectExtent l="0" t="0" r="9525" b="9525"/>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2015CE" w:rsidRDefault="002015CE">
      <w:pPr>
        <w:spacing w:after="0" w:line="360" w:lineRule="auto"/>
        <w:ind w:firstLine="567"/>
        <w:jc w:val="center"/>
        <w:rPr>
          <w:rFonts w:ascii="Times New Roman" w:hAnsi="Times New Roman"/>
          <w:sz w:val="28"/>
          <w:szCs w:val="28"/>
        </w:rPr>
      </w:pPr>
    </w:p>
    <w:p w:rsidR="0039038D" w:rsidRDefault="008D4FA6">
      <w:pPr>
        <w:spacing w:after="0" w:line="360" w:lineRule="auto"/>
        <w:ind w:firstLine="567"/>
        <w:jc w:val="center"/>
        <w:rPr>
          <w:rFonts w:ascii="Times New Roman" w:hAnsi="Times New Roman"/>
          <w:sz w:val="28"/>
          <w:szCs w:val="28"/>
        </w:rPr>
      </w:pPr>
      <w:r>
        <w:rPr>
          <w:rFonts w:ascii="Times New Roman" w:hAnsi="Times New Roman"/>
          <w:sz w:val="28"/>
          <w:szCs w:val="28"/>
        </w:rPr>
        <w:t>Рисунок 2.22 – Динаміка патентування в ЄПВ</w:t>
      </w:r>
    </w:p>
    <w:p w:rsidR="0039038D" w:rsidRDefault="0039038D">
      <w:pPr>
        <w:spacing w:after="0" w:line="360" w:lineRule="auto"/>
        <w:ind w:firstLine="567"/>
        <w:jc w:val="both"/>
        <w:rPr>
          <w:rFonts w:ascii="Times New Roman" w:hAnsi="Times New Roman"/>
          <w:sz w:val="28"/>
          <w:szCs w:val="28"/>
        </w:rPr>
      </w:pP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Серед лідируючих компаній за загальною кількістю патентних документів в ЄПВ коштує віділити великі азіатські холдинги (</w:t>
      </w:r>
      <w:r>
        <w:rPr>
          <w:rFonts w:ascii="Times New Roman" w:hAnsi="Times New Roman"/>
          <w:sz w:val="28"/>
          <w:szCs w:val="28"/>
          <w:lang w:val="en-US"/>
        </w:rPr>
        <w:t>Alibaba</w:t>
      </w:r>
      <w:r>
        <w:rPr>
          <w:rFonts w:ascii="Times New Roman" w:hAnsi="Times New Roman"/>
          <w:sz w:val="28"/>
          <w:szCs w:val="28"/>
        </w:rPr>
        <w:t xml:space="preserve">, </w:t>
      </w:r>
      <w:r>
        <w:rPr>
          <w:rFonts w:ascii="Times New Roman" w:hAnsi="Times New Roman"/>
          <w:sz w:val="28"/>
          <w:szCs w:val="28"/>
          <w:lang w:val="en-US"/>
        </w:rPr>
        <w:t>Nchain</w:t>
      </w:r>
      <w:r>
        <w:rPr>
          <w:rFonts w:ascii="Times New Roman" w:hAnsi="Times New Roman"/>
          <w:sz w:val="28"/>
          <w:szCs w:val="28"/>
        </w:rPr>
        <w:t>).</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rPr>
        <w:t xml:space="preserve">Взагалі, над розробками в сфері </w:t>
      </w:r>
      <w:r>
        <w:rPr>
          <w:rFonts w:ascii="Times New Roman" w:hAnsi="Times New Roman"/>
          <w:sz w:val="28"/>
          <w:szCs w:val="28"/>
          <w:lang w:val="ru-RU"/>
        </w:rPr>
        <w:t>Blockchain</w:t>
      </w:r>
      <w:r>
        <w:rPr>
          <w:rFonts w:ascii="Times New Roman" w:hAnsi="Times New Roman"/>
          <w:sz w:val="28"/>
          <w:szCs w:val="28"/>
        </w:rPr>
        <w:t xml:space="preserve"> працює велика кількість Всесвітньо відомих компаній. </w:t>
      </w:r>
      <w:r>
        <w:rPr>
          <w:rFonts w:ascii="Times New Roman" w:hAnsi="Times New Roman"/>
          <w:sz w:val="28"/>
          <w:szCs w:val="28"/>
          <w:lang w:val="ru-RU"/>
        </w:rPr>
        <w:t>Однак, в найпопулярніших патентних базах даних лідерами є різні компанії–</w:t>
      </w:r>
      <w:r>
        <w:rPr>
          <w:rFonts w:ascii="Times New Roman" w:hAnsi="Times New Roman"/>
          <w:sz w:val="28"/>
          <w:szCs w:val="28"/>
        </w:rPr>
        <w:t>лідери</w:t>
      </w:r>
      <w:r>
        <w:rPr>
          <w:rFonts w:ascii="Times New Roman" w:hAnsi="Times New Roman"/>
          <w:sz w:val="28"/>
          <w:szCs w:val="28"/>
          <w:lang w:val="ru-RU"/>
        </w:rPr>
        <w:t>. Найчастіше, це великі холдинги, які працюють на випередження і намагаються стати монополістами в одному з актуальних напрямків використання даної технології.</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У плані тенденцій патентування можна порівняти дані, які є в Patentscope і Lens. Трійка лідерів ідентичні, а саме Alibaba (843/444, выдповыдно), Nchain  (361/397) та IBM (192/256). </w:t>
      </w:r>
      <w:r>
        <w:rPr>
          <w:rFonts w:ascii="Times New Roman" w:hAnsi="Times New Roman"/>
          <w:sz w:val="28"/>
          <w:szCs w:val="28"/>
        </w:rPr>
        <w:t xml:space="preserve">Лідери серед компаній на ресурсі </w:t>
      </w:r>
      <w:r>
        <w:rPr>
          <w:rFonts w:ascii="Times New Roman" w:hAnsi="Times New Roman"/>
          <w:sz w:val="28"/>
          <w:szCs w:val="28"/>
          <w:lang w:val="en-US"/>
        </w:rPr>
        <w:t>Lens</w:t>
      </w:r>
      <w:r>
        <w:rPr>
          <w:rFonts w:ascii="Times New Roman" w:hAnsi="Times New Roman"/>
          <w:sz w:val="28"/>
          <w:szCs w:val="28"/>
          <w:lang w:val="ru-RU"/>
        </w:rPr>
        <w:t>.</w:t>
      </w:r>
      <w:r>
        <w:rPr>
          <w:rFonts w:ascii="Times New Roman" w:hAnsi="Times New Roman"/>
          <w:sz w:val="28"/>
          <w:szCs w:val="28"/>
          <w:lang w:val="en-US"/>
        </w:rPr>
        <w:t>org</w:t>
      </w:r>
      <w:r>
        <w:rPr>
          <w:rFonts w:ascii="Times New Roman" w:hAnsi="Times New Roman"/>
          <w:sz w:val="28"/>
          <w:szCs w:val="28"/>
          <w:lang w:val="ru-RU"/>
        </w:rPr>
        <w:t xml:space="preserve"> </w:t>
      </w:r>
      <w:r>
        <w:rPr>
          <w:rFonts w:ascii="Times New Roman" w:hAnsi="Times New Roman"/>
          <w:sz w:val="28"/>
          <w:szCs w:val="28"/>
        </w:rPr>
        <w:t xml:space="preserve">представлено на </w:t>
      </w:r>
      <w:r>
        <w:rPr>
          <w:rFonts w:ascii="Times New Roman" w:hAnsi="Times New Roman"/>
          <w:sz w:val="28"/>
          <w:szCs w:val="28"/>
          <w:lang w:val="ru-RU"/>
        </w:rPr>
        <w:t xml:space="preserve">рисунку 2.23. </w:t>
      </w:r>
    </w:p>
    <w:p w:rsidR="0039038D" w:rsidRDefault="0039038D">
      <w:pPr>
        <w:spacing w:after="0" w:line="360" w:lineRule="auto"/>
        <w:ind w:firstLine="567"/>
        <w:jc w:val="both"/>
        <w:rPr>
          <w:rFonts w:ascii="Times New Roman" w:hAnsi="Times New Roman"/>
          <w:sz w:val="28"/>
          <w:szCs w:val="28"/>
          <w:lang w:val="ru-RU"/>
        </w:rPr>
      </w:pPr>
    </w:p>
    <w:p w:rsidR="0039038D" w:rsidRDefault="008D4FA6">
      <w:pPr>
        <w:spacing w:after="0" w:line="360" w:lineRule="auto"/>
        <w:jc w:val="center"/>
        <w:rPr>
          <w:rFonts w:ascii="Times New Roman" w:hAnsi="Times New Roman"/>
          <w:sz w:val="28"/>
          <w:szCs w:val="28"/>
        </w:rPr>
      </w:pPr>
      <w:r>
        <w:rPr>
          <w:noProof/>
          <w:lang w:eastAsia="uk-UA"/>
        </w:rPr>
        <w:drawing>
          <wp:inline distT="0" distB="0" distL="0" distR="0">
            <wp:extent cx="4247458" cy="2438400"/>
            <wp:effectExtent l="0" t="0" r="1270" b="0"/>
            <wp:docPr id="38" name="Рисунок 73" descr="C:\Users\Olexsiy Paziy\Desktop\аа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73" descr="C:\Users\Olexsiy Paziy\Desktop\ааа.png"/>
                    <pic:cNvPicPr>
                      <a:picLocks noChangeAspect="1" noChangeArrowheads="1"/>
                    </pic:cNvPicPr>
                  </pic:nvPicPr>
                  <pic:blipFill>
                    <a:blip r:embed="rId49"/>
                    <a:stretch>
                      <a:fillRect/>
                    </a:stretch>
                  </pic:blipFill>
                  <pic:spPr bwMode="auto">
                    <a:xfrm>
                      <a:off x="0" y="0"/>
                      <a:ext cx="4251083" cy="2440481"/>
                    </a:xfrm>
                    <a:prstGeom prst="rect">
                      <a:avLst/>
                    </a:prstGeom>
                  </pic:spPr>
                </pic:pic>
              </a:graphicData>
            </a:graphic>
          </wp:inline>
        </w:drawing>
      </w:r>
    </w:p>
    <w:p w:rsidR="002015CE" w:rsidRDefault="002015CE">
      <w:pPr>
        <w:spacing w:after="0" w:line="360" w:lineRule="auto"/>
        <w:jc w:val="center"/>
        <w:rPr>
          <w:rFonts w:ascii="Times New Roman" w:hAnsi="Times New Roman"/>
          <w:sz w:val="28"/>
          <w:szCs w:val="28"/>
        </w:rPr>
      </w:pPr>
    </w:p>
    <w:p w:rsidR="0039038D" w:rsidRDefault="008D4FA6">
      <w:pPr>
        <w:spacing w:after="0" w:line="360" w:lineRule="auto"/>
        <w:jc w:val="center"/>
        <w:rPr>
          <w:rFonts w:ascii="Times New Roman" w:hAnsi="Times New Roman"/>
          <w:sz w:val="28"/>
          <w:szCs w:val="28"/>
        </w:rPr>
      </w:pPr>
      <w:r>
        <w:rPr>
          <w:rFonts w:ascii="Times New Roman" w:hAnsi="Times New Roman"/>
          <w:sz w:val="28"/>
          <w:szCs w:val="28"/>
        </w:rPr>
        <w:t>Рисунок 2.23 – Основні компанії-замовники</w:t>
      </w:r>
    </w:p>
    <w:p w:rsidR="0039038D" w:rsidRDefault="0039038D">
      <w:pPr>
        <w:spacing w:after="0" w:line="360" w:lineRule="auto"/>
        <w:ind w:firstLine="567"/>
        <w:jc w:val="both"/>
        <w:rPr>
          <w:rFonts w:ascii="Times New Roman" w:hAnsi="Times New Roman"/>
          <w:sz w:val="28"/>
          <w:szCs w:val="28"/>
        </w:rPr>
      </w:pP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Аналізуючи цього рисунку, стає зрозумілим, що «гегемоном» у інноваціях щодо технології </w:t>
      </w:r>
      <w:r>
        <w:rPr>
          <w:rFonts w:ascii="Times New Roman" w:hAnsi="Times New Roman"/>
          <w:sz w:val="28"/>
          <w:szCs w:val="28"/>
          <w:lang w:val="en-US"/>
        </w:rPr>
        <w:t>Blockchain</w:t>
      </w:r>
      <w:r>
        <w:rPr>
          <w:rFonts w:ascii="Times New Roman" w:hAnsi="Times New Roman"/>
          <w:sz w:val="28"/>
          <w:szCs w:val="28"/>
        </w:rPr>
        <w:t xml:space="preserve"> стає компаній </w:t>
      </w:r>
      <w:r>
        <w:rPr>
          <w:rFonts w:ascii="Times New Roman" w:hAnsi="Times New Roman"/>
          <w:sz w:val="28"/>
          <w:szCs w:val="28"/>
          <w:lang w:val="en-US"/>
        </w:rPr>
        <w:t>Alibaba</w:t>
      </w:r>
      <w:r>
        <w:rPr>
          <w:rFonts w:ascii="Times New Roman" w:hAnsi="Times New Roman"/>
          <w:sz w:val="28"/>
          <w:szCs w:val="28"/>
        </w:rPr>
        <w:t>. Це група компаній, що займаються бізнесом в Інтернеті. Alibaba Group знаходиться у приватній власності й базується в Китаї, в місті Ханчжоу. Основними видами діяльності є торгові операції між компаніями за схемою B2B, роздрібна онлайн–торгівля</w:t>
      </w:r>
      <w:r>
        <w:rPr>
          <w:rFonts w:ascii="Times New Roman" w:hAnsi="Times New Roman"/>
          <w:sz w:val="28"/>
          <w:szCs w:val="28"/>
          <w:lang w:val="ru-RU"/>
        </w:rPr>
        <w:t xml:space="preserve"> [24]</w:t>
      </w:r>
      <w:r>
        <w:rPr>
          <w:rFonts w:ascii="Times New Roman" w:hAnsi="Times New Roman"/>
          <w:sz w:val="28"/>
          <w:szCs w:val="28"/>
        </w:rPr>
        <w:t>.</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Патентується компанія не тільки в Китаї, так як безліч заявок подано на отримання охоронного документа в США. Тобто, можна зробити висновок, що </w:t>
      </w:r>
      <w:r>
        <w:rPr>
          <w:rFonts w:ascii="Times New Roman" w:hAnsi="Times New Roman"/>
          <w:sz w:val="28"/>
          <w:szCs w:val="28"/>
        </w:rPr>
        <w:lastRenderedPageBreak/>
        <w:t>компанія має на меті діяти на випередження і отримувати патенти в тих напрямках, які будуть цікаві споживачеві найближчим часом.</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З 2017 року, коли були подані перші 5 заявок, їх загальна кількість зросла більш, ніж у 80 разів. Тільки з листопада по грудень 2019 року було подано більше, ніж 100 заявок, що демонструє той факт, що розробки тут поставлені на конвеєр.</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lang w:val="ru-RU"/>
        </w:rPr>
        <w:t>Динам</w:t>
      </w:r>
      <w:r>
        <w:rPr>
          <w:rFonts w:ascii="Times New Roman" w:hAnsi="Times New Roman"/>
          <w:sz w:val="28"/>
          <w:szCs w:val="28"/>
        </w:rPr>
        <w:t>іка патентування за роками наведена на рисунку 2.24.</w:t>
      </w:r>
    </w:p>
    <w:p w:rsidR="002015CE" w:rsidRDefault="002015CE">
      <w:pPr>
        <w:spacing w:after="0" w:line="360" w:lineRule="auto"/>
        <w:ind w:firstLine="567"/>
        <w:jc w:val="both"/>
        <w:rPr>
          <w:rFonts w:ascii="Times New Roman" w:hAnsi="Times New Roman"/>
          <w:sz w:val="28"/>
          <w:szCs w:val="28"/>
        </w:rPr>
      </w:pPr>
    </w:p>
    <w:p w:rsidR="002015CE" w:rsidRDefault="008D4FA6">
      <w:pPr>
        <w:spacing w:after="0" w:line="360" w:lineRule="auto"/>
        <w:ind w:hanging="142"/>
        <w:jc w:val="center"/>
        <w:rPr>
          <w:rFonts w:ascii="Times New Roman" w:hAnsi="Times New Roman"/>
          <w:sz w:val="28"/>
          <w:szCs w:val="28"/>
        </w:rPr>
      </w:pPr>
      <w:r>
        <w:rPr>
          <w:noProof/>
          <w:lang w:eastAsia="uk-UA"/>
        </w:rPr>
        <w:drawing>
          <wp:inline distT="0" distB="0" distL="0" distR="0">
            <wp:extent cx="5067300" cy="3219450"/>
            <wp:effectExtent l="0" t="0" r="0" b="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39038D" w:rsidRDefault="008D4FA6">
      <w:pPr>
        <w:spacing w:after="0" w:line="360" w:lineRule="auto"/>
        <w:ind w:hanging="142"/>
        <w:jc w:val="center"/>
        <w:rPr>
          <w:rFonts w:ascii="Times New Roman" w:hAnsi="Times New Roman"/>
          <w:sz w:val="28"/>
          <w:szCs w:val="28"/>
        </w:rPr>
      </w:pPr>
      <w:r>
        <w:rPr>
          <w:rFonts w:ascii="Times New Roman" w:hAnsi="Times New Roman"/>
          <w:sz w:val="28"/>
          <w:szCs w:val="28"/>
        </w:rPr>
        <w:br/>
        <w:t xml:space="preserve">Рисунок 2.24 – Динаміка патентування компанією </w:t>
      </w:r>
      <w:r>
        <w:rPr>
          <w:rFonts w:ascii="Times New Roman" w:hAnsi="Times New Roman"/>
          <w:sz w:val="28"/>
          <w:szCs w:val="28"/>
          <w:lang w:val="en-US"/>
        </w:rPr>
        <w:t>Alibaba</w:t>
      </w:r>
    </w:p>
    <w:p w:rsidR="0039038D" w:rsidRDefault="0039038D">
      <w:pPr>
        <w:spacing w:after="0" w:line="360" w:lineRule="auto"/>
        <w:ind w:hanging="142"/>
        <w:jc w:val="both"/>
        <w:rPr>
          <w:rFonts w:ascii="Times New Roman" w:hAnsi="Times New Roman"/>
          <w:sz w:val="28"/>
          <w:szCs w:val="28"/>
        </w:rPr>
      </w:pP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rPr>
        <w:t xml:space="preserve">Друге місце займає компанія </w:t>
      </w:r>
      <w:r>
        <w:rPr>
          <w:rFonts w:ascii="Times New Roman" w:hAnsi="Times New Roman"/>
          <w:sz w:val="28"/>
          <w:szCs w:val="28"/>
          <w:lang w:val="en-US"/>
        </w:rPr>
        <w:t>Nchain</w:t>
      </w:r>
      <w:r>
        <w:rPr>
          <w:rFonts w:ascii="Times New Roman" w:hAnsi="Times New Roman"/>
          <w:sz w:val="28"/>
          <w:szCs w:val="28"/>
        </w:rPr>
        <w:t xml:space="preserve">. Також, як і </w:t>
      </w:r>
      <w:r>
        <w:rPr>
          <w:rFonts w:ascii="Times New Roman" w:hAnsi="Times New Roman"/>
          <w:sz w:val="28"/>
          <w:szCs w:val="28"/>
          <w:lang w:val="ru-RU"/>
        </w:rPr>
        <w:t>Alibaba</w:t>
      </w:r>
      <w:r>
        <w:rPr>
          <w:rFonts w:ascii="Times New Roman" w:hAnsi="Times New Roman"/>
          <w:sz w:val="28"/>
          <w:szCs w:val="28"/>
        </w:rPr>
        <w:t>, вона активізувалася в 2018–2019 році, в ході яких була подана левова ча</w:t>
      </w:r>
      <w:r>
        <w:rPr>
          <w:rFonts w:ascii="Times New Roman" w:hAnsi="Times New Roman"/>
          <w:sz w:val="28"/>
          <w:szCs w:val="28"/>
          <w:lang w:val="ru-RU"/>
        </w:rPr>
        <w:t>стка від загального числа заявок.</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У своїх розробках компанія робить акцент на технологію </w:t>
      </w:r>
      <w:r>
        <w:rPr>
          <w:rFonts w:ascii="Times New Roman" w:hAnsi="Times New Roman"/>
          <w:sz w:val="28"/>
          <w:szCs w:val="28"/>
          <w:lang w:val="en-US"/>
        </w:rPr>
        <w:t>Blockchain</w:t>
      </w:r>
      <w:r>
        <w:rPr>
          <w:rFonts w:ascii="Times New Roman" w:hAnsi="Times New Roman"/>
          <w:sz w:val="28"/>
          <w:szCs w:val="28"/>
          <w:lang w:val="ru-RU"/>
        </w:rPr>
        <w:t>, як основу для поліпшення функціоналу платіжних систем [25].</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У підкласі МПК G06Q20 / 38 (протоколи оплати) опубліковано 132 заявки, в той час, як G06Q20 / 06 (схеми оплати при використанні криптовалюта) – 95.</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Варто відзначити, що це компанія, яка безпосередньо спрямована на дослідження в області </w:t>
      </w:r>
      <w:r>
        <w:rPr>
          <w:rFonts w:ascii="Times New Roman" w:hAnsi="Times New Roman"/>
          <w:sz w:val="28"/>
          <w:szCs w:val="28"/>
          <w:lang w:val="en-US"/>
        </w:rPr>
        <w:t>Blockchain</w:t>
      </w:r>
      <w:r>
        <w:rPr>
          <w:rFonts w:ascii="Times New Roman" w:hAnsi="Times New Roman"/>
          <w:sz w:val="28"/>
          <w:szCs w:val="28"/>
          <w:lang w:val="ru-RU"/>
        </w:rPr>
        <w:t>, про що говорить їх ресурс в Інтернеті.</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lastRenderedPageBreak/>
        <w:t>Відштовхуючись від головної мети цієї компанії, а саме поліпшення способів і методів оплати фінансових транзакцій, можна зробити висновок, що найближчим часом вона зможе нав'язати боротьбу Alibaba за лідерство в патентуванні власних розробок (рис. 2.25).</w:t>
      </w:r>
    </w:p>
    <w:p w:rsidR="0039038D" w:rsidRDefault="0039038D">
      <w:pPr>
        <w:spacing w:after="0" w:line="360" w:lineRule="auto"/>
        <w:ind w:firstLine="567"/>
        <w:jc w:val="both"/>
        <w:rPr>
          <w:rFonts w:ascii="Times New Roman" w:hAnsi="Times New Roman"/>
          <w:sz w:val="28"/>
          <w:szCs w:val="28"/>
          <w:highlight w:val="yellow"/>
          <w:lang w:val="ru-RU"/>
        </w:rPr>
      </w:pPr>
    </w:p>
    <w:p w:rsidR="0039038D" w:rsidRDefault="008D4FA6">
      <w:pPr>
        <w:spacing w:after="0" w:line="360" w:lineRule="auto"/>
        <w:ind w:firstLine="567"/>
        <w:jc w:val="center"/>
        <w:rPr>
          <w:rFonts w:ascii="Times New Roman" w:hAnsi="Times New Roman"/>
          <w:sz w:val="28"/>
          <w:szCs w:val="28"/>
          <w:highlight w:val="yellow"/>
          <w:lang w:val="ru-RU"/>
        </w:rPr>
      </w:pPr>
      <w:r>
        <w:rPr>
          <w:noProof/>
          <w:lang w:eastAsia="uk-UA"/>
        </w:rPr>
        <w:drawing>
          <wp:inline distT="0" distB="0" distL="0" distR="0">
            <wp:extent cx="4572000" cy="2743200"/>
            <wp:effectExtent l="0" t="0" r="0" b="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2015CE" w:rsidRDefault="002015CE">
      <w:pPr>
        <w:spacing w:after="0" w:line="360" w:lineRule="auto"/>
        <w:ind w:firstLine="567"/>
        <w:jc w:val="center"/>
        <w:rPr>
          <w:rFonts w:ascii="Times New Roman" w:hAnsi="Times New Roman"/>
          <w:sz w:val="28"/>
          <w:szCs w:val="28"/>
          <w:highlight w:val="yellow"/>
          <w:lang w:val="ru-RU"/>
        </w:rPr>
      </w:pPr>
    </w:p>
    <w:p w:rsidR="0039038D" w:rsidRDefault="008D4FA6">
      <w:pPr>
        <w:spacing w:after="0" w:line="360" w:lineRule="auto"/>
        <w:ind w:firstLine="567"/>
        <w:jc w:val="center"/>
        <w:rPr>
          <w:rFonts w:ascii="Times New Roman" w:hAnsi="Times New Roman"/>
          <w:sz w:val="28"/>
          <w:szCs w:val="28"/>
          <w:lang w:val="ru-RU"/>
        </w:rPr>
      </w:pPr>
      <w:r>
        <w:rPr>
          <w:rFonts w:ascii="Times New Roman" w:hAnsi="Times New Roman"/>
          <w:sz w:val="28"/>
          <w:szCs w:val="28"/>
          <w:lang w:val="ru-RU"/>
        </w:rPr>
        <w:t xml:space="preserve">Рисунок 2.25 – Динаміка патентування компанією </w:t>
      </w:r>
      <w:r>
        <w:rPr>
          <w:rFonts w:ascii="Times New Roman" w:hAnsi="Times New Roman"/>
          <w:sz w:val="28"/>
          <w:szCs w:val="28"/>
          <w:lang w:val="en-US"/>
        </w:rPr>
        <w:t>Nchain</w:t>
      </w:r>
    </w:p>
    <w:p w:rsidR="0039038D" w:rsidRDefault="0039038D">
      <w:pPr>
        <w:spacing w:after="0" w:line="360" w:lineRule="auto"/>
        <w:jc w:val="both"/>
        <w:rPr>
          <w:rFonts w:ascii="Times New Roman" w:hAnsi="Times New Roman"/>
          <w:sz w:val="28"/>
          <w:szCs w:val="28"/>
          <w:lang w:val="ru-RU"/>
        </w:rPr>
      </w:pP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rPr>
        <w:t xml:space="preserve">Якщо відокремлювати серед лідерів одну з компаній, що буде найцікавіша вітчизняним компаніям, то однозначно це буде </w:t>
      </w:r>
      <w:r>
        <w:rPr>
          <w:rFonts w:ascii="Times New Roman" w:hAnsi="Times New Roman"/>
          <w:sz w:val="28"/>
          <w:szCs w:val="28"/>
          <w:lang w:val="en-US"/>
        </w:rPr>
        <w:t>IBM</w:t>
      </w:r>
      <w:r>
        <w:rPr>
          <w:rFonts w:ascii="Times New Roman" w:hAnsi="Times New Roman"/>
          <w:sz w:val="28"/>
          <w:szCs w:val="28"/>
          <w:lang w:val="ru-RU"/>
        </w:rPr>
        <w:t>.</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lang w:val="ru-RU"/>
        </w:rPr>
        <w:t xml:space="preserve">Як і основні конкуренти, свою діяльність в цьому напрямку вони активно почали в 2017 році. Саме в цьому році з'являються перші 5 патентних документів від відомого американського холдингу [23].  </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Старт патентуванню розробок було дано в травні, але сказати, що на початковому етапі розвивався один напрямок, не можна.</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За перший рік були подані патентні заявки, спрямовані як на захист конфіденційності користувачі в мережі (US 20170149819), так і на глобальні транзакційні системи, побудовані завдяки цій технології (US 20170213209).</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Уже в наступному році кількість патентів компанії збільшилася в 18 разів і склало 92 штуки.</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Обсяги розробок збільшуються і в 2019 р. Станом на листопад місяць компанія подала 134 патентних заявки (рис. 2.26)</w:t>
      </w:r>
    </w:p>
    <w:p w:rsidR="0039038D" w:rsidRDefault="0039038D">
      <w:pPr>
        <w:spacing w:after="0" w:line="360" w:lineRule="auto"/>
        <w:ind w:firstLine="567"/>
        <w:jc w:val="both"/>
        <w:rPr>
          <w:rFonts w:ascii="Times New Roman" w:hAnsi="Times New Roman"/>
          <w:sz w:val="28"/>
          <w:szCs w:val="28"/>
          <w:lang w:val="ru-RU"/>
        </w:rPr>
      </w:pPr>
    </w:p>
    <w:p w:rsidR="0039038D" w:rsidRDefault="008D4FA6" w:rsidP="002015CE">
      <w:pPr>
        <w:spacing w:after="0" w:line="360" w:lineRule="auto"/>
        <w:ind w:firstLine="993"/>
        <w:jc w:val="center"/>
        <w:rPr>
          <w:lang w:eastAsia="uk-UA"/>
        </w:rPr>
      </w:pPr>
      <w:r>
        <w:rPr>
          <w:noProof/>
          <w:lang w:eastAsia="uk-UA"/>
        </w:rPr>
        <w:drawing>
          <wp:inline distT="0" distB="0" distL="0" distR="0">
            <wp:extent cx="4829175" cy="2695575"/>
            <wp:effectExtent l="0" t="0" r="9525" b="9525"/>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2015CE" w:rsidRDefault="002015CE">
      <w:pPr>
        <w:spacing w:after="0" w:line="360" w:lineRule="auto"/>
        <w:ind w:hanging="142"/>
        <w:jc w:val="center"/>
        <w:rPr>
          <w:lang w:eastAsia="uk-UA"/>
        </w:rPr>
      </w:pPr>
    </w:p>
    <w:p w:rsidR="0039038D" w:rsidRDefault="008D4FA6">
      <w:pPr>
        <w:spacing w:after="0" w:line="360" w:lineRule="auto"/>
        <w:ind w:firstLine="567"/>
        <w:jc w:val="center"/>
        <w:rPr>
          <w:rFonts w:ascii="Times New Roman" w:hAnsi="Times New Roman"/>
          <w:sz w:val="28"/>
          <w:szCs w:val="28"/>
          <w:lang w:eastAsia="uk-UA"/>
        </w:rPr>
      </w:pPr>
      <w:r>
        <w:rPr>
          <w:rFonts w:ascii="Times New Roman" w:hAnsi="Times New Roman"/>
          <w:sz w:val="28"/>
          <w:szCs w:val="28"/>
          <w:lang w:eastAsia="uk-UA"/>
        </w:rPr>
        <w:t xml:space="preserve">Рисунок 2.26 – Динаміка патентування компанії </w:t>
      </w:r>
      <w:r>
        <w:rPr>
          <w:rFonts w:ascii="Times New Roman" w:hAnsi="Times New Roman"/>
          <w:sz w:val="28"/>
          <w:szCs w:val="28"/>
          <w:lang w:val="en-US" w:eastAsia="uk-UA"/>
        </w:rPr>
        <w:t>IBM</w:t>
      </w:r>
    </w:p>
    <w:p w:rsidR="0039038D" w:rsidRDefault="0039038D">
      <w:pPr>
        <w:spacing w:after="0" w:line="360" w:lineRule="auto"/>
        <w:ind w:firstLine="567"/>
        <w:jc w:val="center"/>
        <w:rPr>
          <w:rFonts w:ascii="Times New Roman" w:hAnsi="Times New Roman"/>
          <w:sz w:val="28"/>
          <w:szCs w:val="28"/>
        </w:rPr>
      </w:pP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Цікавим напрямом, який просуває компанія </w:t>
      </w:r>
      <w:r>
        <w:rPr>
          <w:rFonts w:ascii="Times New Roman" w:hAnsi="Times New Roman"/>
          <w:sz w:val="28"/>
          <w:szCs w:val="28"/>
          <w:lang w:val="ru-RU"/>
        </w:rPr>
        <w:t>IBM</w:t>
      </w:r>
      <w:r>
        <w:rPr>
          <w:rFonts w:ascii="Times New Roman" w:hAnsi="Times New Roman"/>
          <w:sz w:val="28"/>
          <w:szCs w:val="28"/>
        </w:rPr>
        <w:t xml:space="preserve"> останнім часом є </w:t>
      </w:r>
      <w:r>
        <w:rPr>
          <w:rFonts w:ascii="Times New Roman" w:hAnsi="Times New Roman"/>
          <w:sz w:val="28"/>
          <w:szCs w:val="28"/>
          <w:lang w:val="ru-RU"/>
        </w:rPr>
        <w:t>Blockchain</w:t>
      </w:r>
      <w:r>
        <w:rPr>
          <w:rFonts w:ascii="Times New Roman" w:hAnsi="Times New Roman"/>
          <w:sz w:val="28"/>
          <w:szCs w:val="28"/>
        </w:rPr>
        <w:t xml:space="preserve"> </w:t>
      </w:r>
      <w:r>
        <w:rPr>
          <w:rFonts w:ascii="Times New Roman" w:hAnsi="Times New Roman"/>
          <w:sz w:val="28"/>
          <w:szCs w:val="28"/>
          <w:lang w:val="ru-RU"/>
        </w:rPr>
        <w:t>Gaming</w:t>
      </w:r>
      <w:r>
        <w:rPr>
          <w:rFonts w:ascii="Times New Roman" w:hAnsi="Times New Roman"/>
          <w:sz w:val="28"/>
          <w:szCs w:val="28"/>
        </w:rPr>
        <w:t>. Використання Blockchain в ігровому середовищі включає в себе один або більше прийомів одного або декількох контрактів, пов'язаних з грою, що зберігаються в Blockchain, ініціювання ігрового сеансу гри на основі одного або декількох контрактів та отримання інформації та дій, пов’язаних з ігровим гравцем в Blockchain на основі ініційованого ігрового сеансу.</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Всього, на сьогоднішній день, є 37 патентів, пов'язаних з використанням технології Blockchain в ігровому просторі. 8 з них належить саме IBM, а інша частина пов'язана з азійськими компаніями, які не мають серйозного впливу на ринок IT–технологій в світі (Simons Jordan, Ray Arka, Ramesh Belvadi).</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Blockchain Gaming цікавий тим, що фактично розробки з'явилися тільки в цьому році (85% від загальної кількості патентів).</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Важливо також дослідити поточний інтерес до технології з боку головних компаній, які розроблюють платіжні системи на розвиток технології. Гегемоном серед основних аналогів є Mastercard International Inc, який поступово втрачає свій інтерес до інтенсивних розробок щодо технології Blockchain. Про це свідчить той факт, що за підсумками 2019 року компанія подала менше патентних заявок, ніж в 2018 (з 74 до 60).</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lastRenderedPageBreak/>
        <w:t>Даний факт пов'язаний з тим, що технологія вже себе вичерпала в фінансовому секторі щодо нововведень і на сьогоднішній день патентні заявки цієї організації пов'язані, найчастіше, з розробкою методів і систем для офлайн–обмінників і питань поліпшення конфіденційності роботи користувача в цих системах.</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Тенденції зміни кількості патентних документів компанії Mastercard International Inc приведена на рис. 2.27.</w:t>
      </w:r>
    </w:p>
    <w:p w:rsidR="0039038D" w:rsidRDefault="0039038D">
      <w:pPr>
        <w:spacing w:after="0" w:line="360" w:lineRule="auto"/>
        <w:ind w:firstLine="567"/>
        <w:jc w:val="both"/>
        <w:rPr>
          <w:rFonts w:ascii="Times New Roman" w:hAnsi="Times New Roman"/>
          <w:sz w:val="28"/>
          <w:szCs w:val="28"/>
          <w:lang w:val="ru-RU"/>
        </w:rPr>
      </w:pPr>
    </w:p>
    <w:p w:rsidR="0039038D" w:rsidRDefault="008D4FA6">
      <w:pPr>
        <w:spacing w:after="0" w:line="360" w:lineRule="auto"/>
        <w:ind w:firstLine="567"/>
        <w:jc w:val="center"/>
        <w:rPr>
          <w:lang w:eastAsia="uk-UA"/>
        </w:rPr>
      </w:pPr>
      <w:r>
        <w:rPr>
          <w:noProof/>
          <w:lang w:eastAsia="uk-UA"/>
        </w:rPr>
        <w:drawing>
          <wp:inline distT="0" distB="0" distL="0" distR="0">
            <wp:extent cx="5105400" cy="3143250"/>
            <wp:effectExtent l="0" t="0" r="0" b="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2015CE" w:rsidRDefault="002015CE">
      <w:pPr>
        <w:spacing w:after="0" w:line="360" w:lineRule="auto"/>
        <w:ind w:firstLine="567"/>
        <w:jc w:val="center"/>
        <w:rPr>
          <w:lang w:eastAsia="uk-UA"/>
        </w:rPr>
      </w:pPr>
    </w:p>
    <w:p w:rsidR="0039038D" w:rsidRDefault="008D4FA6">
      <w:pPr>
        <w:spacing w:after="0" w:line="360" w:lineRule="auto"/>
        <w:ind w:firstLine="567"/>
        <w:jc w:val="center"/>
        <w:rPr>
          <w:rFonts w:ascii="Times New Roman" w:hAnsi="Times New Roman"/>
          <w:sz w:val="28"/>
          <w:szCs w:val="28"/>
          <w:lang w:val="ru-RU" w:eastAsia="uk-UA"/>
        </w:rPr>
      </w:pPr>
      <w:r>
        <w:rPr>
          <w:rFonts w:ascii="Times New Roman" w:hAnsi="Times New Roman"/>
          <w:sz w:val="28"/>
          <w:szCs w:val="28"/>
          <w:lang w:eastAsia="uk-UA"/>
        </w:rPr>
        <w:t>Рисунок 2.27</w:t>
      </w:r>
      <w:r>
        <w:rPr>
          <w:rFonts w:ascii="Times New Roman" w:hAnsi="Times New Roman"/>
          <w:sz w:val="28"/>
          <w:szCs w:val="28"/>
          <w:lang w:val="ru-RU" w:eastAsia="uk-UA"/>
        </w:rPr>
        <w:t xml:space="preserve"> – </w:t>
      </w:r>
      <w:r>
        <w:rPr>
          <w:rFonts w:ascii="Times New Roman" w:hAnsi="Times New Roman"/>
          <w:sz w:val="28"/>
          <w:szCs w:val="28"/>
          <w:lang w:eastAsia="uk-UA"/>
        </w:rPr>
        <w:t xml:space="preserve">Динаміка патентування в компанії </w:t>
      </w:r>
      <w:r>
        <w:rPr>
          <w:rFonts w:ascii="Times New Roman" w:hAnsi="Times New Roman"/>
          <w:sz w:val="28"/>
          <w:szCs w:val="28"/>
          <w:lang w:val="en-US" w:eastAsia="uk-UA"/>
        </w:rPr>
        <w:t>Mastercard</w:t>
      </w:r>
    </w:p>
    <w:p w:rsidR="0039038D" w:rsidRDefault="0039038D">
      <w:pPr>
        <w:spacing w:after="0" w:line="360" w:lineRule="auto"/>
        <w:ind w:firstLine="567"/>
        <w:jc w:val="center"/>
        <w:rPr>
          <w:rFonts w:ascii="Times New Roman" w:hAnsi="Times New Roman"/>
          <w:sz w:val="28"/>
          <w:szCs w:val="28"/>
          <w:lang w:val="ru-RU"/>
        </w:rPr>
      </w:pP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Варто зазначити, що з 2017 р</w:t>
      </w:r>
      <w:r>
        <w:rPr>
          <w:rFonts w:ascii="Times New Roman" w:hAnsi="Times New Roman"/>
          <w:sz w:val="28"/>
          <w:szCs w:val="28"/>
          <w:lang w:val="ru-RU"/>
        </w:rPr>
        <w:t>.</w:t>
      </w:r>
      <w:r>
        <w:rPr>
          <w:rFonts w:ascii="Times New Roman" w:hAnsi="Times New Roman"/>
          <w:sz w:val="28"/>
          <w:szCs w:val="28"/>
        </w:rPr>
        <w:t xml:space="preserve">, коли вперше </w:t>
      </w:r>
      <w:r>
        <w:rPr>
          <w:rFonts w:ascii="Times New Roman" w:hAnsi="Times New Roman"/>
          <w:sz w:val="28"/>
          <w:szCs w:val="28"/>
          <w:lang w:val="ru-RU"/>
        </w:rPr>
        <w:t>з’</w:t>
      </w:r>
      <w:r>
        <w:rPr>
          <w:rFonts w:ascii="Times New Roman" w:hAnsi="Times New Roman"/>
          <w:sz w:val="28"/>
          <w:szCs w:val="28"/>
        </w:rPr>
        <w:t>явилися патентні ландшафти щодо технології Blockchain компанії–лідери зазнали зміни.</w:t>
      </w:r>
    </w:p>
    <w:p w:rsidR="0039038D" w:rsidRDefault="008D4FA6">
      <w:pPr>
        <w:spacing w:after="0" w:line="360" w:lineRule="auto"/>
        <w:ind w:firstLine="567"/>
        <w:jc w:val="both"/>
        <w:rPr>
          <w:rFonts w:ascii="Times New Roman" w:hAnsi="Times New Roman"/>
          <w:sz w:val="28"/>
          <w:szCs w:val="28"/>
          <w:lang w:val="ru-RU"/>
        </w:rPr>
      </w:pPr>
      <w:r>
        <w:rPr>
          <w:rFonts w:ascii="Times New Roman" w:hAnsi="Times New Roman"/>
          <w:sz w:val="28"/>
          <w:szCs w:val="28"/>
        </w:rPr>
        <w:t>Два роки тому п'ятірка лідерів виглядала наступним чином (табл.</w:t>
      </w:r>
      <w:r>
        <w:rPr>
          <w:rFonts w:ascii="Times New Roman" w:hAnsi="Times New Roman"/>
          <w:sz w:val="28"/>
          <w:szCs w:val="28"/>
          <w:lang w:val="ru-RU"/>
        </w:rPr>
        <w:t xml:space="preserve"> 2.3)</w:t>
      </w:r>
    </w:p>
    <w:p w:rsidR="002015CE" w:rsidRDefault="002015CE">
      <w:pPr>
        <w:spacing w:after="0" w:line="360" w:lineRule="auto"/>
        <w:ind w:firstLine="567"/>
        <w:jc w:val="both"/>
        <w:rPr>
          <w:rFonts w:ascii="Times New Roman" w:hAnsi="Times New Roman"/>
          <w:sz w:val="28"/>
          <w:szCs w:val="28"/>
          <w:lang w:val="ru-RU"/>
        </w:rPr>
      </w:pPr>
    </w:p>
    <w:p w:rsidR="0039038D" w:rsidRDefault="008D4FA6">
      <w:pPr>
        <w:spacing w:after="0" w:line="360" w:lineRule="auto"/>
        <w:ind w:firstLine="567"/>
        <w:jc w:val="center"/>
        <w:rPr>
          <w:rFonts w:ascii="Times New Roman" w:hAnsi="Times New Roman"/>
          <w:sz w:val="28"/>
          <w:szCs w:val="28"/>
        </w:rPr>
      </w:pPr>
      <w:r>
        <w:rPr>
          <w:rFonts w:ascii="Times New Roman" w:hAnsi="Times New Roman"/>
          <w:sz w:val="28"/>
          <w:szCs w:val="28"/>
        </w:rPr>
        <w:t>Таблиця</w:t>
      </w:r>
      <w:r>
        <w:rPr>
          <w:rFonts w:ascii="Times New Roman" w:hAnsi="Times New Roman"/>
          <w:sz w:val="28"/>
          <w:szCs w:val="28"/>
          <w:lang w:val="ru-RU"/>
        </w:rPr>
        <w:t xml:space="preserve"> 2.3 – </w:t>
      </w:r>
      <w:r>
        <w:rPr>
          <w:rFonts w:ascii="Times New Roman" w:hAnsi="Times New Roman"/>
          <w:sz w:val="28"/>
          <w:szCs w:val="28"/>
        </w:rPr>
        <w:t>Лідери по патентуанню, станом на 2017 рік</w:t>
      </w:r>
    </w:p>
    <w:p w:rsidR="002015CE" w:rsidRDefault="002015CE">
      <w:pPr>
        <w:spacing w:after="0" w:line="360" w:lineRule="auto"/>
        <w:ind w:firstLine="567"/>
        <w:jc w:val="center"/>
        <w:rPr>
          <w:rFonts w:ascii="Times New Roman" w:hAnsi="Times New Roman"/>
          <w:sz w:val="28"/>
          <w:szCs w:val="28"/>
        </w:rPr>
      </w:pPr>
    </w:p>
    <w:tbl>
      <w:tblPr>
        <w:tblW w:w="3090" w:type="dxa"/>
        <w:tblInd w:w="3513" w:type="dxa"/>
        <w:tblLook w:val="04A0" w:firstRow="1" w:lastRow="0" w:firstColumn="1" w:lastColumn="0" w:noHBand="0" w:noVBand="1"/>
      </w:tblPr>
      <w:tblGrid>
        <w:gridCol w:w="2130"/>
        <w:gridCol w:w="960"/>
      </w:tblGrid>
      <w:tr w:rsidR="0039038D">
        <w:trPr>
          <w:trHeight w:val="300"/>
        </w:trPr>
        <w:tc>
          <w:tcPr>
            <w:tcW w:w="21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IBM</w:t>
            </w:r>
          </w:p>
        </w:tc>
        <w:tc>
          <w:tcPr>
            <w:tcW w:w="960"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146</w:t>
            </w:r>
          </w:p>
        </w:tc>
      </w:tr>
      <w:tr w:rsidR="0039038D">
        <w:trPr>
          <w:trHeight w:val="300"/>
        </w:trPr>
        <w:tc>
          <w:tcPr>
            <w:tcW w:w="212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NCHAIN</w:t>
            </w:r>
          </w:p>
        </w:tc>
        <w:tc>
          <w:tcPr>
            <w:tcW w:w="960"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111</w:t>
            </w:r>
          </w:p>
        </w:tc>
      </w:tr>
      <w:tr w:rsidR="0039038D">
        <w:trPr>
          <w:trHeight w:val="300"/>
        </w:trPr>
        <w:tc>
          <w:tcPr>
            <w:tcW w:w="212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COINPLUG</w:t>
            </w:r>
          </w:p>
        </w:tc>
        <w:tc>
          <w:tcPr>
            <w:tcW w:w="960"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59</w:t>
            </w:r>
          </w:p>
        </w:tc>
      </w:tr>
      <w:tr w:rsidR="0039038D">
        <w:trPr>
          <w:trHeight w:val="300"/>
        </w:trPr>
        <w:tc>
          <w:tcPr>
            <w:tcW w:w="212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xml:space="preserve">MASTERCARD </w:t>
            </w:r>
          </w:p>
        </w:tc>
        <w:tc>
          <w:tcPr>
            <w:tcW w:w="960"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47</w:t>
            </w:r>
          </w:p>
        </w:tc>
      </w:tr>
      <w:tr w:rsidR="0039038D">
        <w:trPr>
          <w:trHeight w:val="300"/>
        </w:trPr>
        <w:tc>
          <w:tcPr>
            <w:tcW w:w="212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BT</w:t>
            </w:r>
          </w:p>
        </w:tc>
        <w:tc>
          <w:tcPr>
            <w:tcW w:w="960"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47</w:t>
            </w:r>
          </w:p>
        </w:tc>
      </w:tr>
    </w:tbl>
    <w:p w:rsidR="0039038D" w:rsidRDefault="0039038D">
      <w:pPr>
        <w:spacing w:after="0" w:line="360" w:lineRule="auto"/>
        <w:ind w:firstLine="567"/>
        <w:rPr>
          <w:rFonts w:ascii="Times New Roman" w:hAnsi="Times New Roman"/>
          <w:sz w:val="28"/>
          <w:szCs w:val="28"/>
        </w:rPr>
      </w:pP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Згідно з інформацією, яка є в таблиці 2.3, стає очевидним, що </w:t>
      </w:r>
      <w:r>
        <w:rPr>
          <w:rFonts w:ascii="Times New Roman" w:eastAsia="Times New Roman" w:hAnsi="Times New Roman"/>
          <w:color w:val="000000"/>
          <w:sz w:val="28"/>
          <w:szCs w:val="28"/>
          <w:lang w:eastAsia="uk-UA"/>
        </w:rPr>
        <w:t>IBM</w:t>
      </w:r>
      <w:r>
        <w:rPr>
          <w:rFonts w:ascii="Times New Roman" w:hAnsi="Times New Roman"/>
          <w:sz w:val="28"/>
          <w:szCs w:val="28"/>
        </w:rPr>
        <w:t xml:space="preserve"> контролював більше 20 %  ринка патентування розробок в галуз </w:t>
      </w:r>
      <w:r>
        <w:rPr>
          <w:rFonts w:ascii="Times New Roman" w:hAnsi="Times New Roman"/>
          <w:sz w:val="28"/>
          <w:szCs w:val="28"/>
          <w:lang w:val="en-US"/>
        </w:rPr>
        <w:t>Blockchain</w:t>
      </w:r>
      <w:r>
        <w:rPr>
          <w:rFonts w:ascii="Times New Roman" w:hAnsi="Times New Roman"/>
          <w:sz w:val="28"/>
          <w:szCs w:val="28"/>
        </w:rPr>
        <w:t>, але вже через два роки, на сьогоднішній день, віддає лідерство компанія з Китаю, з якими боротися практично неможливо [23].</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Фірма Alibaba, яка займає лідируюче місце в найпопулярніших патентних базах даних, наприклад, в Patentscope, з самого початку не були зацікавлені в розробках у сфері Blockchain. Різке зростання заявок на отримання патентів з'явилося тільки в цьому році, а їх загальна кількість збільшилася більш, ніж в 10 разів (з огляду на, що 2019 рік не закінчився) – з 33 до 403.</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 xml:space="preserve">Саме завдяки значному зростанню </w:t>
      </w:r>
      <w:r>
        <w:rPr>
          <w:rFonts w:ascii="Times New Roman" w:hAnsi="Times New Roman"/>
          <w:sz w:val="28"/>
          <w:szCs w:val="28"/>
          <w:lang w:val="ru-RU"/>
        </w:rPr>
        <w:t xml:space="preserve">патентних документів щодо </w:t>
      </w:r>
      <w:r>
        <w:rPr>
          <w:rFonts w:ascii="Times New Roman" w:hAnsi="Times New Roman"/>
          <w:sz w:val="28"/>
          <w:szCs w:val="28"/>
        </w:rPr>
        <w:t xml:space="preserve">технології </w:t>
      </w:r>
      <w:r>
        <w:rPr>
          <w:rFonts w:ascii="Times New Roman" w:hAnsi="Times New Roman"/>
          <w:sz w:val="28"/>
          <w:szCs w:val="28"/>
          <w:lang w:val="en-US"/>
        </w:rPr>
        <w:t>B</w:t>
      </w:r>
      <w:r>
        <w:rPr>
          <w:rFonts w:ascii="Times New Roman" w:hAnsi="Times New Roman"/>
          <w:sz w:val="28"/>
          <w:szCs w:val="28"/>
        </w:rPr>
        <w:t>lockchain з боку Alibaba виводить Китай в лідери. Даний факт не є особливою несподіванкою, так як Китай зараз намагається стати де–факто "монополістом" у багатьох сферах IT.</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В результаті побудови патентного ландшафту можна зробити наступні висновки:</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1. Технологія Blockchain, незважаючи на свою "популярність" і використання по всьому світу, до сих пір є технологією, що має усі перспективи до подальшого розвитку. Про це свідчить інтенсивність патентування нових розробок. Якщо брати за основу дані бази даних Lens, то з 2014 року, коли був доданий єдиний патентний документ в цьому напрямку, їх загальна кількість виросла (в період за один рік) зросла більш, ніж у дві тисячі разів (у 2019 році, станом на 01.12.19).</w:t>
      </w:r>
    </w:p>
    <w:p w:rsidR="0039038D" w:rsidRDefault="008D4FA6">
      <w:pPr>
        <w:spacing w:after="0" w:line="360" w:lineRule="auto"/>
        <w:ind w:firstLine="567"/>
        <w:jc w:val="both"/>
      </w:pPr>
      <w:r>
        <w:rPr>
          <w:rFonts w:ascii="Times New Roman" w:hAnsi="Times New Roman"/>
          <w:sz w:val="28"/>
          <w:szCs w:val="28"/>
        </w:rPr>
        <w:t xml:space="preserve">2. </w:t>
      </w:r>
      <w:r w:rsidRPr="002015CE">
        <w:rPr>
          <w:rFonts w:ascii="Times New Roman" w:hAnsi="Times New Roman"/>
          <w:sz w:val="28"/>
          <w:szCs w:val="28"/>
        </w:rPr>
        <w:t xml:space="preserve">Лідерами щодо набуття прав в цьому напрямку є </w:t>
      </w:r>
      <w:r>
        <w:rPr>
          <w:rFonts w:ascii="Times New Roman" w:hAnsi="Times New Roman"/>
          <w:sz w:val="28"/>
          <w:szCs w:val="28"/>
        </w:rPr>
        <w:t>передові ІТ держави світу, а саме Китай і США. На частку цих країн припадає більше половини від загальної кількості патентних документів. Також, варто відзначити внесок в розвиток технології з боку Південної Кореї та Австралії.</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3. Аналізуючи МПК варто виділити два основних напрямки, а саме розробки шифрування і кодування (лідер США), використовуючи технологію Blockchain, а також системи і методи проведення транзакцій і інших операцій всередині платіжних систем (лідер Китай).</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4. У контексті таксономії, найбільшу популярність мають розробки додатків, пов'язаних безпосередньо з технологією, а також способів аутентифікації в системі. На ці два напрямки припадають 53% від загальної кількості патентних документів.</w:t>
      </w:r>
    </w:p>
    <w:p w:rsidR="0039038D" w:rsidRDefault="008D4FA6">
      <w:pPr>
        <w:spacing w:after="0" w:line="360" w:lineRule="auto"/>
        <w:ind w:firstLine="567"/>
        <w:jc w:val="both"/>
        <w:rPr>
          <w:rFonts w:ascii="Times New Roman" w:hAnsi="Times New Roman"/>
          <w:sz w:val="28"/>
          <w:szCs w:val="28"/>
        </w:rPr>
      </w:pPr>
      <w:r>
        <w:rPr>
          <w:rFonts w:ascii="Times New Roman" w:hAnsi="Times New Roman"/>
          <w:sz w:val="28"/>
          <w:szCs w:val="28"/>
        </w:rPr>
        <w:t>5. Про "перспективність" технології говорить і той факт, що левова частина від загальної кількості документів, є не повноцінними патентами, а лише заявками на їх отримання. Наприклад, в США кількість заявок досягає 85% (або 870).</w:t>
      </w:r>
    </w:p>
    <w:p w:rsidR="0039038D" w:rsidRDefault="008D4FA6">
      <w:pPr>
        <w:spacing w:after="0" w:line="360" w:lineRule="auto"/>
        <w:ind w:firstLine="567"/>
        <w:jc w:val="both"/>
      </w:pPr>
      <w:r>
        <w:rPr>
          <w:rFonts w:ascii="Times New Roman" w:hAnsi="Times New Roman"/>
          <w:sz w:val="28"/>
          <w:szCs w:val="28"/>
        </w:rPr>
        <w:t>6. Серед компаній–лідерів варто виділити ІBM, Alibaba, Nchain і Mastercard. Кожна компанія демонструє позитивну динаміку інтенсивності патентування, що вказує на подальше зростання розвитку технології. Причому, я</w:t>
      </w:r>
      <w:r w:rsidR="002015CE">
        <w:rPr>
          <w:rFonts w:ascii="Times New Roman" w:hAnsi="Times New Roman"/>
          <w:sz w:val="28"/>
          <w:szCs w:val="28"/>
        </w:rPr>
        <w:t xml:space="preserve">кщо посилатися на класи МПК, то </w:t>
      </w:r>
      <w:r w:rsidRPr="002015CE">
        <w:rPr>
          <w:rFonts w:ascii="Times New Roman" w:hAnsi="Times New Roman"/>
          <w:sz w:val="28"/>
          <w:szCs w:val="28"/>
        </w:rPr>
        <w:t>підкласів, де спостерігається зменшення патентних документів, в період за один рік, немає.</w:t>
      </w:r>
    </w:p>
    <w:p w:rsidR="0039038D" w:rsidRDefault="0039038D">
      <w:pPr>
        <w:spacing w:after="0" w:line="360" w:lineRule="auto"/>
        <w:rPr>
          <w:rFonts w:ascii="Times New Roman" w:hAnsi="Times New Roman"/>
          <w:sz w:val="28"/>
          <w:szCs w:val="28"/>
        </w:rPr>
      </w:pPr>
    </w:p>
    <w:p w:rsidR="0039038D" w:rsidRDefault="0039038D">
      <w:pPr>
        <w:spacing w:after="0" w:line="360" w:lineRule="auto"/>
        <w:rPr>
          <w:rFonts w:ascii="Times New Roman" w:hAnsi="Times New Roman"/>
          <w:sz w:val="28"/>
          <w:szCs w:val="28"/>
        </w:rPr>
      </w:pPr>
    </w:p>
    <w:p w:rsidR="0039038D" w:rsidRDefault="0039038D">
      <w:pPr>
        <w:spacing w:after="0" w:line="360" w:lineRule="auto"/>
        <w:rPr>
          <w:rFonts w:ascii="Times New Roman" w:hAnsi="Times New Roman"/>
          <w:sz w:val="28"/>
          <w:szCs w:val="28"/>
        </w:rPr>
      </w:pPr>
    </w:p>
    <w:p w:rsidR="0039038D" w:rsidRDefault="0039038D">
      <w:pPr>
        <w:spacing w:after="0" w:line="360" w:lineRule="auto"/>
        <w:rPr>
          <w:rFonts w:ascii="Times New Roman" w:hAnsi="Times New Roman"/>
          <w:sz w:val="28"/>
          <w:szCs w:val="28"/>
        </w:rPr>
      </w:pPr>
    </w:p>
    <w:p w:rsidR="0039038D" w:rsidRDefault="0039038D">
      <w:pPr>
        <w:spacing w:after="0" w:line="360" w:lineRule="auto"/>
        <w:rPr>
          <w:rFonts w:ascii="Times New Roman" w:hAnsi="Times New Roman"/>
          <w:sz w:val="28"/>
          <w:szCs w:val="28"/>
        </w:rPr>
      </w:pPr>
    </w:p>
    <w:p w:rsidR="0039038D" w:rsidRDefault="0039038D">
      <w:pPr>
        <w:spacing w:after="0" w:line="360" w:lineRule="auto"/>
        <w:rPr>
          <w:rFonts w:ascii="Times New Roman" w:hAnsi="Times New Roman"/>
          <w:sz w:val="28"/>
          <w:szCs w:val="28"/>
        </w:rPr>
      </w:pPr>
    </w:p>
    <w:p w:rsidR="0039038D" w:rsidRDefault="0039038D">
      <w:pPr>
        <w:spacing w:after="0" w:line="360" w:lineRule="auto"/>
        <w:rPr>
          <w:rFonts w:ascii="Times New Roman" w:hAnsi="Times New Roman"/>
          <w:sz w:val="28"/>
          <w:szCs w:val="28"/>
        </w:rPr>
      </w:pPr>
    </w:p>
    <w:p w:rsidR="0039038D" w:rsidRDefault="0039038D">
      <w:pPr>
        <w:spacing w:after="0" w:line="360" w:lineRule="auto"/>
        <w:rPr>
          <w:rFonts w:ascii="Times New Roman" w:hAnsi="Times New Roman"/>
          <w:sz w:val="28"/>
          <w:szCs w:val="28"/>
        </w:rPr>
      </w:pPr>
    </w:p>
    <w:p w:rsidR="0039038D" w:rsidRDefault="0039038D">
      <w:pPr>
        <w:spacing w:after="0" w:line="360" w:lineRule="auto"/>
        <w:rPr>
          <w:rFonts w:ascii="Times New Roman" w:hAnsi="Times New Roman"/>
          <w:sz w:val="28"/>
          <w:szCs w:val="28"/>
        </w:rPr>
      </w:pPr>
    </w:p>
    <w:p w:rsidR="0039038D" w:rsidRDefault="0039038D">
      <w:pPr>
        <w:spacing w:after="0" w:line="360" w:lineRule="auto"/>
        <w:rPr>
          <w:rFonts w:ascii="Times New Roman" w:hAnsi="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jc w:val="both"/>
        <w:rPr>
          <w:rFonts w:ascii="Times New Roman" w:hAnsi="Times New Roman" w:cs="Times New Roman"/>
          <w:sz w:val="28"/>
          <w:szCs w:val="28"/>
        </w:rPr>
      </w:pPr>
    </w:p>
    <w:p w:rsidR="0039038D" w:rsidRDefault="0039038D">
      <w:pPr>
        <w:spacing w:after="0" w:line="360" w:lineRule="auto"/>
        <w:jc w:val="both"/>
        <w:rPr>
          <w:rFonts w:ascii="Times New Roman" w:hAnsi="Times New Roman" w:cs="Times New Roman"/>
          <w:sz w:val="28"/>
          <w:szCs w:val="28"/>
        </w:rPr>
      </w:pPr>
    </w:p>
    <w:p w:rsidR="0039038D" w:rsidRDefault="0039038D">
      <w:pPr>
        <w:spacing w:after="0" w:line="360" w:lineRule="auto"/>
        <w:jc w:val="both"/>
        <w:rPr>
          <w:rFonts w:ascii="Times New Roman" w:hAnsi="Times New Roman" w:cs="Times New Roman"/>
          <w:sz w:val="28"/>
          <w:szCs w:val="28"/>
        </w:rPr>
      </w:pPr>
    </w:p>
    <w:p w:rsidR="0039038D" w:rsidRDefault="008D4FA6">
      <w:pPr>
        <w:pStyle w:val="ac"/>
        <w:spacing w:after="0" w:line="360" w:lineRule="auto"/>
        <w:ind w:left="1418" w:hanging="638"/>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3 ЕКОНОМІЧНИЙ АНАЛІЗ ДОЦІЛЬНОСТІ ВПРОВАДЖЕННЯ ТЕХНОЛОГІЇ </w:t>
      </w:r>
      <w:r>
        <w:rPr>
          <w:rFonts w:ascii="Times New Roman" w:hAnsi="Times New Roman" w:cs="Times New Roman"/>
          <w:b/>
          <w:sz w:val="28"/>
          <w:szCs w:val="28"/>
          <w:lang w:val="en-US"/>
        </w:rPr>
        <w:t>IBM</w:t>
      </w:r>
      <w:r>
        <w:rPr>
          <w:rFonts w:ascii="Times New Roman" w:hAnsi="Times New Roman" w:cs="Times New Roman"/>
          <w:b/>
          <w:sz w:val="28"/>
          <w:szCs w:val="28"/>
        </w:rPr>
        <w:t xml:space="preserve"> </w:t>
      </w:r>
      <w:r>
        <w:rPr>
          <w:rFonts w:ascii="Times New Roman" w:hAnsi="Times New Roman" w:cs="Times New Roman"/>
          <w:b/>
          <w:sz w:val="28"/>
          <w:szCs w:val="28"/>
          <w:lang w:val="en-US"/>
        </w:rPr>
        <w:t>BLOCKCHAIN</w:t>
      </w:r>
      <w:r>
        <w:rPr>
          <w:rFonts w:ascii="Times New Roman" w:hAnsi="Times New Roman" w:cs="Times New Roman"/>
          <w:b/>
          <w:sz w:val="28"/>
          <w:szCs w:val="28"/>
        </w:rPr>
        <w:t xml:space="preserve"> В ГІПОТЕТИЧНІЙ КОМПАНІЇ</w:t>
      </w:r>
    </w:p>
    <w:p w:rsidR="0039038D" w:rsidRDefault="0039038D">
      <w:pPr>
        <w:pStyle w:val="ac"/>
        <w:spacing w:after="0" w:line="360" w:lineRule="auto"/>
        <w:ind w:left="780"/>
        <w:jc w:val="both"/>
        <w:rPr>
          <w:rFonts w:ascii="Times New Roman" w:hAnsi="Times New Roman" w:cs="Times New Roman"/>
          <w:sz w:val="28"/>
          <w:szCs w:val="28"/>
        </w:rPr>
      </w:pPr>
    </w:p>
    <w:p w:rsidR="0039038D" w:rsidRDefault="008D4FA6">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3.1 Особливості технології </w:t>
      </w:r>
      <w:r>
        <w:rPr>
          <w:rFonts w:ascii="Times New Roman" w:hAnsi="Times New Roman" w:cs="Times New Roman"/>
          <w:b/>
          <w:sz w:val="28"/>
          <w:szCs w:val="28"/>
          <w:lang w:val="en-US"/>
        </w:rPr>
        <w:t>IBM</w:t>
      </w:r>
      <w:r>
        <w:rPr>
          <w:rFonts w:ascii="Times New Roman" w:hAnsi="Times New Roman" w:cs="Times New Roman"/>
          <w:b/>
          <w:sz w:val="28"/>
          <w:szCs w:val="28"/>
        </w:rPr>
        <w:t xml:space="preserve"> </w:t>
      </w:r>
      <w:r>
        <w:rPr>
          <w:rFonts w:ascii="Times New Roman" w:hAnsi="Times New Roman" w:cs="Times New Roman"/>
          <w:b/>
          <w:sz w:val="28"/>
          <w:szCs w:val="28"/>
          <w:lang w:val="en-US"/>
        </w:rPr>
        <w:t>Blockchain</w:t>
      </w:r>
    </w:p>
    <w:p w:rsidR="0039038D" w:rsidRDefault="008D4FA6">
      <w:pPr>
        <w:spacing w:after="0" w:line="36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Blockchain є інструментом, що дозволяє зберігати дані транзакцій.</w:t>
      </w:r>
    </w:p>
    <w:p w:rsidR="0039038D" w:rsidRDefault="008D4FA6">
      <w:pPr>
        <w:spacing w:after="0" w:line="36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Очевидно, що інструмент свідомо не може бути гарним або поганим: використання одного й того ж інструменту може призвести до абсолютно різних результатів.</w:t>
      </w:r>
    </w:p>
    <w:p w:rsidR="0039038D" w:rsidRDefault="008D4FA6">
      <w:pPr>
        <w:spacing w:after="0" w:line="36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Фундаментально нова парадигма – блокчейн, дозволяє організовувати діяльність з меншими зусиллями, підвищувати ефективність і масштабність. Новий цифровий регістр економічних транзакцій може бути запрограмований на збереження практично будь–якої  інформації цінної і важливої ​​для людства: свідоцтва про народження, шлюб, смерть, медичні карти, права власності, дипломи про вищу освіту, голоси на виборах, фінансові звіти, звернення за страховими виплатами, походження продуктів – будь–які відомості, які можуть бути представлені у вигляді коду.</w:t>
      </w:r>
    </w:p>
    <w:p w:rsidR="0039038D" w:rsidRDefault="008D4FA6">
      <w:pPr>
        <w:spacing w:after="0" w:line="36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У звіті компанії Deloitte90 міститься докладна інформація про ставлення до блокчейн–технологій серед підприємств та обсяги інвестицій в даний напрямок. Звіт складений на основі опитування 1053 старших керівників в семи країнах (Канада – 103 респондента, Китай – 205, Франція – 76, Німеччина – 132, Мексика – 103, США – 284 і Великобританія – 150) в компаніях з річним доходом понад 500 мільйонів доларів США</w:t>
      </w:r>
      <w:r>
        <w:rPr>
          <w:rFonts w:ascii="Times New Roman" w:eastAsia="Times New Roman" w:hAnsi="Times New Roman" w:cs="Times New Roman"/>
          <w:color w:val="000000" w:themeColor="text1"/>
          <w:sz w:val="28"/>
          <w:szCs w:val="28"/>
          <w:lang w:val="ru-RU" w:eastAsia="uk-UA"/>
        </w:rPr>
        <w:t xml:space="preserve"> [27]</w:t>
      </w:r>
      <w:r>
        <w:rPr>
          <w:rFonts w:ascii="Times New Roman" w:eastAsia="Times New Roman" w:hAnsi="Times New Roman" w:cs="Times New Roman"/>
          <w:color w:val="000000" w:themeColor="text1"/>
          <w:sz w:val="28"/>
          <w:szCs w:val="28"/>
          <w:lang w:eastAsia="uk-UA"/>
        </w:rPr>
        <w:t>.</w:t>
      </w:r>
    </w:p>
    <w:p w:rsidR="0039038D" w:rsidRDefault="008D4FA6">
      <w:pPr>
        <w:spacing w:after="0" w:line="36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Респонденти мали широке розуміння блокчейн–технологій і могли коментувати інвестиційні плани їх організацій. </w:t>
      </w:r>
    </w:p>
    <w:p w:rsidR="0039038D" w:rsidRDefault="008D4FA6">
      <w:pPr>
        <w:spacing w:after="0" w:line="36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Згідно з даними звіту, блокчейн є пріоритетною інвестицією для багатьох компаній, 39% компаній інвестує 5 млн доларів або більше на рік.</w:t>
      </w:r>
    </w:p>
    <w:p w:rsidR="0039038D" w:rsidRDefault="008D4FA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Кожна організація, яка планує використовувати технологію </w:t>
      </w:r>
      <w:r>
        <w:rPr>
          <w:rFonts w:ascii="Times New Roman" w:eastAsia="Times New Roman" w:hAnsi="Times New Roman" w:cs="Times New Roman"/>
          <w:sz w:val="28"/>
          <w:szCs w:val="28"/>
          <w:lang w:val="en-US" w:eastAsia="uk-UA"/>
        </w:rPr>
        <w:t>Blockchain</w:t>
      </w:r>
      <w:r>
        <w:rPr>
          <w:rFonts w:ascii="Times New Roman" w:eastAsia="Times New Roman" w:hAnsi="Times New Roman" w:cs="Times New Roman"/>
          <w:sz w:val="28"/>
          <w:szCs w:val="28"/>
          <w:lang w:eastAsia="uk-UA"/>
        </w:rPr>
        <w:t>, повинна провести аналіз економічної ефективності впровадження нової технології в своє виробництво.</w:t>
      </w:r>
    </w:p>
    <w:p w:rsidR="0039038D" w:rsidRDefault="008D4FA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Достатня кількість звітів сьогодні знаходиться у відкритому доступі і яскравим прикладом подібних досліджень можна вважати «Аналіз компанії </w:t>
      </w:r>
      <w:r>
        <w:rPr>
          <w:rFonts w:ascii="Times New Roman" w:eastAsia="Times New Roman" w:hAnsi="Times New Roman" w:cs="Times New Roman"/>
          <w:sz w:val="28"/>
          <w:szCs w:val="28"/>
          <w:lang w:val="ru-RU" w:eastAsia="uk-UA"/>
        </w:rPr>
        <w:t>Forrester</w:t>
      </w:r>
      <w:r>
        <w:rPr>
          <w:rFonts w:ascii="Times New Roman" w:eastAsia="Times New Roman" w:hAnsi="Times New Roman" w:cs="Times New Roman"/>
          <w:sz w:val="28"/>
          <w:szCs w:val="28"/>
          <w:lang w:eastAsia="uk-UA"/>
        </w:rPr>
        <w:t xml:space="preserve"> щодо загального економічного ефекту від впровадження технології </w:t>
      </w:r>
      <w:r>
        <w:rPr>
          <w:rFonts w:ascii="Times New Roman" w:eastAsia="Times New Roman" w:hAnsi="Times New Roman" w:cs="Times New Roman"/>
          <w:sz w:val="28"/>
          <w:szCs w:val="28"/>
          <w:lang w:val="en-US" w:eastAsia="uk-UA"/>
        </w:rPr>
        <w:t>IBM</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Blockchain</w:t>
      </w:r>
      <w:r>
        <w:rPr>
          <w:rFonts w:ascii="Times New Roman" w:eastAsia="Times New Roman" w:hAnsi="Times New Roman" w:cs="Times New Roman"/>
          <w:sz w:val="28"/>
          <w:szCs w:val="28"/>
          <w:lang w:eastAsia="uk-UA"/>
        </w:rPr>
        <w:t>» [28].</w:t>
      </w:r>
    </w:p>
    <w:p w:rsidR="0039038D" w:rsidRDefault="008D4FA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Нещодавно IBM оприлюднила свою «Blockchain Service», що базується на відкритій версії Hyperledger Fabric, версія 1.0 від Linux Foundation. IBM Blockchain – це загальнодоступна хмарна послуга, яку клієнти можуть використовувати для створення захищених Blockchain–мереж. По суті,  </w:t>
      </w:r>
      <w:r>
        <w:rPr>
          <w:rFonts w:ascii="Times New Roman" w:eastAsia="Times New Roman" w:hAnsi="Times New Roman" w:cs="Times New Roman"/>
          <w:color w:val="000000"/>
          <w:sz w:val="28"/>
          <w:szCs w:val="28"/>
          <w:lang w:val="en-US" w:eastAsia="uk-UA"/>
        </w:rPr>
        <w:t>IBM</w:t>
      </w:r>
      <w:r>
        <w:rPr>
          <w:rFonts w:ascii="Times New Roman" w:eastAsia="Times New Roman" w:hAnsi="Times New Roman" w:cs="Times New Roman"/>
          <w:color w:val="000000"/>
          <w:sz w:val="28"/>
          <w:szCs w:val="28"/>
          <w:lang w:val="ru-RU" w:eastAsia="uk-UA"/>
        </w:rPr>
        <w:t xml:space="preserve"> </w:t>
      </w:r>
      <w:r>
        <w:rPr>
          <w:rFonts w:ascii="Times New Roman" w:eastAsia="Times New Roman" w:hAnsi="Times New Roman" w:cs="Times New Roman"/>
          <w:color w:val="000000"/>
          <w:sz w:val="28"/>
          <w:szCs w:val="28"/>
          <w:lang w:eastAsia="uk-UA"/>
        </w:rPr>
        <w:t>Blockchain – прозорий цифровий журнал, захищений від несанкціонованого захисту</w:t>
      </w:r>
      <w:r>
        <w:rPr>
          <w:rFonts w:ascii="Times New Roman" w:eastAsia="Times New Roman" w:hAnsi="Times New Roman" w:cs="Times New Roman"/>
          <w:color w:val="000000"/>
          <w:sz w:val="28"/>
          <w:szCs w:val="28"/>
          <w:lang w:val="ru-RU" w:eastAsia="uk-UA"/>
        </w:rPr>
        <w:t xml:space="preserve"> [23]</w:t>
      </w:r>
      <w:r>
        <w:rPr>
          <w:rFonts w:ascii="Times New Roman" w:eastAsia="Times New Roman" w:hAnsi="Times New Roman" w:cs="Times New Roman"/>
          <w:color w:val="000000"/>
          <w:sz w:val="28"/>
          <w:szCs w:val="28"/>
          <w:lang w:eastAsia="uk-UA"/>
        </w:rPr>
        <w:t>.</w:t>
      </w:r>
    </w:p>
    <w:p w:rsidR="0039038D" w:rsidRDefault="008D4FA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Blockchain IBM – це перспективна технологія; заснована на </w:t>
      </w:r>
      <w:r>
        <w:rPr>
          <w:rFonts w:ascii="Times New Roman" w:eastAsia="Times New Roman" w:hAnsi="Times New Roman" w:cs="Times New Roman"/>
          <w:color w:val="000000"/>
          <w:sz w:val="28"/>
          <w:szCs w:val="28"/>
          <w:lang w:val="en-US" w:eastAsia="uk-UA"/>
        </w:rPr>
        <w:t>Blockchain</w:t>
      </w:r>
      <w:r>
        <w:rPr>
          <w:rFonts w:ascii="Times New Roman" w:eastAsia="Times New Roman" w:hAnsi="Times New Roman" w:cs="Times New Roman"/>
          <w:color w:val="000000"/>
          <w:sz w:val="28"/>
          <w:szCs w:val="28"/>
          <w:lang w:eastAsia="uk-UA"/>
        </w:rPr>
        <w:t xml:space="preserve"> мережі, яка пропонує можливість створювати нові бізнес–моделі і моделі довіри, тому в даному випадку цілком можна застосувати вираз «революційний потенціал». Здатність цієї технології підтримувати багатосторонню взаємодію на основі загальних довірених даних і автоматизації процесу за межами організаційних кордонів забезпечує вигоди на декількох рівнях – починаючи з підвищення ефективності і закінчуючи перетворенням всього порядку функціонування галузевих екосистем.</w:t>
      </w:r>
    </w:p>
    <w:p w:rsidR="0039038D" w:rsidRDefault="008D4FA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IBM надає Blockchain–платформу, Blockchain–сервіси і підтримку екосистеми тим організаціям, які бажають створювати і розгортати власні Blockchain–рішення.</w:t>
      </w:r>
    </w:p>
    <w:p w:rsidR="0039038D" w:rsidRDefault="008D4FA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Організації вибирають корпорацію IBM в якості свого партнера зі створення і розгортання Blockchain–рішення з наступних причин [23]:</w:t>
      </w:r>
    </w:p>
    <w:p w:rsidR="0039038D" w:rsidRDefault="008D4FA6">
      <w:pPr>
        <w:pStyle w:val="ac"/>
        <w:numPr>
          <w:ilvl w:val="0"/>
          <w:numId w:val="29"/>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IBM розглядається як надійний довгостроковий партнер по технології  з підтвердженим «послужним списком» і з великою базою замовників, а також з релевантністю ділової та галузевої кваліфікацією;</w:t>
      </w:r>
    </w:p>
    <w:p w:rsidR="0039038D" w:rsidRDefault="008D4FA6">
      <w:pPr>
        <w:pStyle w:val="ac"/>
        <w:numPr>
          <w:ilvl w:val="0"/>
          <w:numId w:val="29"/>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IBM має глибокі технічні знання за технологією Blockchain, що допомагає реалізовувати задуми в області Blockchain;</w:t>
      </w:r>
    </w:p>
    <w:p w:rsidR="0039038D" w:rsidRDefault="008D4FA6">
      <w:pPr>
        <w:pStyle w:val="ac"/>
        <w:numPr>
          <w:ilvl w:val="0"/>
          <w:numId w:val="29"/>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IBM має експертні знання в області моделі керівництва;</w:t>
      </w:r>
    </w:p>
    <w:p w:rsidR="0039038D" w:rsidRDefault="008D4FA6">
      <w:pPr>
        <w:pStyle w:val="ac"/>
        <w:numPr>
          <w:ilvl w:val="0"/>
          <w:numId w:val="29"/>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lastRenderedPageBreak/>
        <w:t>Технологія т.зв. «Ексклюзивного Blockchain» (permissioned blockchain) гарантує контроль над тим, хто приєднується до Blockchain–мережі, і над тим, як ці учасники отримують доступ до інформації;</w:t>
      </w:r>
    </w:p>
    <w:p w:rsidR="0039038D" w:rsidRDefault="008D4FA6">
      <w:pPr>
        <w:pStyle w:val="ac"/>
        <w:numPr>
          <w:ilvl w:val="0"/>
          <w:numId w:val="29"/>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Співпраця з IBM по виявленню і вирішуванню мережевих проблем  прискорює створення Blockchain–рішення.</w:t>
      </w:r>
    </w:p>
    <w:p w:rsidR="0039038D" w:rsidRDefault="008D4FA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Є такі два аспекти, завдяки яким TEI–аналіз рішення є унікальним:</w:t>
      </w:r>
    </w:p>
    <w:p w:rsidR="0039038D" w:rsidRDefault="008D4FA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1) Організації знаходяться в стадії впровадження великого набору додатків і сценаріїв застосування з використанням IBM Blockchain.</w:t>
      </w:r>
    </w:p>
    <w:p w:rsidR="0039038D" w:rsidRDefault="008D4FA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2) Опитані в ході різних досліджень організації ще не повністю розгорнули свої рішення на основі IBM Blockchain Platform and Services.</w:t>
      </w:r>
    </w:p>
    <w:p w:rsidR="0039038D" w:rsidRDefault="008D4FA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З цих причин в рамках дослідження при аналізі перспективної технології Blockchain застосовується методика TEI з відповідними моделями розрахунку. Модулі вигід і модулі витрат сформовані на основі розгортання для конкретних сценаріїв застосування в опитаних організаціях і узагальнені на більш широке коло додатків.</w:t>
      </w:r>
    </w:p>
    <w:p w:rsidR="0039038D" w:rsidRDefault="008D4FA6">
      <w:pPr>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 нинішній стадії розвитку технології Blockchain і ринку для неї кожне Blockchain–рішення є унікальним – воно засноване на конкретному проекті з конкретним сценарієм застосування, що задовольняє вимоги відповідної організації до Blockchain–платформи.</w:t>
      </w:r>
    </w:p>
    <w:p w:rsidR="0039038D" w:rsidRDefault="0039038D">
      <w:pPr>
        <w:spacing w:after="0" w:line="360" w:lineRule="auto"/>
        <w:ind w:firstLine="567"/>
        <w:jc w:val="both"/>
        <w:rPr>
          <w:rFonts w:ascii="Times New Roman" w:eastAsia="Times New Roman" w:hAnsi="Times New Roman" w:cs="Times New Roman"/>
          <w:color w:val="000000"/>
          <w:sz w:val="28"/>
          <w:szCs w:val="28"/>
          <w:lang w:eastAsia="uk-UA"/>
        </w:rPr>
      </w:pPr>
    </w:p>
    <w:p w:rsidR="0039038D" w:rsidRDefault="008D4FA6">
      <w:pPr>
        <w:pStyle w:val="ac"/>
        <w:numPr>
          <w:ilvl w:val="1"/>
          <w:numId w:val="26"/>
        </w:numPr>
        <w:spacing w:after="0" w:line="360" w:lineRule="auto"/>
        <w:jc w:val="both"/>
        <w:rPr>
          <w:rFonts w:ascii="Times New Roman" w:eastAsia="Times New Roman" w:hAnsi="Times New Roman" w:cs="Times New Roman"/>
          <w:b/>
          <w:color w:val="000000"/>
          <w:sz w:val="28"/>
          <w:szCs w:val="28"/>
          <w:lang w:val="ru-RU" w:eastAsia="uk-UA"/>
        </w:rPr>
      </w:pPr>
      <w:r>
        <w:rPr>
          <w:rFonts w:ascii="Times New Roman" w:eastAsia="Times New Roman" w:hAnsi="Times New Roman" w:cs="Times New Roman"/>
          <w:b/>
          <w:color w:val="000000"/>
          <w:sz w:val="28"/>
          <w:szCs w:val="28"/>
          <w:lang w:eastAsia="uk-UA"/>
        </w:rPr>
        <w:t xml:space="preserve">Аналіз ефективності впровадження технології </w:t>
      </w:r>
      <w:r>
        <w:rPr>
          <w:rFonts w:ascii="Times New Roman" w:eastAsia="Times New Roman" w:hAnsi="Times New Roman" w:cs="Times New Roman"/>
          <w:b/>
          <w:color w:val="000000"/>
          <w:sz w:val="28"/>
          <w:szCs w:val="28"/>
          <w:lang w:val="en-US" w:eastAsia="uk-UA"/>
        </w:rPr>
        <w:t>IBM</w:t>
      </w:r>
      <w:r>
        <w:rPr>
          <w:rFonts w:ascii="Times New Roman" w:eastAsia="Times New Roman" w:hAnsi="Times New Roman" w:cs="Times New Roman"/>
          <w:b/>
          <w:color w:val="000000"/>
          <w:sz w:val="28"/>
          <w:szCs w:val="28"/>
          <w:lang w:val="ru-RU" w:eastAsia="uk-UA"/>
        </w:rPr>
        <w:t xml:space="preserve"> </w:t>
      </w:r>
      <w:r>
        <w:rPr>
          <w:rFonts w:ascii="Times New Roman" w:eastAsia="Times New Roman" w:hAnsi="Times New Roman" w:cs="Times New Roman"/>
          <w:b/>
          <w:color w:val="000000"/>
          <w:sz w:val="28"/>
          <w:szCs w:val="28"/>
          <w:lang w:val="en-US" w:eastAsia="uk-UA"/>
        </w:rPr>
        <w:t>Blockchain</w:t>
      </w:r>
    </w:p>
    <w:p w:rsidR="0039038D" w:rsidRDefault="008D4FA6">
      <w:pPr>
        <w:spacing w:after="0" w:line="360" w:lineRule="auto"/>
        <w:ind w:firstLine="567"/>
        <w:jc w:val="both"/>
        <w:rPr>
          <w:rFonts w:ascii="Times New Roman" w:eastAsia="Times New Roman" w:hAnsi="Times New Roman" w:cs="Times New Roman"/>
          <w:sz w:val="28"/>
          <w:szCs w:val="28"/>
          <w:lang w:val="en-US" w:eastAsia="uk-UA"/>
        </w:rPr>
      </w:pPr>
      <w:r>
        <w:rPr>
          <w:rFonts w:ascii="Times New Roman" w:eastAsia="Times New Roman" w:hAnsi="Times New Roman" w:cs="Times New Roman"/>
          <w:sz w:val="28"/>
          <w:szCs w:val="28"/>
          <w:lang w:eastAsia="uk-UA"/>
        </w:rPr>
        <w:t xml:space="preserve">Дані, що наведені у цьому підрозділі, зроблені після аналізу звітів з фінансової ефективності впровадження зазначеної технологі, наприклад компанією </w:t>
      </w:r>
      <w:r>
        <w:rPr>
          <w:rFonts w:ascii="Times New Roman" w:eastAsia="Times New Roman" w:hAnsi="Times New Roman" w:cs="Times New Roman"/>
          <w:sz w:val="28"/>
          <w:szCs w:val="28"/>
          <w:lang w:val="en-US" w:eastAsia="uk-UA"/>
        </w:rPr>
        <w:t>Forrester.</w:t>
      </w:r>
    </w:p>
    <w:p w:rsidR="0039038D" w:rsidRDefault="008D4FA6">
      <w:pPr>
        <w:spacing w:after="0" w:line="360" w:lineRule="auto"/>
        <w:ind w:firstLine="567"/>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Компанії, за даними яких проводилися дослідження:</w:t>
      </w:r>
    </w:p>
    <w:p w:rsidR="0039038D" w:rsidRDefault="008D4FA6">
      <w:pPr>
        <w:pStyle w:val="ac"/>
        <w:numPr>
          <w:ilvl w:val="0"/>
          <w:numId w:val="32"/>
        </w:numPr>
        <w:spacing w:after="0" w:line="360" w:lineRule="auto"/>
        <w:jc w:val="both"/>
        <w:rPr>
          <w:rFonts w:ascii="Times New Roman" w:eastAsia="Times New Roman" w:hAnsi="Times New Roman" w:cs="Times New Roman"/>
          <w:sz w:val="28"/>
          <w:szCs w:val="28"/>
          <w:lang w:val="en-US" w:eastAsia="uk-UA"/>
        </w:rPr>
      </w:pPr>
      <w:r>
        <w:rPr>
          <w:rFonts w:ascii="Times New Roman" w:eastAsia="Times New Roman" w:hAnsi="Times New Roman" w:cs="Times New Roman"/>
          <w:sz w:val="28"/>
          <w:szCs w:val="28"/>
          <w:lang w:val="en-US" w:eastAsia="uk-UA"/>
        </w:rPr>
        <w:t>Alectra Utillities (енергозберігаюча компанія);</w:t>
      </w:r>
    </w:p>
    <w:p w:rsidR="0039038D" w:rsidRDefault="008D4FA6">
      <w:pPr>
        <w:pStyle w:val="ac"/>
        <w:numPr>
          <w:ilvl w:val="0"/>
          <w:numId w:val="32"/>
        </w:numPr>
        <w:spacing w:after="0" w:line="360" w:lineRule="auto"/>
        <w:jc w:val="both"/>
        <w:rPr>
          <w:rFonts w:ascii="Times New Roman" w:eastAsia="Times New Roman" w:hAnsi="Times New Roman" w:cs="Times New Roman"/>
          <w:sz w:val="28"/>
          <w:szCs w:val="28"/>
          <w:lang w:val="en-US" w:eastAsia="uk-UA"/>
        </w:rPr>
      </w:pPr>
      <w:r>
        <w:rPr>
          <w:rFonts w:ascii="Times New Roman" w:eastAsia="Times New Roman" w:hAnsi="Times New Roman" w:cs="Times New Roman"/>
          <w:sz w:val="28"/>
          <w:szCs w:val="28"/>
          <w:lang w:val="en-US" w:eastAsia="uk-UA"/>
        </w:rPr>
        <w:t>Interac Corp. (фінансові послуги);</w:t>
      </w:r>
    </w:p>
    <w:p w:rsidR="0039038D" w:rsidRDefault="008D4FA6">
      <w:pPr>
        <w:pStyle w:val="ac"/>
        <w:numPr>
          <w:ilvl w:val="0"/>
          <w:numId w:val="32"/>
        </w:numPr>
        <w:spacing w:after="0" w:line="360" w:lineRule="auto"/>
        <w:jc w:val="both"/>
        <w:rPr>
          <w:rFonts w:ascii="Times New Roman" w:eastAsia="Times New Roman" w:hAnsi="Times New Roman" w:cs="Times New Roman"/>
          <w:sz w:val="28"/>
          <w:szCs w:val="28"/>
          <w:lang w:val="en-US" w:eastAsia="uk-UA"/>
        </w:rPr>
      </w:pPr>
      <w:r>
        <w:rPr>
          <w:rFonts w:ascii="Times New Roman" w:eastAsia="Times New Roman" w:hAnsi="Times New Roman" w:cs="Times New Roman"/>
          <w:sz w:val="28"/>
          <w:szCs w:val="28"/>
          <w:lang w:val="en-US" w:eastAsia="uk-UA"/>
        </w:rPr>
        <w:t>Chainyard (консалтінгова компанія у галузі Blockchain);</w:t>
      </w:r>
    </w:p>
    <w:p w:rsidR="0039038D" w:rsidRDefault="008D4FA6">
      <w:pPr>
        <w:pStyle w:val="ac"/>
        <w:numPr>
          <w:ilvl w:val="0"/>
          <w:numId w:val="32"/>
        </w:numPr>
        <w:spacing w:after="0" w:line="360" w:lineRule="auto"/>
        <w:jc w:val="both"/>
        <w:rPr>
          <w:rFonts w:ascii="Times New Roman" w:eastAsia="Times New Roman" w:hAnsi="Times New Roman" w:cs="Times New Roman"/>
          <w:sz w:val="28"/>
          <w:szCs w:val="28"/>
          <w:lang w:val="en-US" w:eastAsia="uk-UA"/>
        </w:rPr>
      </w:pPr>
      <w:r>
        <w:rPr>
          <w:rFonts w:ascii="Times New Roman" w:eastAsia="Times New Roman" w:hAnsi="Times New Roman" w:cs="Times New Roman"/>
          <w:sz w:val="28"/>
          <w:szCs w:val="28"/>
          <w:lang w:val="en-US" w:eastAsia="uk-UA"/>
        </w:rPr>
        <w:t>we.trade (сумісне підприємство 9 банків, міжнародна організація)</w:t>
      </w:r>
    </w:p>
    <w:p w:rsidR="0039038D" w:rsidRDefault="008D4FA6">
      <w:pPr>
        <w:pStyle w:val="ac"/>
        <w:numPr>
          <w:ilvl w:val="0"/>
          <w:numId w:val="32"/>
        </w:numPr>
        <w:spacing w:after="0" w:line="360" w:lineRule="auto"/>
        <w:jc w:val="both"/>
        <w:rPr>
          <w:rFonts w:ascii="Times New Roman" w:eastAsia="Times New Roman" w:hAnsi="Times New Roman" w:cs="Times New Roman"/>
          <w:sz w:val="28"/>
          <w:szCs w:val="28"/>
          <w:lang w:val="en-US" w:eastAsia="uk-UA"/>
        </w:rPr>
      </w:pPr>
      <w:r>
        <w:rPr>
          <w:rFonts w:ascii="Times New Roman" w:eastAsia="Times New Roman" w:hAnsi="Times New Roman" w:cs="Times New Roman"/>
          <w:sz w:val="28"/>
          <w:szCs w:val="28"/>
          <w:lang w:val="en-US" w:eastAsia="uk-UA"/>
        </w:rPr>
        <w:t>SecureKey (послуги ідентифікації та аутентифікації)</w:t>
      </w:r>
    </w:p>
    <w:p w:rsidR="0039038D" w:rsidRDefault="008D4FA6">
      <w:pPr>
        <w:pStyle w:val="ac"/>
        <w:numPr>
          <w:ilvl w:val="0"/>
          <w:numId w:val="32"/>
        </w:numPr>
        <w:spacing w:after="0" w:line="360" w:lineRule="auto"/>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Міжнародна компанія у галузі транспорта та логистики).</w:t>
      </w:r>
    </w:p>
    <w:p w:rsidR="0039038D" w:rsidRDefault="008D4FA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lastRenderedPageBreak/>
        <w:t>На високому рівні модулі вигід можна розбити на дві категорії – вигоди, що створюють нові можливості та вигоди, що вирішують існуючі проблем. Модулі витрат розбиваються на категорії згідно з етапами, на яких вони мають місце (етап дослідного проекту, етап комерціалізації, етап експлуатації).</w:t>
      </w:r>
    </w:p>
    <w:p w:rsidR="0039038D" w:rsidRDefault="008D4FA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Фінансове моделювання на основі прогнозів по своїй суті породжує більше ризиків, ніж аналіз реалізованих вигід і дійсних витрат. З цієї причини методика TEI при аналізі перспективної технології включає в себе корекцію прогнозів на основі фактори ризику.</w:t>
      </w:r>
    </w:p>
    <w:p w:rsidR="0039038D" w:rsidRDefault="008D4FA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Ризики під час фінансового моделювання можна поділити на:</w:t>
      </w:r>
    </w:p>
    <w:p w:rsidR="0039038D" w:rsidRDefault="008D4FA6">
      <w:pPr>
        <w:pStyle w:val="ac"/>
        <w:numPr>
          <w:ilvl w:val="0"/>
          <w:numId w:val="28"/>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Ризик впливу – це ризик того, що ділові або технологічні потреби організації не будуть задоволені належними інвестиціями. В результаті цього всі потенційні вигоди знаходяться в тому чи іншому діапазоні. Чим вище невизначеність, тим ширше можливий діапазон результатів при оцінці відповідної вигоди.</w:t>
      </w:r>
    </w:p>
    <w:p w:rsidR="0039038D" w:rsidRDefault="008D4FA6">
      <w:pPr>
        <w:pStyle w:val="ac"/>
        <w:numPr>
          <w:ilvl w:val="0"/>
          <w:numId w:val="28"/>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Ризик реалізації – це ризик того, що реально пропоновані інвестиції можуть відрізнятися від вихідних або від очікуваних вимог, що призведе до більш високих витрат, ніж очікувалося. Чим вище невизначеність, тим ширше можливий діапазон результатів при оцінці відповідної статті витрат.</w:t>
      </w:r>
    </w:p>
    <w:p w:rsidR="0039038D" w:rsidRDefault="008D4FA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Дохід від абонентського обслуговування є одним з найважливіших факторів, які впливають на економічну вигоду впровадження Blockchain–технології.</w:t>
      </w:r>
    </w:p>
    <w:p w:rsidR="0039038D" w:rsidRDefault="008D4FA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Величина цієї вигоди залежить від наступних факторів.</w:t>
      </w:r>
    </w:p>
    <w:p w:rsidR="0039038D" w:rsidRDefault="008D4FA6">
      <w:pPr>
        <w:pStyle w:val="ac"/>
        <w:numPr>
          <w:ilvl w:val="0"/>
          <w:numId w:val="27"/>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Кількість нових учасників, що приєднуються до Blockchain–платформи за рік.</w:t>
      </w:r>
    </w:p>
    <w:p w:rsidR="0039038D" w:rsidRDefault="008D4FA6">
      <w:pPr>
        <w:pStyle w:val="ac"/>
        <w:numPr>
          <w:ilvl w:val="0"/>
          <w:numId w:val="27"/>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Вступні внески нових учасників.</w:t>
      </w:r>
    </w:p>
    <w:p w:rsidR="0039038D" w:rsidRDefault="008D4FA6">
      <w:pPr>
        <w:pStyle w:val="ac"/>
        <w:numPr>
          <w:ilvl w:val="0"/>
          <w:numId w:val="27"/>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Річна абонентська плата.</w:t>
      </w:r>
    </w:p>
    <w:p w:rsidR="0039038D" w:rsidRDefault="008D4FA6">
      <w:pPr>
        <w:pStyle w:val="ac"/>
        <w:numPr>
          <w:ilvl w:val="0"/>
          <w:numId w:val="27"/>
        </w:num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Відтік учасників за рік. Цей фактор зменшує кількість учасників, які виплачують річну абонентську плату.</w:t>
      </w:r>
    </w:p>
    <w:p w:rsidR="0039038D" w:rsidRDefault="008D4FA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Дохід, який компанія отримає завдяки новим учасникам складається з:</w:t>
      </w:r>
    </w:p>
    <w:p w:rsidR="0039038D" w:rsidRDefault="008D4FA6">
      <w:pPr>
        <w:pStyle w:val="ac"/>
        <w:numPr>
          <w:ilvl w:val="0"/>
          <w:numId w:val="30"/>
        </w:numPr>
        <w:spacing w:after="0" w:line="360" w:lineRule="auto"/>
        <w:ind w:left="1418" w:hanging="425"/>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Кількості учасників, які додаються до неї за рік;</w:t>
      </w:r>
    </w:p>
    <w:p w:rsidR="0039038D" w:rsidRDefault="008D4FA6">
      <w:pPr>
        <w:pStyle w:val="ac"/>
        <w:numPr>
          <w:ilvl w:val="0"/>
          <w:numId w:val="30"/>
        </w:numPr>
        <w:spacing w:after="0" w:line="360" w:lineRule="auto"/>
        <w:ind w:left="1418" w:hanging="425"/>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lastRenderedPageBreak/>
        <w:t>Вступних внесків, які будуть внесені новими учасниками.</w:t>
      </w:r>
    </w:p>
    <w:p w:rsidR="0039038D" w:rsidRDefault="008D4FA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Від учасників компанії, які приєднані протягом довгого часу дохід можна очікувати при річній абонентській платі всіх учасників (варто враховувати, що за рік кількість учасників буде змінюватися).</w:t>
      </w:r>
    </w:p>
    <w:p w:rsidR="0039038D" w:rsidRDefault="008D4FA6">
      <w:pPr>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Всі ці складові в результаті приносять дохід компанії від абонентського обслуговування (табл. 3.1).</w:t>
      </w:r>
    </w:p>
    <w:p w:rsidR="0039038D" w:rsidRDefault="0039038D">
      <w:pPr>
        <w:spacing w:after="0" w:line="360" w:lineRule="auto"/>
        <w:ind w:firstLine="567"/>
        <w:jc w:val="both"/>
        <w:rPr>
          <w:rFonts w:ascii="Times New Roman" w:eastAsia="Times New Roman" w:hAnsi="Times New Roman" w:cs="Times New Roman"/>
          <w:sz w:val="24"/>
          <w:szCs w:val="24"/>
          <w:lang w:eastAsia="uk-UA"/>
        </w:rPr>
      </w:pPr>
    </w:p>
    <w:p w:rsidR="0039038D" w:rsidRDefault="008D4FA6">
      <w:pPr>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Таблиця 3.1 – Потенційний дохід компанії від абонентських внесків учасників</w:t>
      </w:r>
    </w:p>
    <w:p w:rsidR="002015CE" w:rsidRDefault="002015CE">
      <w:pPr>
        <w:spacing w:after="0" w:line="360" w:lineRule="auto"/>
        <w:ind w:firstLine="567"/>
        <w:jc w:val="both"/>
        <w:rPr>
          <w:rFonts w:ascii="Times New Roman" w:eastAsia="Times New Roman" w:hAnsi="Times New Roman" w:cs="Times New Roman"/>
          <w:sz w:val="24"/>
          <w:szCs w:val="24"/>
          <w:lang w:eastAsia="uk-UA"/>
        </w:rPr>
      </w:pPr>
    </w:p>
    <w:tbl>
      <w:tblPr>
        <w:tblW w:w="9006" w:type="dxa"/>
        <w:tblInd w:w="738" w:type="dxa"/>
        <w:tblLook w:val="04A0" w:firstRow="1" w:lastRow="0" w:firstColumn="1" w:lastColumn="0" w:noHBand="0" w:noVBand="1"/>
      </w:tblPr>
      <w:tblGrid>
        <w:gridCol w:w="4120"/>
        <w:gridCol w:w="1266"/>
        <w:gridCol w:w="992"/>
        <w:gridCol w:w="850"/>
        <w:gridCol w:w="815"/>
        <w:gridCol w:w="963"/>
      </w:tblGrid>
      <w:tr w:rsidR="0039038D">
        <w:trPr>
          <w:trHeight w:val="330"/>
        </w:trPr>
        <w:tc>
          <w:tcPr>
            <w:tcW w:w="4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Показник</w:t>
            </w:r>
          </w:p>
        </w:tc>
        <w:tc>
          <w:tcPr>
            <w:tcW w:w="1266"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1</w:t>
            </w:r>
          </w:p>
        </w:tc>
        <w:tc>
          <w:tcPr>
            <w:tcW w:w="992"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2</w:t>
            </w:r>
          </w:p>
        </w:tc>
        <w:tc>
          <w:tcPr>
            <w:tcW w:w="850"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3</w:t>
            </w:r>
          </w:p>
        </w:tc>
        <w:tc>
          <w:tcPr>
            <w:tcW w:w="815"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4</w:t>
            </w:r>
          </w:p>
        </w:tc>
        <w:tc>
          <w:tcPr>
            <w:tcW w:w="963"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5</w:t>
            </w:r>
          </w:p>
        </w:tc>
      </w:tr>
      <w:tr w:rsidR="0039038D">
        <w:trPr>
          <w:trHeight w:val="330"/>
        </w:trPr>
        <w:tc>
          <w:tcPr>
            <w:tcW w:w="411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Кількість нових учасників, доданих за рік</w:t>
            </w:r>
          </w:p>
        </w:tc>
        <w:tc>
          <w:tcPr>
            <w:tcW w:w="1266"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w:t>
            </w:r>
          </w:p>
        </w:tc>
        <w:tc>
          <w:tcPr>
            <w:tcW w:w="850"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w:t>
            </w:r>
          </w:p>
        </w:tc>
        <w:tc>
          <w:tcPr>
            <w:tcW w:w="815"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w:t>
            </w:r>
          </w:p>
        </w:tc>
        <w:tc>
          <w:tcPr>
            <w:tcW w:w="963"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w:t>
            </w:r>
          </w:p>
        </w:tc>
      </w:tr>
      <w:tr w:rsidR="0039038D">
        <w:trPr>
          <w:trHeight w:val="330"/>
        </w:trPr>
        <w:tc>
          <w:tcPr>
            <w:tcW w:w="411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Вступний внесок (тис. дол.)</w:t>
            </w:r>
          </w:p>
        </w:tc>
        <w:tc>
          <w:tcPr>
            <w:tcW w:w="1266"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100</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100</w:t>
            </w:r>
          </w:p>
        </w:tc>
        <w:tc>
          <w:tcPr>
            <w:tcW w:w="850"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100</w:t>
            </w:r>
          </w:p>
        </w:tc>
        <w:tc>
          <w:tcPr>
            <w:tcW w:w="815"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100</w:t>
            </w:r>
          </w:p>
        </w:tc>
        <w:tc>
          <w:tcPr>
            <w:tcW w:w="963"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100</w:t>
            </w:r>
          </w:p>
        </w:tc>
      </w:tr>
      <w:tr w:rsidR="0039038D">
        <w:trPr>
          <w:trHeight w:val="330"/>
        </w:trPr>
        <w:tc>
          <w:tcPr>
            <w:tcW w:w="411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Відтік учасників за рік</w:t>
            </w:r>
          </w:p>
        </w:tc>
        <w:tc>
          <w:tcPr>
            <w:tcW w:w="1266"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850"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815"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963"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r>
      <w:tr w:rsidR="0039038D">
        <w:trPr>
          <w:trHeight w:val="330"/>
        </w:trPr>
        <w:tc>
          <w:tcPr>
            <w:tcW w:w="411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Усього учасників</w:t>
            </w:r>
          </w:p>
        </w:tc>
        <w:tc>
          <w:tcPr>
            <w:tcW w:w="1266"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16</w:t>
            </w:r>
          </w:p>
        </w:tc>
        <w:tc>
          <w:tcPr>
            <w:tcW w:w="850"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24</w:t>
            </w:r>
          </w:p>
        </w:tc>
        <w:tc>
          <w:tcPr>
            <w:tcW w:w="815"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32</w:t>
            </w:r>
          </w:p>
        </w:tc>
        <w:tc>
          <w:tcPr>
            <w:tcW w:w="963"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40</w:t>
            </w:r>
          </w:p>
        </w:tc>
      </w:tr>
      <w:tr w:rsidR="0039038D">
        <w:trPr>
          <w:trHeight w:val="330"/>
        </w:trPr>
        <w:tc>
          <w:tcPr>
            <w:tcW w:w="411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Річна абонентська плата (тис. дол.)</w:t>
            </w:r>
          </w:p>
        </w:tc>
        <w:tc>
          <w:tcPr>
            <w:tcW w:w="1266"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200</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200</w:t>
            </w:r>
          </w:p>
        </w:tc>
        <w:tc>
          <w:tcPr>
            <w:tcW w:w="850"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200</w:t>
            </w:r>
          </w:p>
        </w:tc>
        <w:tc>
          <w:tcPr>
            <w:tcW w:w="815"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200</w:t>
            </w:r>
          </w:p>
        </w:tc>
        <w:tc>
          <w:tcPr>
            <w:tcW w:w="963"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200</w:t>
            </w:r>
          </w:p>
        </w:tc>
      </w:tr>
      <w:tr w:rsidR="0039038D" w:rsidTr="002015CE">
        <w:trPr>
          <w:trHeight w:val="362"/>
        </w:trPr>
        <w:tc>
          <w:tcPr>
            <w:tcW w:w="411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Прибуток від абонентського обслуговування (млн. дол)</w:t>
            </w:r>
          </w:p>
        </w:tc>
        <w:tc>
          <w:tcPr>
            <w:tcW w:w="1266"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3.6</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5.2</w:t>
            </w:r>
          </w:p>
        </w:tc>
        <w:tc>
          <w:tcPr>
            <w:tcW w:w="850"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6.8</w:t>
            </w:r>
          </w:p>
        </w:tc>
        <w:tc>
          <w:tcPr>
            <w:tcW w:w="815"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8.4</w:t>
            </w:r>
          </w:p>
        </w:tc>
        <w:tc>
          <w:tcPr>
            <w:tcW w:w="963" w:type="dxa"/>
            <w:tcBorders>
              <w:bottom w:val="single" w:sz="4" w:space="0" w:color="000000"/>
              <w:right w:val="single" w:sz="4" w:space="0" w:color="000000"/>
            </w:tcBorders>
            <w:shd w:val="clear" w:color="auto" w:fill="auto"/>
            <w:vAlign w:val="bottom"/>
          </w:tcPr>
          <w:p w:rsidR="0039038D" w:rsidRDefault="008D4FA6">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w:t>
            </w:r>
          </w:p>
        </w:tc>
      </w:tr>
    </w:tbl>
    <w:p w:rsidR="0039038D" w:rsidRDefault="0039038D">
      <w:pPr>
        <w:spacing w:after="0" w:line="360" w:lineRule="auto"/>
        <w:ind w:firstLine="567"/>
        <w:jc w:val="both"/>
        <w:rPr>
          <w:rFonts w:ascii="Times New Roman" w:hAnsi="Times New Roman" w:cs="Times New Roman"/>
          <w:sz w:val="28"/>
          <w:szCs w:val="28"/>
        </w:rPr>
      </w:pP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наведеній нижче таблиці діапазон прогнозів (</w:t>
      </w:r>
      <w:r>
        <w:rPr>
          <w:rFonts w:ascii="Times New Roman" w:hAnsi="Times New Roman" w:cs="Times New Roman"/>
          <w:sz w:val="28"/>
          <w:szCs w:val="28"/>
          <w:lang w:val="en-US"/>
        </w:rPr>
        <w:t>projected</w:t>
      </w:r>
      <w:r>
        <w:rPr>
          <w:rFonts w:ascii="Times New Roman" w:hAnsi="Times New Roman" w:cs="Times New Roman"/>
          <w:sz w:val="28"/>
          <w:szCs w:val="28"/>
        </w:rPr>
        <w:t xml:space="preserve"> </w:t>
      </w:r>
      <w:r>
        <w:rPr>
          <w:rFonts w:ascii="Times New Roman" w:hAnsi="Times New Roman" w:cs="Times New Roman"/>
          <w:sz w:val="28"/>
          <w:szCs w:val="28"/>
          <w:lang w:val="en-US"/>
        </w:rPr>
        <w:t>range</w:t>
      </w:r>
      <w:r>
        <w:rPr>
          <w:rFonts w:ascii="Times New Roman" w:hAnsi="Times New Roman" w:cs="Times New Roman"/>
          <w:sz w:val="28"/>
          <w:szCs w:val="28"/>
        </w:rPr>
        <w:t xml:space="preserve">, </w:t>
      </w:r>
      <w:r>
        <w:rPr>
          <w:rFonts w:ascii="Times New Roman" w:hAnsi="Times New Roman" w:cs="Times New Roman"/>
          <w:sz w:val="28"/>
          <w:szCs w:val="28"/>
          <w:lang w:val="en-US"/>
        </w:rPr>
        <w:t>PR</w:t>
      </w:r>
      <w:r>
        <w:rPr>
          <w:rFonts w:ascii="Times New Roman" w:hAnsi="Times New Roman" w:cs="Times New Roman"/>
          <w:sz w:val="28"/>
          <w:szCs w:val="28"/>
        </w:rPr>
        <w:t>) результуючих доходів.</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Даний діапазон представлений згідно з інформацією від компаній для різних звітів. Діапазон може відрізнятися для конкретної організації (в залежності від Blockchain рішення і вибору моделі отримання доходів).</w:t>
      </w:r>
    </w:p>
    <w:p w:rsidR="002015CE" w:rsidRDefault="002015CE">
      <w:pPr>
        <w:spacing w:after="0" w:line="360" w:lineRule="auto"/>
        <w:ind w:firstLine="567"/>
        <w:jc w:val="both"/>
        <w:rPr>
          <w:rFonts w:ascii="Times New Roman" w:hAnsi="Times New Roman" w:cs="Times New Roman"/>
          <w:sz w:val="28"/>
          <w:szCs w:val="28"/>
          <w:lang w:val="ru-RU"/>
        </w:rPr>
      </w:pP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Таблиця 3.2 – Діапазон прогнозів (</w:t>
      </w:r>
      <w:r>
        <w:rPr>
          <w:rFonts w:ascii="Times New Roman" w:hAnsi="Times New Roman" w:cs="Times New Roman"/>
          <w:sz w:val="28"/>
          <w:szCs w:val="28"/>
          <w:lang w:val="en-US"/>
        </w:rPr>
        <w:t>projected</w:t>
      </w:r>
      <w:r>
        <w:rPr>
          <w:rFonts w:ascii="Times New Roman" w:hAnsi="Times New Roman" w:cs="Times New Roman"/>
          <w:sz w:val="28"/>
          <w:szCs w:val="28"/>
        </w:rPr>
        <w:t xml:space="preserve"> </w:t>
      </w:r>
      <w:r>
        <w:rPr>
          <w:rFonts w:ascii="Times New Roman" w:hAnsi="Times New Roman" w:cs="Times New Roman"/>
          <w:sz w:val="28"/>
          <w:szCs w:val="28"/>
          <w:lang w:val="en-US"/>
        </w:rPr>
        <w:t>range</w:t>
      </w:r>
      <w:r>
        <w:rPr>
          <w:rFonts w:ascii="Times New Roman" w:hAnsi="Times New Roman" w:cs="Times New Roman"/>
          <w:sz w:val="28"/>
          <w:szCs w:val="28"/>
        </w:rPr>
        <w:t xml:space="preserve">, </w:t>
      </w:r>
      <w:r>
        <w:rPr>
          <w:rFonts w:ascii="Times New Roman" w:hAnsi="Times New Roman" w:cs="Times New Roman"/>
          <w:sz w:val="28"/>
          <w:szCs w:val="28"/>
          <w:lang w:val="en-US"/>
        </w:rPr>
        <w:t>PR</w:t>
      </w:r>
      <w:r>
        <w:rPr>
          <w:rFonts w:ascii="Times New Roman" w:hAnsi="Times New Roman" w:cs="Times New Roman"/>
          <w:sz w:val="28"/>
          <w:szCs w:val="28"/>
        </w:rPr>
        <w:t>) результуючих доходів.</w:t>
      </w:r>
    </w:p>
    <w:p w:rsidR="002015CE" w:rsidRDefault="002015CE">
      <w:pPr>
        <w:spacing w:after="0" w:line="360" w:lineRule="auto"/>
        <w:ind w:firstLine="567"/>
        <w:jc w:val="both"/>
        <w:rPr>
          <w:rFonts w:ascii="Times New Roman" w:hAnsi="Times New Roman" w:cs="Times New Roman"/>
          <w:sz w:val="28"/>
          <w:szCs w:val="28"/>
        </w:rPr>
      </w:pPr>
    </w:p>
    <w:tbl>
      <w:tblPr>
        <w:tblW w:w="9685" w:type="dxa"/>
        <w:tblInd w:w="-5" w:type="dxa"/>
        <w:tblLook w:val="04A0" w:firstRow="1" w:lastRow="0" w:firstColumn="1" w:lastColumn="0" w:noHBand="0" w:noVBand="1"/>
      </w:tblPr>
      <w:tblGrid>
        <w:gridCol w:w="4883"/>
        <w:gridCol w:w="1416"/>
        <w:gridCol w:w="1759"/>
        <w:gridCol w:w="1627"/>
      </w:tblGrid>
      <w:tr w:rsidR="0039038D" w:rsidTr="002015CE">
        <w:trPr>
          <w:trHeight w:val="454"/>
        </w:trPr>
        <w:tc>
          <w:tcPr>
            <w:tcW w:w="48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Показник</w:t>
            </w:r>
          </w:p>
        </w:tc>
        <w:tc>
          <w:tcPr>
            <w:tcW w:w="1416"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Нижня оцінка</w:t>
            </w:r>
          </w:p>
        </w:tc>
        <w:tc>
          <w:tcPr>
            <w:tcW w:w="1759"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 xml:space="preserve"> Середня оцінка</w:t>
            </w:r>
          </w:p>
        </w:tc>
        <w:tc>
          <w:tcPr>
            <w:tcW w:w="1627"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Верхня оцінка</w:t>
            </w:r>
          </w:p>
        </w:tc>
      </w:tr>
      <w:tr w:rsidR="0039038D" w:rsidTr="002015CE">
        <w:trPr>
          <w:trHeight w:val="225"/>
        </w:trPr>
        <w:tc>
          <w:tcPr>
            <w:tcW w:w="4883"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Кількість нових учасників, доданих за рік</w:t>
            </w:r>
          </w:p>
        </w:tc>
        <w:tc>
          <w:tcPr>
            <w:tcW w:w="1416"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w:t>
            </w:r>
          </w:p>
        </w:tc>
        <w:tc>
          <w:tcPr>
            <w:tcW w:w="17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12</w:t>
            </w:r>
          </w:p>
        </w:tc>
        <w:tc>
          <w:tcPr>
            <w:tcW w:w="1627"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16</w:t>
            </w:r>
          </w:p>
        </w:tc>
      </w:tr>
      <w:tr w:rsidR="0039038D" w:rsidTr="002015CE">
        <w:trPr>
          <w:trHeight w:val="225"/>
        </w:trPr>
        <w:tc>
          <w:tcPr>
            <w:tcW w:w="4883"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Вступний внесок (тис дол.)</w:t>
            </w:r>
          </w:p>
        </w:tc>
        <w:tc>
          <w:tcPr>
            <w:tcW w:w="1416"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100</w:t>
            </w:r>
          </w:p>
        </w:tc>
        <w:tc>
          <w:tcPr>
            <w:tcW w:w="17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150</w:t>
            </w:r>
          </w:p>
        </w:tc>
        <w:tc>
          <w:tcPr>
            <w:tcW w:w="1627"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200</w:t>
            </w:r>
          </w:p>
        </w:tc>
      </w:tr>
      <w:tr w:rsidR="0039038D" w:rsidTr="002015CE">
        <w:trPr>
          <w:trHeight w:val="225"/>
        </w:trPr>
        <w:tc>
          <w:tcPr>
            <w:tcW w:w="4883"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Відтік кількості учасників</w:t>
            </w:r>
          </w:p>
        </w:tc>
        <w:tc>
          <w:tcPr>
            <w:tcW w:w="1416"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17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1627"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r>
      <w:tr w:rsidR="0039038D" w:rsidTr="002015CE">
        <w:trPr>
          <w:trHeight w:val="225"/>
        </w:trPr>
        <w:tc>
          <w:tcPr>
            <w:tcW w:w="4883"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Усього учасників після 5 років існування</w:t>
            </w:r>
          </w:p>
        </w:tc>
        <w:tc>
          <w:tcPr>
            <w:tcW w:w="1416"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40</w:t>
            </w:r>
          </w:p>
        </w:tc>
        <w:tc>
          <w:tcPr>
            <w:tcW w:w="17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60</w:t>
            </w:r>
          </w:p>
        </w:tc>
        <w:tc>
          <w:tcPr>
            <w:tcW w:w="1627"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80</w:t>
            </w:r>
          </w:p>
        </w:tc>
      </w:tr>
      <w:tr w:rsidR="0039038D" w:rsidTr="002015CE">
        <w:trPr>
          <w:trHeight w:val="225"/>
        </w:trPr>
        <w:tc>
          <w:tcPr>
            <w:tcW w:w="4883"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Річна абонентська плата</w:t>
            </w:r>
          </w:p>
        </w:tc>
        <w:tc>
          <w:tcPr>
            <w:tcW w:w="1416"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150</w:t>
            </w:r>
          </w:p>
        </w:tc>
        <w:tc>
          <w:tcPr>
            <w:tcW w:w="17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200</w:t>
            </w:r>
          </w:p>
        </w:tc>
        <w:tc>
          <w:tcPr>
            <w:tcW w:w="1627"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250</w:t>
            </w:r>
          </w:p>
        </w:tc>
      </w:tr>
    </w:tbl>
    <w:p w:rsidR="002015CE" w:rsidRDefault="002015CE"/>
    <w:p w:rsidR="002015CE" w:rsidRDefault="002015CE">
      <w:pPr>
        <w:rPr>
          <w:rFonts w:ascii="Times New Roman" w:hAnsi="Times New Roman" w:cs="Times New Roman"/>
          <w:sz w:val="28"/>
          <w:szCs w:val="28"/>
        </w:rPr>
      </w:pPr>
      <w:r w:rsidRPr="002015CE">
        <w:rPr>
          <w:rFonts w:ascii="Times New Roman" w:hAnsi="Times New Roman" w:cs="Times New Roman"/>
          <w:sz w:val="28"/>
          <w:szCs w:val="28"/>
        </w:rPr>
        <w:lastRenderedPageBreak/>
        <w:t>Кінець таблиці 3.2</w:t>
      </w:r>
    </w:p>
    <w:p w:rsidR="002015CE" w:rsidRPr="002015CE" w:rsidRDefault="002015CE">
      <w:pPr>
        <w:rPr>
          <w:rFonts w:ascii="Times New Roman" w:hAnsi="Times New Roman" w:cs="Times New Roman"/>
          <w:sz w:val="28"/>
          <w:szCs w:val="28"/>
        </w:rPr>
      </w:pPr>
    </w:p>
    <w:tbl>
      <w:tblPr>
        <w:tblW w:w="9685" w:type="dxa"/>
        <w:tblInd w:w="-5" w:type="dxa"/>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83"/>
        <w:gridCol w:w="1416"/>
        <w:gridCol w:w="1759"/>
        <w:gridCol w:w="1627"/>
      </w:tblGrid>
      <w:tr w:rsidR="0039038D" w:rsidTr="002015CE">
        <w:trPr>
          <w:trHeight w:val="225"/>
        </w:trPr>
        <w:tc>
          <w:tcPr>
            <w:tcW w:w="4883" w:type="dxa"/>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Дохід віб абонентського обслуговування за 5 років (млн. дол.)</w:t>
            </w:r>
          </w:p>
        </w:tc>
        <w:tc>
          <w:tcPr>
            <w:tcW w:w="1416" w:type="dxa"/>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24,62</w:t>
            </w:r>
          </w:p>
        </w:tc>
        <w:tc>
          <w:tcPr>
            <w:tcW w:w="1759" w:type="dxa"/>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45,6</w:t>
            </w:r>
          </w:p>
        </w:tc>
        <w:tc>
          <w:tcPr>
            <w:tcW w:w="1627" w:type="dxa"/>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72,36</w:t>
            </w:r>
          </w:p>
        </w:tc>
      </w:tr>
    </w:tbl>
    <w:p w:rsidR="0039038D" w:rsidRDefault="0039038D">
      <w:pPr>
        <w:spacing w:after="0" w:line="360" w:lineRule="auto"/>
        <w:ind w:firstLine="567"/>
        <w:jc w:val="both"/>
        <w:rPr>
          <w:rFonts w:ascii="Times New Roman" w:hAnsi="Times New Roman" w:cs="Times New Roman"/>
          <w:sz w:val="28"/>
          <w:szCs w:val="28"/>
        </w:rPr>
      </w:pP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Найчастіше, нові організації припускають генерувати свій дохід шляхом стягування з клієнтів Blockchain плати за кожну транзакцію, виконану на їх Blockchain–платформі.</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Величина цієї вигоди залежить від наступних факторів:</w:t>
      </w:r>
    </w:p>
    <w:p w:rsidR="0039038D" w:rsidRDefault="008D4FA6">
      <w:pPr>
        <w:pStyle w:val="ac"/>
        <w:numPr>
          <w:ilvl w:val="0"/>
          <w:numId w:val="12"/>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 xml:space="preserve">Кількість нових клієнтів, які скористалися </w:t>
      </w:r>
      <w:r>
        <w:rPr>
          <w:rFonts w:ascii="Times New Roman" w:hAnsi="Times New Roman" w:cs="Times New Roman"/>
          <w:sz w:val="28"/>
          <w:szCs w:val="28"/>
          <w:lang w:val="en-US"/>
        </w:rPr>
        <w:t>Blockchain</w:t>
      </w:r>
      <w:r>
        <w:rPr>
          <w:rFonts w:ascii="Times New Roman" w:hAnsi="Times New Roman" w:cs="Times New Roman"/>
          <w:sz w:val="28"/>
          <w:szCs w:val="28"/>
        </w:rPr>
        <w:t>–платформою за рік.</w:t>
      </w:r>
    </w:p>
    <w:p w:rsidR="0039038D" w:rsidRDefault="008D4FA6">
      <w:pPr>
        <w:pStyle w:val="ac"/>
        <w:numPr>
          <w:ilvl w:val="0"/>
          <w:numId w:val="12"/>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Кількість транзакцій, виконаних в перерахунку на одного клієнта</w:t>
      </w:r>
      <w:r>
        <w:rPr>
          <w:rFonts w:ascii="Times New Roman" w:hAnsi="Times New Roman" w:cs="Times New Roman"/>
          <w:sz w:val="28"/>
          <w:szCs w:val="28"/>
          <w:lang w:val="ru-RU"/>
        </w:rPr>
        <w:t xml:space="preserve"> </w:t>
      </w:r>
      <w:r>
        <w:rPr>
          <w:rFonts w:ascii="Times New Roman" w:hAnsi="Times New Roman" w:cs="Times New Roman"/>
          <w:sz w:val="28"/>
          <w:szCs w:val="28"/>
        </w:rPr>
        <w:t>за рік.</w:t>
      </w:r>
    </w:p>
    <w:p w:rsidR="0039038D" w:rsidRDefault="008D4FA6">
      <w:pPr>
        <w:pStyle w:val="ac"/>
        <w:numPr>
          <w:ilvl w:val="0"/>
          <w:numId w:val="12"/>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Ціна однієї транзакції.</w:t>
      </w:r>
    </w:p>
    <w:p w:rsidR="0039038D" w:rsidRDefault="008D4FA6">
      <w:pPr>
        <w:pStyle w:val="ac"/>
        <w:numPr>
          <w:ilvl w:val="0"/>
          <w:numId w:val="12"/>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Відсоток, який і стягується за одну транзакцію.</w:t>
      </w:r>
    </w:p>
    <w:p w:rsidR="0039038D" w:rsidRDefault="008D4FA6">
      <w:pPr>
        <w:pStyle w:val="ac"/>
        <w:numPr>
          <w:ilvl w:val="0"/>
          <w:numId w:val="12"/>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Зміна відсотка від вартості однієї транзакції, що стягується засновником Blockchain в міру зростання клієнтської бази.</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Для того, щоб розрахувати дохід за рахунок транзакцій, потрібно використовувати формулу 3.1:</w:t>
      </w:r>
    </w:p>
    <w:p w:rsidR="0039038D" w:rsidRDefault="008D4FA6">
      <w:pPr>
        <w:spacing w:after="0" w:line="360" w:lineRule="auto"/>
        <w:ind w:firstLine="567"/>
        <w:jc w:val="center"/>
        <w:rPr>
          <w:rFonts w:ascii="Times New Roman" w:hAnsi="Times New Roman" w:cs="Times New Roman"/>
          <w:sz w:val="20"/>
          <w:szCs w:val="20"/>
          <w:lang w:val="en-US"/>
        </w:rPr>
      </w:pPr>
      <w:r>
        <w:rPr>
          <w:rFonts w:ascii="Times New Roman" w:hAnsi="Times New Roman" w:cs="Times New Roman"/>
          <w:sz w:val="28"/>
          <w:szCs w:val="28"/>
          <w:lang w:val="en-US"/>
        </w:rPr>
        <w:t>D = K</w:t>
      </w:r>
      <w:r>
        <w:rPr>
          <w:rFonts w:ascii="Times New Roman" w:hAnsi="Times New Roman" w:cs="Times New Roman"/>
          <w:sz w:val="20"/>
          <w:szCs w:val="20"/>
          <w:lang w:val="en-US"/>
        </w:rPr>
        <w:t>k</w:t>
      </w:r>
      <w:r>
        <w:rPr>
          <w:rFonts w:ascii="Times New Roman" w:hAnsi="Times New Roman" w:cs="Times New Roman"/>
          <w:sz w:val="28"/>
          <w:szCs w:val="28"/>
          <w:lang w:val="en-US"/>
        </w:rPr>
        <w:t>+K</w:t>
      </w:r>
      <w:r>
        <w:rPr>
          <w:rFonts w:ascii="Times New Roman" w:hAnsi="Times New Roman" w:cs="Times New Roman"/>
          <w:sz w:val="20"/>
          <w:szCs w:val="20"/>
          <w:lang w:val="en-US"/>
        </w:rPr>
        <w:t>t</w:t>
      </w:r>
      <w:r>
        <w:rPr>
          <w:rFonts w:ascii="Times New Roman" w:hAnsi="Times New Roman" w:cs="Times New Roman"/>
          <w:sz w:val="28"/>
          <w:szCs w:val="28"/>
          <w:lang w:val="en-US"/>
        </w:rPr>
        <w:t>+C</w:t>
      </w:r>
      <w:r>
        <w:rPr>
          <w:rFonts w:ascii="Times New Roman" w:hAnsi="Times New Roman" w:cs="Times New Roman"/>
          <w:sz w:val="20"/>
          <w:szCs w:val="20"/>
          <w:lang w:val="en-US"/>
        </w:rPr>
        <w:t>t</w:t>
      </w:r>
      <w:r>
        <w:rPr>
          <w:rFonts w:ascii="Times New Roman" w:hAnsi="Times New Roman" w:cs="Times New Roman"/>
          <w:sz w:val="28"/>
          <w:szCs w:val="28"/>
          <w:lang w:val="en-US"/>
        </w:rPr>
        <w:t>+P</w:t>
      </w:r>
      <w:r>
        <w:rPr>
          <w:rFonts w:ascii="Times New Roman" w:hAnsi="Times New Roman" w:cs="Times New Roman"/>
          <w:sz w:val="20"/>
          <w:szCs w:val="20"/>
          <w:lang w:val="en-US"/>
        </w:rPr>
        <w:t xml:space="preserve">t,  </w:t>
      </w:r>
      <w:r>
        <w:rPr>
          <w:rFonts w:ascii="Times New Roman" w:hAnsi="Times New Roman" w:cs="Times New Roman"/>
          <w:sz w:val="28"/>
          <w:szCs w:val="28"/>
        </w:rPr>
        <w:t>де</w:t>
      </w:r>
      <w:r>
        <w:rPr>
          <w:rFonts w:ascii="Times New Roman" w:hAnsi="Times New Roman" w:cs="Times New Roman"/>
          <w:sz w:val="20"/>
          <w:szCs w:val="20"/>
          <w:lang w:val="en-US"/>
        </w:rPr>
        <w:t xml:space="preserve">     </w:t>
      </w:r>
      <w:r>
        <w:rPr>
          <w:rFonts w:ascii="Times New Roman" w:hAnsi="Times New Roman" w:cs="Times New Roman"/>
          <w:sz w:val="28"/>
          <w:szCs w:val="28"/>
          <w:lang w:val="en-US"/>
        </w:rPr>
        <w:t>(3.1)</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en-US"/>
        </w:rPr>
        <w:t>K</w:t>
      </w:r>
      <w:r>
        <w:rPr>
          <w:rFonts w:ascii="Times New Roman" w:hAnsi="Times New Roman" w:cs="Times New Roman"/>
          <w:sz w:val="20"/>
          <w:szCs w:val="20"/>
          <w:lang w:val="en-US"/>
        </w:rPr>
        <w:t>k</w:t>
      </w:r>
      <w:r>
        <w:rPr>
          <w:rFonts w:ascii="Times New Roman" w:hAnsi="Times New Roman" w:cs="Times New Roman"/>
          <w:sz w:val="20"/>
          <w:szCs w:val="20"/>
        </w:rPr>
        <w:t xml:space="preserve"> – </w:t>
      </w:r>
      <w:r>
        <w:rPr>
          <w:rFonts w:ascii="Times New Roman" w:hAnsi="Times New Roman" w:cs="Times New Roman"/>
          <w:sz w:val="28"/>
          <w:szCs w:val="28"/>
        </w:rPr>
        <w:t>кількість клієнтів</w:t>
      </w:r>
      <w:r>
        <w:rPr>
          <w:rFonts w:ascii="Times New Roman" w:hAnsi="Times New Roman" w:cs="Times New Roman"/>
          <w:sz w:val="28"/>
          <w:szCs w:val="28"/>
          <w:lang w:val="ru-RU"/>
        </w:rPr>
        <w:t xml:space="preserve">, </w:t>
      </w:r>
    </w:p>
    <w:p w:rsidR="0039038D" w:rsidRDefault="008D4FA6">
      <w:pPr>
        <w:spacing w:after="0" w:line="360" w:lineRule="auto"/>
        <w:ind w:firstLine="567"/>
        <w:jc w:val="both"/>
        <w:rPr>
          <w:rFonts w:ascii="Times New Roman" w:hAnsi="Times New Roman" w:cs="Times New Roman"/>
          <w:sz w:val="20"/>
          <w:szCs w:val="20"/>
        </w:rPr>
      </w:pPr>
      <w:r>
        <w:rPr>
          <w:rFonts w:ascii="Times New Roman" w:hAnsi="Times New Roman" w:cs="Times New Roman"/>
          <w:sz w:val="28"/>
          <w:szCs w:val="28"/>
          <w:lang w:val="en-US"/>
        </w:rPr>
        <w:t>K</w:t>
      </w:r>
      <w:r>
        <w:rPr>
          <w:rFonts w:ascii="Times New Roman" w:hAnsi="Times New Roman" w:cs="Times New Roman"/>
          <w:sz w:val="20"/>
          <w:szCs w:val="20"/>
          <w:lang w:val="en-US"/>
        </w:rPr>
        <w:t>t</w:t>
      </w:r>
      <w:r>
        <w:rPr>
          <w:rFonts w:ascii="Times New Roman" w:hAnsi="Times New Roman" w:cs="Times New Roman"/>
          <w:sz w:val="20"/>
          <w:szCs w:val="20"/>
        </w:rPr>
        <w:t xml:space="preserve"> – </w:t>
      </w:r>
      <w:r>
        <w:rPr>
          <w:rFonts w:ascii="Times New Roman" w:hAnsi="Times New Roman" w:cs="Times New Roman"/>
          <w:sz w:val="28"/>
          <w:szCs w:val="28"/>
        </w:rPr>
        <w:t>кількість транзакцій в перерахунку на одного клієнта</w:t>
      </w:r>
      <w:r>
        <w:rPr>
          <w:rFonts w:ascii="Times New Roman" w:hAnsi="Times New Roman" w:cs="Times New Roman"/>
          <w:sz w:val="20"/>
          <w:szCs w:val="20"/>
        </w:rPr>
        <w:t xml:space="preserve">,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C</w:t>
      </w:r>
      <w:r>
        <w:rPr>
          <w:rFonts w:ascii="Times New Roman" w:hAnsi="Times New Roman" w:cs="Times New Roman"/>
          <w:sz w:val="20"/>
          <w:szCs w:val="20"/>
          <w:lang w:val="en-US"/>
        </w:rPr>
        <w:t>t</w:t>
      </w:r>
      <w:r>
        <w:rPr>
          <w:rFonts w:ascii="Times New Roman" w:hAnsi="Times New Roman" w:cs="Times New Roman"/>
          <w:sz w:val="20"/>
          <w:szCs w:val="20"/>
        </w:rPr>
        <w:t xml:space="preserve"> – </w:t>
      </w:r>
      <w:r>
        <w:rPr>
          <w:rFonts w:ascii="Times New Roman" w:hAnsi="Times New Roman" w:cs="Times New Roman"/>
          <w:sz w:val="28"/>
          <w:szCs w:val="28"/>
        </w:rPr>
        <w:t xml:space="preserve">ціна однієї транзакції,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lang w:val="en-US"/>
        </w:rPr>
        <w:t>t</w:t>
      </w:r>
      <w:r>
        <w:rPr>
          <w:rFonts w:ascii="Times New Roman" w:hAnsi="Times New Roman" w:cs="Times New Roman"/>
          <w:sz w:val="20"/>
          <w:szCs w:val="20"/>
        </w:rPr>
        <w:t xml:space="preserve"> – </w:t>
      </w:r>
      <w:r>
        <w:rPr>
          <w:rFonts w:ascii="Times New Roman" w:hAnsi="Times New Roman" w:cs="Times New Roman"/>
          <w:sz w:val="28"/>
          <w:szCs w:val="28"/>
        </w:rPr>
        <w:t xml:space="preserve">відсоток за кожну транзакцію, що отримує власник </w:t>
      </w:r>
      <w:r>
        <w:rPr>
          <w:rFonts w:ascii="Times New Roman" w:hAnsi="Times New Roman" w:cs="Times New Roman"/>
          <w:sz w:val="28"/>
          <w:szCs w:val="28"/>
          <w:lang w:val="en-US"/>
        </w:rPr>
        <w:t>Blockchain</w:t>
      </w:r>
      <w:r>
        <w:rPr>
          <w:rFonts w:ascii="Times New Roman" w:hAnsi="Times New Roman" w:cs="Times New Roman"/>
          <w:sz w:val="28"/>
          <w:szCs w:val="28"/>
        </w:rPr>
        <w:t>.</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таблиці 3.3 показаний приклад розрахунку нижньої прогнозної оцінки. </w:t>
      </w:r>
    </w:p>
    <w:p w:rsidR="0039038D" w:rsidRDefault="0039038D">
      <w:pPr>
        <w:spacing w:after="0" w:line="360" w:lineRule="auto"/>
        <w:ind w:firstLine="567"/>
        <w:jc w:val="both"/>
        <w:rPr>
          <w:rFonts w:ascii="Times New Roman" w:hAnsi="Times New Roman" w:cs="Times New Roman"/>
          <w:sz w:val="28"/>
          <w:szCs w:val="28"/>
          <w:lang w:val="ru-RU"/>
        </w:rPr>
      </w:pP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Таблиця 3.3 – </w:t>
      </w:r>
      <w:r>
        <w:rPr>
          <w:rFonts w:ascii="Times New Roman" w:hAnsi="Times New Roman" w:cs="Times New Roman"/>
          <w:sz w:val="28"/>
          <w:szCs w:val="28"/>
          <w:lang w:val="ru-RU"/>
        </w:rPr>
        <w:t>Приклад розрахунку нижньої прогнозної оцінки</w:t>
      </w:r>
    </w:p>
    <w:p w:rsidR="00192DBE" w:rsidRDefault="00192DBE">
      <w:pPr>
        <w:spacing w:after="0" w:line="360" w:lineRule="auto"/>
        <w:ind w:firstLine="567"/>
        <w:jc w:val="both"/>
        <w:rPr>
          <w:rFonts w:ascii="Times New Roman" w:hAnsi="Times New Roman" w:cs="Times New Roman"/>
          <w:sz w:val="28"/>
          <w:szCs w:val="28"/>
        </w:rPr>
      </w:pPr>
    </w:p>
    <w:tbl>
      <w:tblPr>
        <w:tblW w:w="9478" w:type="dxa"/>
        <w:tblInd w:w="-5" w:type="dxa"/>
        <w:tblLook w:val="04A0" w:firstRow="1" w:lastRow="0" w:firstColumn="1" w:lastColumn="0" w:noHBand="0" w:noVBand="1"/>
      </w:tblPr>
      <w:tblGrid>
        <w:gridCol w:w="4678"/>
        <w:gridCol w:w="959"/>
        <w:gridCol w:w="959"/>
        <w:gridCol w:w="959"/>
        <w:gridCol w:w="960"/>
        <w:gridCol w:w="963"/>
      </w:tblGrid>
      <w:tr w:rsidR="0039038D" w:rsidTr="00192DBE">
        <w:trPr>
          <w:trHeight w:val="300"/>
        </w:trPr>
        <w:tc>
          <w:tcPr>
            <w:tcW w:w="467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Кількість клієнтів (млн.)</w:t>
            </w:r>
          </w:p>
        </w:tc>
        <w:tc>
          <w:tcPr>
            <w:tcW w:w="959"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1.5</w:t>
            </w:r>
          </w:p>
        </w:tc>
        <w:tc>
          <w:tcPr>
            <w:tcW w:w="959"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2.5</w:t>
            </w:r>
          </w:p>
        </w:tc>
        <w:tc>
          <w:tcPr>
            <w:tcW w:w="959"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3.5</w:t>
            </w:r>
          </w:p>
        </w:tc>
        <w:tc>
          <w:tcPr>
            <w:tcW w:w="960"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4.5</w:t>
            </w:r>
          </w:p>
        </w:tc>
        <w:tc>
          <w:tcPr>
            <w:tcW w:w="963"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5.5</w:t>
            </w:r>
          </w:p>
        </w:tc>
      </w:tr>
      <w:tr w:rsidR="0039038D" w:rsidTr="00192DBE">
        <w:trPr>
          <w:trHeight w:val="300"/>
        </w:trPr>
        <w:tc>
          <w:tcPr>
            <w:tcW w:w="4678"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Кількість транзакцій в рік в перерахунку на одного клієнта</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w:t>
            </w:r>
          </w:p>
        </w:tc>
        <w:tc>
          <w:tcPr>
            <w:tcW w:w="960"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w:t>
            </w:r>
          </w:p>
        </w:tc>
        <w:tc>
          <w:tcPr>
            <w:tcW w:w="963"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w:t>
            </w:r>
          </w:p>
        </w:tc>
      </w:tr>
      <w:tr w:rsidR="0039038D" w:rsidTr="00192DBE">
        <w:trPr>
          <w:trHeight w:val="300"/>
        </w:trPr>
        <w:tc>
          <w:tcPr>
            <w:tcW w:w="4678"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Ціна однієї транзакції (дол.)</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1.75</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1.75</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1.75</w:t>
            </w:r>
          </w:p>
        </w:tc>
        <w:tc>
          <w:tcPr>
            <w:tcW w:w="960"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1.75</w:t>
            </w:r>
          </w:p>
        </w:tc>
        <w:tc>
          <w:tcPr>
            <w:tcW w:w="963"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1.75</w:t>
            </w:r>
          </w:p>
        </w:tc>
      </w:tr>
      <w:tr w:rsidR="0039038D" w:rsidTr="00192DBE">
        <w:trPr>
          <w:trHeight w:val="300"/>
        </w:trPr>
        <w:tc>
          <w:tcPr>
            <w:tcW w:w="4678"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Вартість транзакції, яку отримає розробник Blockchain (%)</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18</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18</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18</w:t>
            </w:r>
          </w:p>
        </w:tc>
        <w:tc>
          <w:tcPr>
            <w:tcW w:w="960"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18</w:t>
            </w:r>
          </w:p>
        </w:tc>
        <w:tc>
          <w:tcPr>
            <w:tcW w:w="963"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18</w:t>
            </w:r>
          </w:p>
        </w:tc>
      </w:tr>
    </w:tbl>
    <w:p w:rsidR="00192DBE" w:rsidRDefault="00192DBE"/>
    <w:p w:rsidR="00192DBE" w:rsidRDefault="00192DBE">
      <w:pPr>
        <w:rPr>
          <w:rFonts w:ascii="Times New Roman" w:hAnsi="Times New Roman" w:cs="Times New Roman"/>
          <w:sz w:val="28"/>
          <w:szCs w:val="28"/>
        </w:rPr>
      </w:pPr>
      <w:r w:rsidRPr="00192DBE">
        <w:rPr>
          <w:rFonts w:ascii="Times New Roman" w:hAnsi="Times New Roman" w:cs="Times New Roman"/>
          <w:sz w:val="28"/>
          <w:szCs w:val="28"/>
        </w:rPr>
        <w:lastRenderedPageBreak/>
        <w:t>Кінець таблиці 3.3.</w:t>
      </w:r>
    </w:p>
    <w:p w:rsidR="00192DBE" w:rsidRPr="00192DBE" w:rsidRDefault="00192DBE">
      <w:pPr>
        <w:rPr>
          <w:rFonts w:ascii="Times New Roman" w:hAnsi="Times New Roman" w:cs="Times New Roman"/>
          <w:sz w:val="28"/>
          <w:szCs w:val="28"/>
        </w:rPr>
      </w:pPr>
    </w:p>
    <w:tbl>
      <w:tblPr>
        <w:tblW w:w="9478" w:type="dxa"/>
        <w:tblInd w:w="-5" w:type="dxa"/>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8"/>
        <w:gridCol w:w="959"/>
        <w:gridCol w:w="959"/>
        <w:gridCol w:w="959"/>
        <w:gridCol w:w="960"/>
        <w:gridCol w:w="963"/>
      </w:tblGrid>
      <w:tr w:rsidR="0039038D" w:rsidTr="00192DBE">
        <w:trPr>
          <w:trHeight w:val="300"/>
        </w:trPr>
        <w:tc>
          <w:tcPr>
            <w:tcW w:w="4678" w:type="dxa"/>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 зниження вартості транзакції, отримане розробником Blockchain (%)</w:t>
            </w:r>
          </w:p>
        </w:tc>
        <w:tc>
          <w:tcPr>
            <w:tcW w:w="959" w:type="dxa"/>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100</w:t>
            </w:r>
          </w:p>
        </w:tc>
        <w:tc>
          <w:tcPr>
            <w:tcW w:w="959" w:type="dxa"/>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97</w:t>
            </w:r>
          </w:p>
        </w:tc>
        <w:tc>
          <w:tcPr>
            <w:tcW w:w="959" w:type="dxa"/>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94</w:t>
            </w:r>
          </w:p>
        </w:tc>
        <w:tc>
          <w:tcPr>
            <w:tcW w:w="960" w:type="dxa"/>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91</w:t>
            </w:r>
          </w:p>
        </w:tc>
        <w:tc>
          <w:tcPr>
            <w:tcW w:w="963" w:type="dxa"/>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88</w:t>
            </w:r>
          </w:p>
        </w:tc>
      </w:tr>
      <w:tr w:rsidR="0039038D" w:rsidTr="00192DBE">
        <w:trPr>
          <w:trHeight w:val="300"/>
        </w:trPr>
        <w:tc>
          <w:tcPr>
            <w:tcW w:w="4678" w:type="dxa"/>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Доход розробника у перерахунку на одну транзакцію (%)</w:t>
            </w:r>
          </w:p>
        </w:tc>
        <w:tc>
          <w:tcPr>
            <w:tcW w:w="959" w:type="dxa"/>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18</w:t>
            </w:r>
          </w:p>
        </w:tc>
        <w:tc>
          <w:tcPr>
            <w:tcW w:w="959" w:type="dxa"/>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17.46</w:t>
            </w:r>
          </w:p>
        </w:tc>
        <w:tc>
          <w:tcPr>
            <w:tcW w:w="959" w:type="dxa"/>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16.92</w:t>
            </w:r>
          </w:p>
        </w:tc>
        <w:tc>
          <w:tcPr>
            <w:tcW w:w="960" w:type="dxa"/>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16.38</w:t>
            </w:r>
          </w:p>
        </w:tc>
        <w:tc>
          <w:tcPr>
            <w:tcW w:w="963" w:type="dxa"/>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15.84</w:t>
            </w:r>
          </w:p>
        </w:tc>
      </w:tr>
      <w:tr w:rsidR="0039038D" w:rsidTr="00192DBE">
        <w:trPr>
          <w:trHeight w:val="300"/>
        </w:trPr>
        <w:tc>
          <w:tcPr>
            <w:tcW w:w="4678" w:type="dxa"/>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Доход за рахунок транзакцій (тис. $)</w:t>
            </w:r>
          </w:p>
        </w:tc>
        <w:tc>
          <w:tcPr>
            <w:tcW w:w="959" w:type="dxa"/>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945</w:t>
            </w:r>
          </w:p>
        </w:tc>
        <w:tc>
          <w:tcPr>
            <w:tcW w:w="959" w:type="dxa"/>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1.5</w:t>
            </w:r>
          </w:p>
        </w:tc>
        <w:tc>
          <w:tcPr>
            <w:tcW w:w="959" w:type="dxa"/>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2.1</w:t>
            </w:r>
          </w:p>
        </w:tc>
        <w:tc>
          <w:tcPr>
            <w:tcW w:w="960" w:type="dxa"/>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2.6</w:t>
            </w:r>
          </w:p>
        </w:tc>
        <w:tc>
          <w:tcPr>
            <w:tcW w:w="963" w:type="dxa"/>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3.0</w:t>
            </w:r>
          </w:p>
        </w:tc>
      </w:tr>
    </w:tbl>
    <w:p w:rsidR="0039038D" w:rsidRDefault="0039038D">
      <w:pPr>
        <w:spacing w:after="0" w:line="360" w:lineRule="auto"/>
        <w:ind w:firstLine="567"/>
        <w:jc w:val="both"/>
        <w:rPr>
          <w:rFonts w:ascii="Times New Roman" w:hAnsi="Times New Roman" w:cs="Times New Roman"/>
          <w:sz w:val="28"/>
          <w:szCs w:val="28"/>
          <w:lang w:val="ru-RU"/>
        </w:rPr>
      </w:pP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У таблиці 3.4 і на показаному нижче малюнку проілюстрований діапазон прогнозів (projected range, PR) результуючих доходів за цим показником.</w:t>
      </w:r>
    </w:p>
    <w:p w:rsidR="00192DBE" w:rsidRDefault="00192DBE">
      <w:pPr>
        <w:spacing w:after="0" w:line="360" w:lineRule="auto"/>
        <w:ind w:firstLine="567"/>
        <w:jc w:val="both"/>
        <w:rPr>
          <w:rFonts w:ascii="Times New Roman" w:hAnsi="Times New Roman" w:cs="Times New Roman"/>
          <w:sz w:val="28"/>
          <w:szCs w:val="28"/>
          <w:lang w:val="ru-RU"/>
        </w:rPr>
      </w:pP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Таблиця 3.4 – </w:t>
      </w:r>
      <w:r>
        <w:rPr>
          <w:rFonts w:ascii="Times New Roman" w:hAnsi="Times New Roman" w:cs="Times New Roman"/>
          <w:sz w:val="28"/>
          <w:szCs w:val="28"/>
          <w:lang w:val="ru-RU"/>
        </w:rPr>
        <w:t>Діапазон прогнозів (projected range, PR) результуючих доходів за цим показником.</w:t>
      </w:r>
    </w:p>
    <w:p w:rsidR="00192DBE" w:rsidRDefault="00192DBE">
      <w:pPr>
        <w:spacing w:after="0" w:line="360" w:lineRule="auto"/>
        <w:ind w:firstLine="567"/>
        <w:jc w:val="both"/>
        <w:rPr>
          <w:rFonts w:ascii="Times New Roman" w:hAnsi="Times New Roman" w:cs="Times New Roman"/>
          <w:sz w:val="28"/>
          <w:szCs w:val="28"/>
          <w:lang w:val="ru-RU"/>
        </w:rPr>
      </w:pPr>
    </w:p>
    <w:tbl>
      <w:tblPr>
        <w:tblW w:w="9602" w:type="dxa"/>
        <w:tblInd w:w="-5" w:type="dxa"/>
        <w:tblLook w:val="04A0" w:firstRow="1" w:lastRow="0" w:firstColumn="1" w:lastColumn="0" w:noHBand="0" w:noVBand="1"/>
      </w:tblPr>
      <w:tblGrid>
        <w:gridCol w:w="4962"/>
        <w:gridCol w:w="1399"/>
        <w:gridCol w:w="1699"/>
        <w:gridCol w:w="1542"/>
      </w:tblGrid>
      <w:tr w:rsidR="0039038D">
        <w:trPr>
          <w:trHeight w:val="300"/>
        </w:trPr>
        <w:tc>
          <w:tcPr>
            <w:tcW w:w="4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pPr>
            <w:r>
              <w:rPr>
                <w:rFonts w:ascii="Times New Roman" w:eastAsia="Times New Roman" w:hAnsi="Times New Roman" w:cs="Times New Roman"/>
                <w:color w:val="000000"/>
                <w:sz w:val="26"/>
                <w:szCs w:val="26"/>
                <w:lang w:eastAsia="uk-UA"/>
              </w:rPr>
              <w:t>Показник</w:t>
            </w:r>
          </w:p>
        </w:tc>
        <w:tc>
          <w:tcPr>
            <w:tcW w:w="1399"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Нижня оцінка</w:t>
            </w:r>
          </w:p>
        </w:tc>
        <w:tc>
          <w:tcPr>
            <w:tcW w:w="1699"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Середня оцінка</w:t>
            </w:r>
          </w:p>
        </w:tc>
        <w:tc>
          <w:tcPr>
            <w:tcW w:w="1542"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Верхня оцінка</w:t>
            </w:r>
          </w:p>
        </w:tc>
      </w:tr>
      <w:tr w:rsidR="0039038D">
        <w:trPr>
          <w:trHeight w:val="476"/>
        </w:trPr>
        <w:tc>
          <w:tcPr>
            <w:tcW w:w="4961"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Усього кліентів після 5 років (у млн.)</w:t>
            </w:r>
          </w:p>
        </w:tc>
        <w:tc>
          <w:tcPr>
            <w:tcW w:w="139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5,5</w:t>
            </w:r>
          </w:p>
        </w:tc>
        <w:tc>
          <w:tcPr>
            <w:tcW w:w="169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7,5</w:t>
            </w:r>
          </w:p>
        </w:tc>
        <w:tc>
          <w:tcPr>
            <w:tcW w:w="154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8,1</w:t>
            </w:r>
          </w:p>
        </w:tc>
      </w:tr>
      <w:tr w:rsidR="0039038D">
        <w:trPr>
          <w:trHeight w:val="300"/>
        </w:trPr>
        <w:tc>
          <w:tcPr>
            <w:tcW w:w="4961"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Кількість транзакцій в рік у перерахунку на  одного клієнта</w:t>
            </w:r>
          </w:p>
        </w:tc>
        <w:tc>
          <w:tcPr>
            <w:tcW w:w="139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w:t>
            </w:r>
          </w:p>
        </w:tc>
        <w:tc>
          <w:tcPr>
            <w:tcW w:w="169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w:t>
            </w:r>
          </w:p>
        </w:tc>
        <w:tc>
          <w:tcPr>
            <w:tcW w:w="154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w:t>
            </w:r>
          </w:p>
        </w:tc>
      </w:tr>
      <w:tr w:rsidR="0039038D">
        <w:trPr>
          <w:trHeight w:val="417"/>
        </w:trPr>
        <w:tc>
          <w:tcPr>
            <w:tcW w:w="4961"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Ціна однієї транзакції (у $)</w:t>
            </w:r>
          </w:p>
        </w:tc>
        <w:tc>
          <w:tcPr>
            <w:tcW w:w="139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1.75</w:t>
            </w:r>
          </w:p>
        </w:tc>
        <w:tc>
          <w:tcPr>
            <w:tcW w:w="169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2.00</w:t>
            </w:r>
          </w:p>
        </w:tc>
        <w:tc>
          <w:tcPr>
            <w:tcW w:w="154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2.25</w:t>
            </w:r>
          </w:p>
        </w:tc>
      </w:tr>
      <w:tr w:rsidR="0039038D">
        <w:trPr>
          <w:trHeight w:val="300"/>
        </w:trPr>
        <w:tc>
          <w:tcPr>
            <w:tcW w:w="4961"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Процент від транзакції, яку отримує розробник Blockchain (%)</w:t>
            </w:r>
          </w:p>
        </w:tc>
        <w:tc>
          <w:tcPr>
            <w:tcW w:w="139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18</w:t>
            </w:r>
          </w:p>
        </w:tc>
        <w:tc>
          <w:tcPr>
            <w:tcW w:w="169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19</w:t>
            </w:r>
          </w:p>
        </w:tc>
        <w:tc>
          <w:tcPr>
            <w:tcW w:w="154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w:t>
            </w:r>
          </w:p>
        </w:tc>
      </w:tr>
      <w:tr w:rsidR="0039038D">
        <w:trPr>
          <w:trHeight w:val="300"/>
        </w:trPr>
        <w:tc>
          <w:tcPr>
            <w:tcW w:w="4961"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Річне зменшення процента, який отримує роробник Blockchain (%)</w:t>
            </w:r>
          </w:p>
        </w:tc>
        <w:tc>
          <w:tcPr>
            <w:tcW w:w="139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w:t>
            </w:r>
          </w:p>
        </w:tc>
        <w:tc>
          <w:tcPr>
            <w:tcW w:w="169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w:t>
            </w:r>
          </w:p>
        </w:tc>
        <w:tc>
          <w:tcPr>
            <w:tcW w:w="154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w:t>
            </w:r>
          </w:p>
        </w:tc>
      </w:tr>
      <w:tr w:rsidR="0039038D">
        <w:trPr>
          <w:trHeight w:val="468"/>
        </w:trPr>
        <w:tc>
          <w:tcPr>
            <w:tcW w:w="4961"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Прибуток за рахунок транзакцій (у млн. $)</w:t>
            </w:r>
          </w:p>
        </w:tc>
        <w:tc>
          <w:tcPr>
            <w:tcW w:w="139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7,33</w:t>
            </w:r>
          </w:p>
        </w:tc>
        <w:tc>
          <w:tcPr>
            <w:tcW w:w="169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22,45</w:t>
            </w:r>
          </w:p>
        </w:tc>
        <w:tc>
          <w:tcPr>
            <w:tcW w:w="154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40,32</w:t>
            </w:r>
          </w:p>
        </w:tc>
      </w:tr>
    </w:tbl>
    <w:p w:rsidR="0039038D" w:rsidRDefault="0039038D">
      <w:pPr>
        <w:spacing w:after="0" w:line="360" w:lineRule="auto"/>
        <w:ind w:firstLine="567"/>
        <w:jc w:val="both"/>
        <w:rPr>
          <w:rFonts w:ascii="Times New Roman" w:hAnsi="Times New Roman" w:cs="Times New Roman"/>
          <w:sz w:val="26"/>
          <w:szCs w:val="26"/>
          <w:lang w:val="ru-RU"/>
        </w:rPr>
      </w:pP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Велика кількість організацій повідомили, що рішення IBM Blockchain дозволить їм підвищити віддачу від наявних у них активів шляхом надання доступу до вільних ресурсів через інших партнерів по Blockchain. Таким чином ці організації припускають повністю виключити або знизити і капітальні витрати (CapEx), і експлуатаційні витрати (OpEx).</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Величина цієї вигоди буде залежати від наступних факторів:</w:t>
      </w:r>
    </w:p>
    <w:p w:rsidR="0039038D" w:rsidRDefault="008D4FA6">
      <w:pPr>
        <w:pStyle w:val="ac"/>
        <w:numPr>
          <w:ilvl w:val="0"/>
          <w:numId w:val="13"/>
        </w:numPr>
        <w:spacing w:after="0" w:line="360" w:lineRule="auto"/>
        <w:ind w:left="993" w:hanging="426"/>
        <w:jc w:val="both"/>
        <w:rPr>
          <w:rFonts w:ascii="Times New Roman" w:hAnsi="Times New Roman" w:cs="Times New Roman"/>
          <w:sz w:val="28"/>
          <w:szCs w:val="28"/>
          <w:lang w:val="ru-RU"/>
        </w:rPr>
      </w:pPr>
      <w:r>
        <w:rPr>
          <w:rFonts w:ascii="Times New Roman" w:hAnsi="Times New Roman" w:cs="Times New Roman"/>
          <w:sz w:val="28"/>
          <w:szCs w:val="28"/>
          <w:lang w:val="ru-RU"/>
        </w:rPr>
        <w:t>Тип і величина капіталовкладень, яких вдалося уникнути.</w:t>
      </w:r>
    </w:p>
    <w:p w:rsidR="0039038D" w:rsidRDefault="008D4FA6">
      <w:pPr>
        <w:pStyle w:val="ac"/>
        <w:numPr>
          <w:ilvl w:val="0"/>
          <w:numId w:val="13"/>
        </w:numPr>
        <w:spacing w:after="0" w:line="360" w:lineRule="auto"/>
        <w:ind w:left="993" w:hanging="426"/>
        <w:jc w:val="both"/>
        <w:rPr>
          <w:rFonts w:ascii="Times New Roman" w:hAnsi="Times New Roman" w:cs="Times New Roman"/>
          <w:sz w:val="28"/>
          <w:szCs w:val="28"/>
          <w:lang w:val="ru-RU"/>
        </w:rPr>
      </w:pPr>
      <w:r>
        <w:rPr>
          <w:rFonts w:ascii="Times New Roman" w:hAnsi="Times New Roman" w:cs="Times New Roman"/>
          <w:sz w:val="28"/>
          <w:szCs w:val="28"/>
          <w:lang w:val="ru-RU"/>
        </w:rPr>
        <w:t>Час і частота необхідних капіталовкладень.</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Розглядати варто тільки економію на капітальних витратах і експлуатаційних витратах.</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Для того, щоб розрахувати економію за рахунок капітальних витрат і експлуатаційних витрат необхідно скористатися наступною формулою 3.2 :</w:t>
      </w:r>
    </w:p>
    <w:p w:rsidR="0039038D" w:rsidRDefault="008D4FA6">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E = Kв+Dв+Eв,            (3.2)</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де Kв–капітальні витрати,яких вдалося ункинут,</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Dв–додаткові витрати на інфраструктуру,яких вдалося уникнути,</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Eв–екслптуаційні витрати,яких вдалося уникнути</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У таблиці 3.5 наведено можливий дохід, який буде мати організація у разі економії за рахунок капітальних витрат і експлуатаційних витрат.</w:t>
      </w:r>
    </w:p>
    <w:p w:rsidR="00192DBE" w:rsidRDefault="00192DBE">
      <w:pPr>
        <w:spacing w:after="0" w:line="360" w:lineRule="auto"/>
        <w:ind w:firstLine="567"/>
        <w:jc w:val="both"/>
        <w:rPr>
          <w:rFonts w:ascii="Times New Roman" w:hAnsi="Times New Roman" w:cs="Times New Roman"/>
          <w:sz w:val="28"/>
          <w:szCs w:val="28"/>
          <w:lang w:val="ru-RU"/>
        </w:rPr>
      </w:pP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Таблиця 3.5 – Приклад економії за рахунок капітальних витрат і експлуатаційних витрат</w:t>
      </w:r>
    </w:p>
    <w:p w:rsidR="00192DBE" w:rsidRDefault="00192DBE">
      <w:pPr>
        <w:spacing w:after="0" w:line="360" w:lineRule="auto"/>
        <w:ind w:firstLine="567"/>
        <w:jc w:val="both"/>
        <w:rPr>
          <w:rFonts w:ascii="Times New Roman" w:hAnsi="Times New Roman" w:cs="Times New Roman"/>
          <w:sz w:val="28"/>
          <w:szCs w:val="28"/>
        </w:rPr>
      </w:pPr>
    </w:p>
    <w:tbl>
      <w:tblPr>
        <w:tblW w:w="9781" w:type="dxa"/>
        <w:tblInd w:w="-5" w:type="dxa"/>
        <w:tblLook w:val="04A0" w:firstRow="1" w:lastRow="0" w:firstColumn="1" w:lastColumn="0" w:noHBand="0" w:noVBand="1"/>
      </w:tblPr>
      <w:tblGrid>
        <w:gridCol w:w="4678"/>
        <w:gridCol w:w="992"/>
        <w:gridCol w:w="992"/>
        <w:gridCol w:w="992"/>
        <w:gridCol w:w="992"/>
        <w:gridCol w:w="1135"/>
      </w:tblGrid>
      <w:tr w:rsidR="0039038D" w:rsidTr="00192DBE">
        <w:trPr>
          <w:trHeight w:val="571"/>
        </w:trPr>
        <w:tc>
          <w:tcPr>
            <w:tcW w:w="467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pPr>
            <w:r>
              <w:rPr>
                <w:rFonts w:ascii="Times New Roman" w:eastAsia="Times New Roman" w:hAnsi="Times New Roman" w:cs="Times New Roman"/>
                <w:color w:val="000000"/>
                <w:sz w:val="26"/>
                <w:szCs w:val="26"/>
                <w:lang w:eastAsia="uk-UA"/>
              </w:rPr>
              <w:t>Показник</w:t>
            </w:r>
          </w:p>
        </w:tc>
        <w:tc>
          <w:tcPr>
            <w:tcW w:w="992"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1</w:t>
            </w:r>
          </w:p>
        </w:tc>
        <w:tc>
          <w:tcPr>
            <w:tcW w:w="992"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2</w:t>
            </w:r>
          </w:p>
        </w:tc>
        <w:tc>
          <w:tcPr>
            <w:tcW w:w="992"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3</w:t>
            </w:r>
          </w:p>
        </w:tc>
        <w:tc>
          <w:tcPr>
            <w:tcW w:w="992"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4</w:t>
            </w:r>
          </w:p>
        </w:tc>
        <w:tc>
          <w:tcPr>
            <w:tcW w:w="1135"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5</w:t>
            </w:r>
          </w:p>
        </w:tc>
      </w:tr>
      <w:tr w:rsidR="0039038D" w:rsidTr="00192DBE">
        <w:trPr>
          <w:trHeight w:val="831"/>
        </w:trPr>
        <w:tc>
          <w:tcPr>
            <w:tcW w:w="4677"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Капитальні витрати, яких вдалось уникнути (в млн. $)</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w:t>
            </w:r>
          </w:p>
        </w:tc>
        <w:tc>
          <w:tcPr>
            <w:tcW w:w="113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r>
      <w:tr w:rsidR="0039038D" w:rsidTr="00192DBE">
        <w:trPr>
          <w:trHeight w:val="797"/>
        </w:trPr>
        <w:tc>
          <w:tcPr>
            <w:tcW w:w="4677"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Додаткові витрати на інфраструкт</w:t>
            </w:r>
            <w:r w:rsidR="00192DBE">
              <w:rPr>
                <w:rFonts w:ascii="Times New Roman" w:eastAsia="Times New Roman" w:hAnsi="Times New Roman" w:cs="Times New Roman"/>
                <w:color w:val="000000"/>
                <w:sz w:val="26"/>
                <w:szCs w:val="26"/>
                <w:lang w:eastAsia="uk-UA"/>
              </w:rPr>
              <w:t>уру, яких вдалося уникнути (в ти</w:t>
            </w:r>
            <w:r>
              <w:rPr>
                <w:rFonts w:ascii="Times New Roman" w:eastAsia="Times New Roman" w:hAnsi="Times New Roman" w:cs="Times New Roman"/>
                <w:color w:val="000000"/>
                <w:sz w:val="26"/>
                <w:szCs w:val="26"/>
                <w:lang w:eastAsia="uk-UA"/>
              </w:rPr>
              <w:t>с. $)</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600</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600</w:t>
            </w:r>
          </w:p>
        </w:tc>
        <w:tc>
          <w:tcPr>
            <w:tcW w:w="113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r>
      <w:tr w:rsidR="0039038D" w:rsidTr="00192DBE">
        <w:trPr>
          <w:trHeight w:val="891"/>
        </w:trPr>
        <w:tc>
          <w:tcPr>
            <w:tcW w:w="4677"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Підсумок: Економія за рахунок капітальних витрат (в млн.$)</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2.6</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2.6</w:t>
            </w:r>
          </w:p>
        </w:tc>
        <w:tc>
          <w:tcPr>
            <w:tcW w:w="113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r>
      <w:tr w:rsidR="0039038D" w:rsidTr="00192DBE">
        <w:trPr>
          <w:trHeight w:val="999"/>
        </w:trPr>
        <w:tc>
          <w:tcPr>
            <w:tcW w:w="4677"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Загальні капітали витрати, яких вдалося уникнути (в млн. $)</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2.6</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2.6</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2.6</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2.6</w:t>
            </w:r>
          </w:p>
        </w:tc>
        <w:tc>
          <w:tcPr>
            <w:tcW w:w="113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2.6</w:t>
            </w:r>
          </w:p>
        </w:tc>
      </w:tr>
      <w:tr w:rsidR="0039038D" w:rsidTr="00192DBE">
        <w:trPr>
          <w:trHeight w:val="1093"/>
        </w:trPr>
        <w:tc>
          <w:tcPr>
            <w:tcW w:w="4677"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Необхідні експлуатаційні витрати у відсотках від капітальних витрат (%)</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w:t>
            </w:r>
          </w:p>
        </w:tc>
        <w:tc>
          <w:tcPr>
            <w:tcW w:w="113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w:t>
            </w:r>
          </w:p>
        </w:tc>
      </w:tr>
      <w:tr w:rsidR="0039038D" w:rsidTr="00192DBE">
        <w:trPr>
          <w:trHeight w:val="1200"/>
        </w:trPr>
        <w:tc>
          <w:tcPr>
            <w:tcW w:w="4677"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Проміжні підсумки (економія за рахунок експлутаційних витрат – у тис. $)</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520</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520</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520</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1040</w:t>
            </w:r>
          </w:p>
        </w:tc>
        <w:tc>
          <w:tcPr>
            <w:tcW w:w="113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1040</w:t>
            </w:r>
          </w:p>
        </w:tc>
      </w:tr>
      <w:tr w:rsidR="0039038D" w:rsidTr="00192DBE">
        <w:trPr>
          <w:trHeight w:val="1270"/>
        </w:trPr>
        <w:tc>
          <w:tcPr>
            <w:tcW w:w="4677"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Економія за рахунок капітальних витрат і експлуатаційних витрат (у млн. $)</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3.12</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0.52</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0.52</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3.64</w:t>
            </w:r>
          </w:p>
        </w:tc>
        <w:tc>
          <w:tcPr>
            <w:tcW w:w="113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1.04</w:t>
            </w:r>
          </w:p>
        </w:tc>
      </w:tr>
    </w:tbl>
    <w:p w:rsidR="0039038D" w:rsidRDefault="0039038D">
      <w:pPr>
        <w:spacing w:after="0" w:line="360" w:lineRule="auto"/>
        <w:ind w:firstLine="567"/>
        <w:jc w:val="both"/>
        <w:rPr>
          <w:rFonts w:ascii="Times New Roman" w:hAnsi="Times New Roman" w:cs="Times New Roman"/>
          <w:sz w:val="28"/>
          <w:szCs w:val="28"/>
          <w:lang w:val="ru-RU"/>
        </w:rPr>
      </w:pP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Приклад розрахунку діапазону прогнозів (приведена вартість (PV) за п'ятирічний період) щодо даного показника представлено в таблиці 3.6.</w:t>
      </w:r>
    </w:p>
    <w:p w:rsidR="00192DBE" w:rsidRDefault="00192DBE">
      <w:pPr>
        <w:spacing w:after="0" w:line="360" w:lineRule="auto"/>
        <w:ind w:firstLine="567"/>
        <w:jc w:val="both"/>
        <w:rPr>
          <w:rFonts w:ascii="Times New Roman" w:hAnsi="Times New Roman" w:cs="Times New Roman"/>
          <w:sz w:val="28"/>
          <w:szCs w:val="28"/>
        </w:rPr>
      </w:pP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Таблиця 3.6 – Економія за рахунок капітальних витрат і експлуатаційних витрат</w:t>
      </w:r>
    </w:p>
    <w:p w:rsidR="00192DBE" w:rsidRDefault="00192DBE">
      <w:pPr>
        <w:spacing w:after="0" w:line="360" w:lineRule="auto"/>
        <w:ind w:firstLine="567"/>
        <w:jc w:val="both"/>
        <w:rPr>
          <w:rFonts w:ascii="Times New Roman" w:hAnsi="Times New Roman" w:cs="Times New Roman"/>
          <w:sz w:val="28"/>
          <w:szCs w:val="28"/>
        </w:rPr>
      </w:pPr>
    </w:p>
    <w:tbl>
      <w:tblPr>
        <w:tblW w:w="9498" w:type="dxa"/>
        <w:tblInd w:w="-5" w:type="dxa"/>
        <w:tblLook w:val="04A0" w:firstRow="1" w:lastRow="0" w:firstColumn="1" w:lastColumn="0" w:noHBand="0" w:noVBand="1"/>
      </w:tblPr>
      <w:tblGrid>
        <w:gridCol w:w="6350"/>
        <w:gridCol w:w="982"/>
        <w:gridCol w:w="1142"/>
        <w:gridCol w:w="1024"/>
      </w:tblGrid>
      <w:tr w:rsidR="0039038D">
        <w:trPr>
          <w:trHeight w:val="300"/>
        </w:trPr>
        <w:tc>
          <w:tcPr>
            <w:tcW w:w="63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Показник</w:t>
            </w:r>
          </w:p>
        </w:tc>
        <w:tc>
          <w:tcPr>
            <w:tcW w:w="974"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Нижня оцінка</w:t>
            </w:r>
          </w:p>
        </w:tc>
        <w:tc>
          <w:tcPr>
            <w:tcW w:w="1121"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Середня оцінка</w:t>
            </w:r>
          </w:p>
        </w:tc>
        <w:tc>
          <w:tcPr>
            <w:tcW w:w="1006"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Верхня оцінка</w:t>
            </w:r>
          </w:p>
        </w:tc>
      </w:tr>
      <w:tr w:rsidR="0039038D">
        <w:trPr>
          <w:trHeight w:val="300"/>
        </w:trPr>
        <w:tc>
          <w:tcPr>
            <w:tcW w:w="6396"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Капітальні витрати, яких вдалося уникнути в перерахунку на екземпляр (в млн.$)</w:t>
            </w:r>
          </w:p>
        </w:tc>
        <w:tc>
          <w:tcPr>
            <w:tcW w:w="974"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w:t>
            </w:r>
          </w:p>
        </w:tc>
        <w:tc>
          <w:tcPr>
            <w:tcW w:w="1121"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5</w:t>
            </w:r>
          </w:p>
        </w:tc>
        <w:tc>
          <w:tcPr>
            <w:tcW w:w="1006"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w:t>
            </w:r>
          </w:p>
        </w:tc>
      </w:tr>
      <w:tr w:rsidR="0039038D">
        <w:trPr>
          <w:trHeight w:val="300"/>
        </w:trPr>
        <w:tc>
          <w:tcPr>
            <w:tcW w:w="6396"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Додаткові витрати на інфраструктуру (в тис. $)</w:t>
            </w:r>
          </w:p>
        </w:tc>
        <w:tc>
          <w:tcPr>
            <w:tcW w:w="974"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600</w:t>
            </w:r>
          </w:p>
        </w:tc>
        <w:tc>
          <w:tcPr>
            <w:tcW w:w="1121"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1500</w:t>
            </w:r>
          </w:p>
        </w:tc>
        <w:tc>
          <w:tcPr>
            <w:tcW w:w="1006"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2400</w:t>
            </w:r>
          </w:p>
        </w:tc>
      </w:tr>
      <w:tr w:rsidR="0039038D">
        <w:trPr>
          <w:trHeight w:val="300"/>
        </w:trPr>
        <w:tc>
          <w:tcPr>
            <w:tcW w:w="6396"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Необхідні експлуатаційні витрати в проценті від капітальних витрат</w:t>
            </w:r>
          </w:p>
        </w:tc>
        <w:tc>
          <w:tcPr>
            <w:tcW w:w="974"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w:t>
            </w:r>
          </w:p>
        </w:tc>
        <w:tc>
          <w:tcPr>
            <w:tcW w:w="1121"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w:t>
            </w:r>
          </w:p>
        </w:tc>
        <w:tc>
          <w:tcPr>
            <w:tcW w:w="1006"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w:t>
            </w:r>
          </w:p>
        </w:tc>
      </w:tr>
      <w:tr w:rsidR="0039038D">
        <w:trPr>
          <w:trHeight w:val="300"/>
        </w:trPr>
        <w:tc>
          <w:tcPr>
            <w:tcW w:w="6396"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Капітальні та експлуатаційні витрати, яких вдалося уникнути (в млн. $)</w:t>
            </w:r>
          </w:p>
        </w:tc>
        <w:tc>
          <w:tcPr>
            <w:tcW w:w="974"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6.78</w:t>
            </w:r>
          </w:p>
        </w:tc>
        <w:tc>
          <w:tcPr>
            <w:tcW w:w="1121"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16.97</w:t>
            </w:r>
          </w:p>
        </w:tc>
        <w:tc>
          <w:tcPr>
            <w:tcW w:w="1006"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27.15</w:t>
            </w:r>
          </w:p>
        </w:tc>
      </w:tr>
    </w:tbl>
    <w:p w:rsidR="0039038D" w:rsidRDefault="0039038D">
      <w:pPr>
        <w:spacing w:after="0" w:line="360" w:lineRule="auto"/>
        <w:jc w:val="both"/>
        <w:rPr>
          <w:rFonts w:ascii="Times New Roman" w:hAnsi="Times New Roman" w:cs="Times New Roman"/>
          <w:sz w:val="28"/>
          <w:szCs w:val="28"/>
        </w:rPr>
      </w:pP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Також, не варто забувати про економію коштів за рахунок підвищення ефективності роботи</w:t>
      </w:r>
      <w:r>
        <w:rPr>
          <w:rFonts w:ascii="Times New Roman" w:hAnsi="Times New Roman" w:cs="Times New Roman"/>
          <w:sz w:val="28"/>
          <w:szCs w:val="28"/>
          <w:lang w:val="ru-RU"/>
        </w:rPr>
        <w:t>.</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Ефективність є однією з ключових можливостей щодо зниження витрат за допомогою рішення ІВМ Blockchain. Можливі приклади: раціоналізація білінгу; позбавлення від розбіжностей, породжуваних суперечливою документацією; заміна успадкованих систем і інструментів одним рішенням IBM </w:t>
      </w:r>
      <w:r>
        <w:rPr>
          <w:rFonts w:ascii="Times New Roman" w:hAnsi="Times New Roman" w:cs="Times New Roman"/>
          <w:sz w:val="28"/>
          <w:szCs w:val="28"/>
          <w:lang w:val="en-US"/>
        </w:rPr>
        <w:t>Blockchain</w:t>
      </w:r>
      <w:r>
        <w:rPr>
          <w:rFonts w:ascii="Times New Roman" w:hAnsi="Times New Roman" w:cs="Times New Roman"/>
          <w:sz w:val="28"/>
          <w:szCs w:val="28"/>
          <w:lang w:val="ru-RU"/>
        </w:rPr>
        <w:t xml:space="preserve"> Platform.</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До збільшення ефективності приведе:</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 Раціоналізована документація;</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 Скорочення кількості успадкованих систем;</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3. Скорочення витрат на робочу силу.</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Величина економії за рахунок ефективності буде залежати від наступних факторів:</w:t>
      </w:r>
    </w:p>
    <w:p w:rsidR="0039038D" w:rsidRDefault="008D4FA6">
      <w:pPr>
        <w:pStyle w:val="ac"/>
        <w:numPr>
          <w:ilvl w:val="0"/>
          <w:numId w:val="31"/>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Кількість записів (рахунки–фактури, вантажні документи і т.д.), оброблених організацією.</w:t>
      </w:r>
    </w:p>
    <w:p w:rsidR="0039038D" w:rsidRDefault="008D4FA6">
      <w:pPr>
        <w:pStyle w:val="ac"/>
        <w:numPr>
          <w:ilvl w:val="0"/>
          <w:numId w:val="31"/>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Середні витрати на обробку однієї записи.</w:t>
      </w:r>
    </w:p>
    <w:p w:rsidR="0039038D" w:rsidRDefault="008D4FA6">
      <w:pPr>
        <w:pStyle w:val="ac"/>
        <w:numPr>
          <w:ilvl w:val="0"/>
          <w:numId w:val="31"/>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Процентна частка конфліктуючих записів в системах замовника (і його контрагентів).</w:t>
      </w:r>
    </w:p>
    <w:p w:rsidR="0039038D" w:rsidRDefault="008D4FA6">
      <w:pPr>
        <w:pStyle w:val="ac"/>
        <w:numPr>
          <w:ilvl w:val="0"/>
          <w:numId w:val="31"/>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lastRenderedPageBreak/>
        <w:t xml:space="preserve">Вартість ліцензій на успадковані системи і підхід організації замовника до заміни цих систем рішенням на основі IBM </w:t>
      </w:r>
      <w:r>
        <w:rPr>
          <w:rFonts w:ascii="Times New Roman" w:hAnsi="Times New Roman" w:cs="Times New Roman"/>
          <w:sz w:val="28"/>
          <w:szCs w:val="28"/>
          <w:lang w:val="en-US"/>
        </w:rPr>
        <w:t>Blockchain</w:t>
      </w:r>
      <w:r>
        <w:rPr>
          <w:rFonts w:ascii="Times New Roman" w:hAnsi="Times New Roman" w:cs="Times New Roman"/>
          <w:sz w:val="28"/>
          <w:szCs w:val="28"/>
        </w:rPr>
        <w:t xml:space="preserve"> Platform and Services.</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Раціоналізована документація вираховується за формулою 3.3:</w:t>
      </w:r>
    </w:p>
    <w:p w:rsidR="0039038D" w:rsidRPr="00192DBE" w:rsidRDefault="008D4FA6">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en-US"/>
        </w:rPr>
        <w:t>Rd</w:t>
      </w:r>
      <w:r w:rsidRPr="00192DBE">
        <w:rPr>
          <w:rFonts w:ascii="Times New Roman" w:hAnsi="Times New Roman" w:cs="Times New Roman"/>
          <w:sz w:val="28"/>
          <w:szCs w:val="28"/>
          <w:lang w:val="ru-RU"/>
        </w:rPr>
        <w:t xml:space="preserve"> = </w:t>
      </w:r>
      <w:r>
        <w:rPr>
          <w:rFonts w:ascii="Times New Roman" w:hAnsi="Times New Roman" w:cs="Times New Roman"/>
          <w:sz w:val="28"/>
          <w:szCs w:val="28"/>
          <w:lang w:val="en-US"/>
        </w:rPr>
        <w:t>Kk</w:t>
      </w:r>
      <w:r w:rsidRPr="00192DBE">
        <w:rPr>
          <w:rFonts w:ascii="Times New Roman" w:hAnsi="Times New Roman" w:cs="Times New Roman"/>
          <w:sz w:val="28"/>
          <w:szCs w:val="28"/>
          <w:lang w:val="ru-RU"/>
        </w:rPr>
        <w:t xml:space="preserve"> * </w:t>
      </w:r>
      <w:r>
        <w:rPr>
          <w:rFonts w:ascii="Times New Roman" w:hAnsi="Times New Roman" w:cs="Times New Roman"/>
          <w:sz w:val="28"/>
          <w:szCs w:val="28"/>
          <w:lang w:val="ru-RU"/>
        </w:rPr>
        <w:t>Св</w:t>
      </w:r>
      <w:r w:rsidRPr="00192DBE">
        <w:rPr>
          <w:rFonts w:ascii="Times New Roman" w:hAnsi="Times New Roman" w:cs="Times New Roman"/>
          <w:sz w:val="28"/>
          <w:szCs w:val="28"/>
          <w:lang w:val="ru-RU"/>
        </w:rPr>
        <w:t xml:space="preserve"> * </w:t>
      </w:r>
      <w:r>
        <w:rPr>
          <w:rFonts w:ascii="Times New Roman" w:hAnsi="Times New Roman" w:cs="Times New Roman"/>
          <w:sz w:val="28"/>
          <w:szCs w:val="28"/>
          <w:lang w:val="en-US"/>
        </w:rPr>
        <w:t>Pc</w:t>
      </w:r>
      <w:r w:rsidRPr="00192DBE">
        <w:rPr>
          <w:rFonts w:ascii="Times New Roman" w:hAnsi="Times New Roman" w:cs="Times New Roman"/>
          <w:sz w:val="28"/>
          <w:szCs w:val="28"/>
          <w:lang w:val="ru-RU"/>
        </w:rPr>
        <w:t xml:space="preserve"> + </w:t>
      </w:r>
      <w:r>
        <w:rPr>
          <w:rFonts w:ascii="Times New Roman" w:hAnsi="Times New Roman" w:cs="Times New Roman"/>
          <w:sz w:val="28"/>
          <w:szCs w:val="28"/>
          <w:lang w:val="en-US"/>
        </w:rPr>
        <w:t>Ec</w:t>
      </w:r>
      <w:r w:rsidR="00192DBE">
        <w:rPr>
          <w:rFonts w:ascii="Times New Roman" w:hAnsi="Times New Roman" w:cs="Times New Roman"/>
          <w:sz w:val="28"/>
          <w:szCs w:val="28"/>
        </w:rPr>
        <w:t>, де</w:t>
      </w:r>
      <w:r w:rsidRPr="00192DBE">
        <w:rPr>
          <w:rFonts w:ascii="Times New Roman" w:hAnsi="Times New Roman" w:cs="Times New Roman"/>
          <w:sz w:val="28"/>
          <w:szCs w:val="28"/>
          <w:lang w:val="ru-RU"/>
        </w:rPr>
        <w:t xml:space="preserve">         (3.3)</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Kk – кількість конфліктуючих записів, </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Св – середні витрати на дозвіл розбіжностей щодо конфліктуючих записів, </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Pc – прогнозоване скорочення кількості конфліктуючих записів, </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Ec – економія завдяки скороченню витрат на обробку записів.</w:t>
      </w:r>
    </w:p>
    <w:p w:rsidR="00192DBE" w:rsidRDefault="00192DBE">
      <w:pPr>
        <w:spacing w:after="0" w:line="360" w:lineRule="auto"/>
        <w:ind w:firstLine="567"/>
        <w:jc w:val="both"/>
        <w:rPr>
          <w:rFonts w:ascii="Times New Roman" w:hAnsi="Times New Roman" w:cs="Times New Roman"/>
          <w:sz w:val="28"/>
          <w:szCs w:val="28"/>
          <w:lang w:val="ru-RU"/>
        </w:rPr>
      </w:pP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Таблиця 3.7 – Приклад розрахунку нижньої прогнозної оцінки відносно раціоналізованої документації</w:t>
      </w:r>
    </w:p>
    <w:p w:rsidR="00192DBE" w:rsidRDefault="00192DBE">
      <w:pPr>
        <w:spacing w:after="0" w:line="360" w:lineRule="auto"/>
        <w:ind w:firstLine="567"/>
        <w:jc w:val="both"/>
        <w:rPr>
          <w:rFonts w:ascii="Times New Roman" w:hAnsi="Times New Roman" w:cs="Times New Roman"/>
          <w:sz w:val="28"/>
          <w:szCs w:val="28"/>
        </w:rPr>
      </w:pPr>
    </w:p>
    <w:tbl>
      <w:tblPr>
        <w:tblW w:w="9762" w:type="dxa"/>
        <w:tblInd w:w="-5" w:type="dxa"/>
        <w:tblLook w:val="04A0" w:firstRow="1" w:lastRow="0" w:firstColumn="1" w:lastColumn="0" w:noHBand="0" w:noVBand="1"/>
      </w:tblPr>
      <w:tblGrid>
        <w:gridCol w:w="4962"/>
        <w:gridCol w:w="960"/>
        <w:gridCol w:w="960"/>
        <w:gridCol w:w="960"/>
        <w:gridCol w:w="960"/>
        <w:gridCol w:w="960"/>
      </w:tblGrid>
      <w:tr w:rsidR="00192DBE" w:rsidRPr="005802E8" w:rsidTr="00192DBE">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Показник</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Рік 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Рік 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Рік 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Рік 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Рік 5</w:t>
            </w:r>
          </w:p>
        </w:tc>
      </w:tr>
      <w:tr w:rsidR="00192DBE" w:rsidRPr="005802E8" w:rsidTr="00192DBE">
        <w:trPr>
          <w:trHeight w:val="456"/>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Усього записів (у тис.)</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20</w:t>
            </w:r>
          </w:p>
        </w:tc>
      </w:tr>
      <w:tr w:rsidR="00192DBE" w:rsidRPr="005802E8" w:rsidTr="00192DBE">
        <w:trPr>
          <w:trHeight w:val="587"/>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Процент конфліктуючих записів (%)</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5</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5</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5</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5</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5</w:t>
            </w:r>
          </w:p>
        </w:tc>
      </w:tr>
      <w:tr w:rsidR="00192DBE" w:rsidRPr="005802E8" w:rsidTr="00192DBE">
        <w:trPr>
          <w:trHeight w:val="69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Кількість конфліктуючих записів, які потрібно вирішити (у тис)</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1</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1</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1</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1</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1</w:t>
            </w:r>
          </w:p>
        </w:tc>
      </w:tr>
      <w:tr w:rsidR="00192DBE" w:rsidRPr="005802E8" w:rsidTr="00192DBE">
        <w:trPr>
          <w:trHeight w:val="78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Середн</w:t>
            </w:r>
            <w:r>
              <w:rPr>
                <w:rFonts w:ascii="Times New Roman" w:eastAsia="Times New Roman" w:hAnsi="Times New Roman" w:cs="Times New Roman"/>
                <w:color w:val="000000"/>
                <w:sz w:val="26"/>
                <w:szCs w:val="26"/>
                <w:lang w:eastAsia="uk-UA"/>
              </w:rPr>
              <w:t>і витрати на вирішення конфлікту</w:t>
            </w:r>
            <w:r w:rsidRPr="005802E8">
              <w:rPr>
                <w:rFonts w:ascii="Times New Roman" w:eastAsia="Times New Roman" w:hAnsi="Times New Roman" w:cs="Times New Roman"/>
                <w:color w:val="000000"/>
                <w:sz w:val="26"/>
                <w:szCs w:val="26"/>
                <w:lang w:eastAsia="uk-UA"/>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200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200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200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200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200</w:t>
            </w:r>
          </w:p>
        </w:tc>
      </w:tr>
      <w:tr w:rsidR="00192DBE" w:rsidRPr="005802E8" w:rsidTr="00192DBE">
        <w:trPr>
          <w:trHeight w:val="897"/>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 xml:space="preserve">Прогнозоване зменшення кількості конфліктуючих записів за допомогою </w:t>
            </w:r>
            <w:r>
              <w:rPr>
                <w:rFonts w:ascii="Times New Roman" w:eastAsia="Times New Roman" w:hAnsi="Times New Roman" w:cs="Times New Roman"/>
                <w:color w:val="000000"/>
                <w:sz w:val="26"/>
                <w:szCs w:val="26"/>
                <w:lang w:eastAsia="uk-UA"/>
              </w:rPr>
              <w:t>Blockchain</w:t>
            </w:r>
            <w:r w:rsidRPr="005802E8">
              <w:rPr>
                <w:rFonts w:ascii="Times New Roman" w:eastAsia="Times New Roman" w:hAnsi="Times New Roman" w:cs="Times New Roman"/>
                <w:color w:val="000000"/>
                <w:sz w:val="26"/>
                <w:szCs w:val="26"/>
                <w:lang w:eastAsia="uk-UA"/>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100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100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100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100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100</w:t>
            </w:r>
          </w:p>
        </w:tc>
      </w:tr>
      <w:tr w:rsidR="00192DBE" w:rsidRPr="005802E8" w:rsidTr="00192DBE">
        <w:trPr>
          <w:trHeight w:val="83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Проміжний підсумок: зменшення кількості конфліктуючих записів (тис. $)</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200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200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200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200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200</w:t>
            </w:r>
          </w:p>
        </w:tc>
      </w:tr>
      <w:tr w:rsidR="00192DBE" w:rsidRPr="005802E8" w:rsidTr="00192DBE">
        <w:trPr>
          <w:trHeight w:val="943"/>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Середні витрати на обробку одного запису ($)</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20</w:t>
            </w:r>
          </w:p>
        </w:tc>
      </w:tr>
      <w:tr w:rsidR="00192DBE" w:rsidRPr="005802E8" w:rsidTr="00192DBE">
        <w:trPr>
          <w:trHeight w:val="89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Зменшення витрат в перерахунку на одну запис (%)</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25</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25</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25</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25</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25</w:t>
            </w:r>
          </w:p>
        </w:tc>
      </w:tr>
      <w:tr w:rsidR="00192DBE" w:rsidRPr="005802E8" w:rsidTr="00192DBE">
        <w:trPr>
          <w:trHeight w:val="1287"/>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Проміжний підсумок: Економія завдяки зменшенню витрат на обробку записів (тис. $)</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100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100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100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100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100</w:t>
            </w:r>
          </w:p>
        </w:tc>
      </w:tr>
      <w:tr w:rsidR="00192DBE" w:rsidRPr="005802E8" w:rsidTr="00192DBE">
        <w:trPr>
          <w:trHeight w:val="50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Економія при обробці записів (тис. $)</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300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300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300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300</w:t>
            </w:r>
          </w:p>
        </w:tc>
        <w:tc>
          <w:tcPr>
            <w:tcW w:w="960" w:type="dxa"/>
            <w:tcBorders>
              <w:top w:val="nil"/>
              <w:left w:val="nil"/>
              <w:bottom w:val="single" w:sz="4" w:space="0" w:color="auto"/>
              <w:right w:val="single" w:sz="4" w:space="0" w:color="auto"/>
            </w:tcBorders>
            <w:shd w:val="clear" w:color="auto" w:fill="auto"/>
            <w:noWrap/>
            <w:vAlign w:val="bottom"/>
            <w:hideMark/>
          </w:tcPr>
          <w:p w:rsidR="00192DBE" w:rsidRPr="005802E8" w:rsidRDefault="00192DBE" w:rsidP="00AB5061">
            <w:pPr>
              <w:spacing w:after="0" w:line="240" w:lineRule="auto"/>
              <w:rPr>
                <w:rFonts w:ascii="Times New Roman" w:eastAsia="Times New Roman" w:hAnsi="Times New Roman" w:cs="Times New Roman"/>
                <w:color w:val="000000"/>
                <w:sz w:val="26"/>
                <w:szCs w:val="26"/>
                <w:lang w:eastAsia="uk-UA"/>
              </w:rPr>
            </w:pPr>
            <w:r w:rsidRPr="005802E8">
              <w:rPr>
                <w:rFonts w:ascii="Times New Roman" w:eastAsia="Times New Roman" w:hAnsi="Times New Roman" w:cs="Times New Roman"/>
                <w:color w:val="000000"/>
                <w:sz w:val="26"/>
                <w:szCs w:val="26"/>
                <w:lang w:eastAsia="uk-UA"/>
              </w:rPr>
              <w:t>300</w:t>
            </w:r>
          </w:p>
        </w:tc>
      </w:tr>
    </w:tbl>
    <w:p w:rsidR="0039038D" w:rsidRDefault="0039038D">
      <w:pPr>
        <w:tabs>
          <w:tab w:val="left" w:pos="567"/>
        </w:tabs>
        <w:spacing w:after="0" w:line="360" w:lineRule="auto"/>
        <w:ind w:firstLine="567"/>
        <w:jc w:val="both"/>
        <w:rPr>
          <w:rFonts w:ascii="Times New Roman" w:hAnsi="Times New Roman" w:cs="Times New Roman"/>
          <w:sz w:val="28"/>
          <w:szCs w:val="28"/>
          <w:lang w:val="ru-RU"/>
        </w:rPr>
      </w:pPr>
    </w:p>
    <w:p w:rsidR="0039038D" w:rsidRDefault="008D4FA6">
      <w:pPr>
        <w:tabs>
          <w:tab w:val="left" w:pos="567"/>
        </w:tabs>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Скорочення кількості успадкованих систем, в свою чергу, можна розрахувати за формулою 3.4.</w:t>
      </w:r>
    </w:p>
    <w:p w:rsidR="0039038D" w:rsidRDefault="008D4FA6">
      <w:pPr>
        <w:tabs>
          <w:tab w:val="left" w:pos="567"/>
        </w:tabs>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Ск = Вu * Vs, </w:t>
      </w:r>
      <w:r>
        <w:rPr>
          <w:rFonts w:ascii="Times New Roman" w:hAnsi="Times New Roman" w:cs="Times New Roman"/>
          <w:sz w:val="28"/>
          <w:szCs w:val="28"/>
        </w:rPr>
        <w:t>де</w:t>
      </w:r>
      <w:r>
        <w:rPr>
          <w:rFonts w:ascii="Times New Roman" w:hAnsi="Times New Roman" w:cs="Times New Roman"/>
          <w:sz w:val="28"/>
          <w:szCs w:val="28"/>
          <w:lang w:val="ru-RU"/>
        </w:rPr>
        <w:t xml:space="preserve">            (3.4)</w:t>
      </w:r>
    </w:p>
    <w:p w:rsidR="0039038D" w:rsidRDefault="008D4FA6">
      <w:pPr>
        <w:tabs>
          <w:tab w:val="left" w:pos="567"/>
        </w:tabs>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Bu –вартість успадкованих систем, </w:t>
      </w:r>
    </w:p>
    <w:p w:rsidR="0039038D" w:rsidRDefault="008D4FA6">
      <w:pPr>
        <w:tabs>
          <w:tab w:val="left" w:pos="567"/>
        </w:tabs>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Vs – відсоток успадкованих системи, замінених технологією </w:t>
      </w:r>
      <w:r>
        <w:rPr>
          <w:rFonts w:ascii="Times New Roman" w:hAnsi="Times New Roman" w:cs="Times New Roman"/>
          <w:sz w:val="28"/>
          <w:szCs w:val="28"/>
          <w:lang w:val="en-US"/>
        </w:rPr>
        <w:t>IBM</w:t>
      </w:r>
      <w:r>
        <w:rPr>
          <w:rFonts w:ascii="Times New Roman" w:hAnsi="Times New Roman" w:cs="Times New Roman"/>
          <w:sz w:val="28"/>
          <w:szCs w:val="28"/>
          <w:lang w:val="ru-RU"/>
        </w:rPr>
        <w:t xml:space="preserve"> Blockchain.</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У таблиці 3.8 можна побачити приклад розрахунку економії за рахунок зменшення кількості успадкованих систем.</w:t>
      </w:r>
    </w:p>
    <w:p w:rsidR="0039038D" w:rsidRDefault="0039038D">
      <w:pPr>
        <w:spacing w:after="0" w:line="360" w:lineRule="auto"/>
        <w:ind w:firstLine="567"/>
        <w:jc w:val="both"/>
        <w:rPr>
          <w:rFonts w:ascii="Times New Roman" w:hAnsi="Times New Roman" w:cs="Times New Roman"/>
          <w:sz w:val="28"/>
          <w:szCs w:val="28"/>
          <w:lang w:val="ru-RU"/>
        </w:rPr>
      </w:pP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Таблиця 3.8 – приклад розрахунку економії за рахунок зменшення кількості успадкованих систем.</w:t>
      </w:r>
    </w:p>
    <w:p w:rsidR="00192DBE" w:rsidRDefault="00192DBE">
      <w:pPr>
        <w:spacing w:after="0" w:line="360" w:lineRule="auto"/>
        <w:ind w:firstLine="567"/>
        <w:jc w:val="both"/>
        <w:rPr>
          <w:rFonts w:ascii="Times New Roman" w:hAnsi="Times New Roman" w:cs="Times New Roman"/>
          <w:sz w:val="28"/>
          <w:szCs w:val="28"/>
          <w:lang w:val="ru-RU"/>
        </w:rPr>
      </w:pPr>
    </w:p>
    <w:tbl>
      <w:tblPr>
        <w:tblW w:w="9781" w:type="dxa"/>
        <w:tblInd w:w="-5" w:type="dxa"/>
        <w:tblLook w:val="04A0" w:firstRow="1" w:lastRow="0" w:firstColumn="1" w:lastColumn="0" w:noHBand="0" w:noVBand="1"/>
      </w:tblPr>
      <w:tblGrid>
        <w:gridCol w:w="5245"/>
        <w:gridCol w:w="992"/>
        <w:gridCol w:w="850"/>
        <w:gridCol w:w="849"/>
        <w:gridCol w:w="851"/>
        <w:gridCol w:w="994"/>
      </w:tblGrid>
      <w:tr w:rsidR="0039038D" w:rsidTr="00192DBE">
        <w:trPr>
          <w:trHeight w:val="955"/>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Показник</w:t>
            </w:r>
          </w:p>
        </w:tc>
        <w:tc>
          <w:tcPr>
            <w:tcW w:w="992"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1</w:t>
            </w:r>
          </w:p>
        </w:tc>
        <w:tc>
          <w:tcPr>
            <w:tcW w:w="850"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2</w:t>
            </w:r>
          </w:p>
        </w:tc>
        <w:tc>
          <w:tcPr>
            <w:tcW w:w="849"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3</w:t>
            </w:r>
          </w:p>
        </w:tc>
        <w:tc>
          <w:tcPr>
            <w:tcW w:w="851"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4</w:t>
            </w:r>
          </w:p>
        </w:tc>
        <w:tc>
          <w:tcPr>
            <w:tcW w:w="994"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5</w:t>
            </w:r>
          </w:p>
        </w:tc>
      </w:tr>
      <w:tr w:rsidR="0039038D" w:rsidTr="00192DBE">
        <w:trPr>
          <w:trHeight w:val="565"/>
        </w:trPr>
        <w:tc>
          <w:tcPr>
            <w:tcW w:w="5245"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Вартість успадкованих систем (тис. $)</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150</w:t>
            </w:r>
          </w:p>
        </w:tc>
        <w:tc>
          <w:tcPr>
            <w:tcW w:w="850"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150</w:t>
            </w:r>
          </w:p>
        </w:tc>
        <w:tc>
          <w:tcPr>
            <w:tcW w:w="84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150</w:t>
            </w:r>
          </w:p>
        </w:tc>
        <w:tc>
          <w:tcPr>
            <w:tcW w:w="851"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150</w:t>
            </w:r>
          </w:p>
        </w:tc>
        <w:tc>
          <w:tcPr>
            <w:tcW w:w="994"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150</w:t>
            </w:r>
          </w:p>
        </w:tc>
      </w:tr>
      <w:tr w:rsidR="0039038D" w:rsidTr="00192DBE">
        <w:trPr>
          <w:trHeight w:val="1580"/>
        </w:trPr>
        <w:tc>
          <w:tcPr>
            <w:tcW w:w="5245"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Відсоток успадкованих систем, які замінюються рішенням IBM Blockchain (%)</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w:t>
            </w:r>
          </w:p>
        </w:tc>
        <w:tc>
          <w:tcPr>
            <w:tcW w:w="850"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50</w:t>
            </w:r>
          </w:p>
        </w:tc>
        <w:tc>
          <w:tcPr>
            <w:tcW w:w="84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80</w:t>
            </w:r>
          </w:p>
        </w:tc>
        <w:tc>
          <w:tcPr>
            <w:tcW w:w="851"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100</w:t>
            </w:r>
          </w:p>
        </w:tc>
        <w:tc>
          <w:tcPr>
            <w:tcW w:w="994"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100</w:t>
            </w:r>
          </w:p>
        </w:tc>
      </w:tr>
      <w:tr w:rsidR="0039038D" w:rsidTr="00192DBE">
        <w:trPr>
          <w:trHeight w:val="1043"/>
        </w:trPr>
        <w:tc>
          <w:tcPr>
            <w:tcW w:w="5245"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Економія за рахунок ліцензій на ПЗ (тис. $)</w:t>
            </w:r>
          </w:p>
        </w:tc>
        <w:tc>
          <w:tcPr>
            <w:tcW w:w="99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15</w:t>
            </w:r>
          </w:p>
        </w:tc>
        <w:tc>
          <w:tcPr>
            <w:tcW w:w="850"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75</w:t>
            </w:r>
          </w:p>
        </w:tc>
        <w:tc>
          <w:tcPr>
            <w:tcW w:w="84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120</w:t>
            </w:r>
          </w:p>
        </w:tc>
        <w:tc>
          <w:tcPr>
            <w:tcW w:w="851"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150</w:t>
            </w:r>
          </w:p>
        </w:tc>
        <w:tc>
          <w:tcPr>
            <w:tcW w:w="994"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150</w:t>
            </w:r>
          </w:p>
        </w:tc>
      </w:tr>
    </w:tbl>
    <w:p w:rsidR="0039038D" w:rsidRDefault="0039038D">
      <w:pPr>
        <w:spacing w:after="0" w:line="360" w:lineRule="auto"/>
        <w:ind w:firstLine="567"/>
        <w:jc w:val="both"/>
        <w:rPr>
          <w:rFonts w:ascii="Times New Roman" w:hAnsi="Times New Roman" w:cs="Times New Roman"/>
          <w:sz w:val="28"/>
          <w:szCs w:val="28"/>
          <w:lang w:val="ru-RU"/>
        </w:rPr>
      </w:pP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Скорочення витрат на робочу силу можна розрахувати за наступною формулою 3.5:</w:t>
      </w:r>
    </w:p>
    <w:p w:rsidR="0039038D" w:rsidRDefault="008D4FA6">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Sв = Ef + Eu,    де         (3.5)</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en-US"/>
        </w:rPr>
        <w:t>S</w:t>
      </w:r>
      <w:r>
        <w:rPr>
          <w:rFonts w:ascii="Times New Roman" w:hAnsi="Times New Roman" w:cs="Times New Roman"/>
          <w:sz w:val="28"/>
          <w:szCs w:val="28"/>
        </w:rPr>
        <w:t xml:space="preserve">в – </w:t>
      </w:r>
      <w:r>
        <w:rPr>
          <w:rFonts w:ascii="Times New Roman" w:hAnsi="Times New Roman" w:cs="Times New Roman"/>
          <w:sz w:val="28"/>
          <w:szCs w:val="28"/>
          <w:lang w:val="ru-RU"/>
        </w:rPr>
        <w:t>скорочення витрат, на работчу силу, заявдяни скороченню к</w:t>
      </w:r>
      <w:r>
        <w:rPr>
          <w:rFonts w:ascii="Times New Roman" w:hAnsi="Times New Roman" w:cs="Times New Roman"/>
          <w:sz w:val="28"/>
          <w:szCs w:val="28"/>
        </w:rPr>
        <w:t xml:space="preserve">ількості співробітників основних відомств (у випадку компаній галузі </w:t>
      </w:r>
      <w:r>
        <w:rPr>
          <w:rFonts w:ascii="Times New Roman" w:hAnsi="Times New Roman" w:cs="Times New Roman"/>
          <w:sz w:val="28"/>
          <w:szCs w:val="28"/>
          <w:lang w:val="en-US"/>
        </w:rPr>
        <w:t>Blockchain</w:t>
      </w:r>
      <w:r>
        <w:rPr>
          <w:rFonts w:ascii="Times New Roman" w:hAnsi="Times New Roman" w:cs="Times New Roman"/>
          <w:sz w:val="28"/>
          <w:szCs w:val="28"/>
          <w:lang w:val="ru-RU"/>
        </w:rPr>
        <w:t xml:space="preserve"> – фінансового та юридичного).</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Ef – Економія завдяки скороченню кількості співробітників фінансового департаменту  </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Eu – Економія завдяки скороченню кількості співробітників юридичного департаменту.</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Приклад розрахунку ефективності зменшення витрат на робочу силу відображен в таблиці 3.9.</w:t>
      </w:r>
    </w:p>
    <w:p w:rsidR="0039038D" w:rsidRDefault="0039038D">
      <w:pPr>
        <w:spacing w:after="0" w:line="360" w:lineRule="auto"/>
        <w:ind w:firstLine="567"/>
        <w:jc w:val="both"/>
        <w:rPr>
          <w:rFonts w:ascii="Times New Roman" w:hAnsi="Times New Roman" w:cs="Times New Roman"/>
          <w:sz w:val="28"/>
          <w:szCs w:val="28"/>
        </w:rPr>
      </w:pP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Таблиця 3.9 – Приклад розрахунку ефективності зменшення витрат на робочу силу.</w:t>
      </w:r>
    </w:p>
    <w:p w:rsidR="00192DBE" w:rsidRDefault="00192DBE">
      <w:pPr>
        <w:spacing w:after="0" w:line="360" w:lineRule="auto"/>
        <w:ind w:firstLine="567"/>
        <w:jc w:val="both"/>
        <w:rPr>
          <w:rFonts w:ascii="Times New Roman" w:hAnsi="Times New Roman" w:cs="Times New Roman"/>
          <w:sz w:val="28"/>
          <w:szCs w:val="28"/>
        </w:rPr>
      </w:pPr>
    </w:p>
    <w:tbl>
      <w:tblPr>
        <w:tblW w:w="9620" w:type="dxa"/>
        <w:tblInd w:w="-5" w:type="dxa"/>
        <w:tblLook w:val="04A0" w:firstRow="1" w:lastRow="0" w:firstColumn="1" w:lastColumn="0" w:noHBand="0" w:noVBand="1"/>
      </w:tblPr>
      <w:tblGrid>
        <w:gridCol w:w="4820"/>
        <w:gridCol w:w="959"/>
        <w:gridCol w:w="959"/>
        <w:gridCol w:w="959"/>
        <w:gridCol w:w="960"/>
        <w:gridCol w:w="963"/>
      </w:tblGrid>
      <w:tr w:rsidR="0039038D" w:rsidTr="00192DBE">
        <w:trPr>
          <w:trHeight w:val="530"/>
        </w:trPr>
        <w:tc>
          <w:tcPr>
            <w:tcW w:w="48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Показник</w:t>
            </w:r>
          </w:p>
        </w:tc>
        <w:tc>
          <w:tcPr>
            <w:tcW w:w="959"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1</w:t>
            </w:r>
          </w:p>
        </w:tc>
        <w:tc>
          <w:tcPr>
            <w:tcW w:w="959"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2</w:t>
            </w:r>
          </w:p>
        </w:tc>
        <w:tc>
          <w:tcPr>
            <w:tcW w:w="959"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3</w:t>
            </w:r>
          </w:p>
        </w:tc>
        <w:tc>
          <w:tcPr>
            <w:tcW w:w="960"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4</w:t>
            </w:r>
          </w:p>
        </w:tc>
        <w:tc>
          <w:tcPr>
            <w:tcW w:w="963"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5</w:t>
            </w:r>
          </w:p>
        </w:tc>
      </w:tr>
      <w:tr w:rsidR="0039038D" w:rsidTr="00192DBE">
        <w:trPr>
          <w:trHeight w:val="1342"/>
        </w:trPr>
        <w:tc>
          <w:tcPr>
            <w:tcW w:w="481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ind w:right="177"/>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Кількість співробітників фінансового департаменту, які вирішують конфлікти с записами до введення IBM Blockchain (чол.)</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w:t>
            </w:r>
          </w:p>
        </w:tc>
        <w:tc>
          <w:tcPr>
            <w:tcW w:w="960"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w:t>
            </w:r>
          </w:p>
        </w:tc>
        <w:tc>
          <w:tcPr>
            <w:tcW w:w="963"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w:t>
            </w:r>
          </w:p>
        </w:tc>
      </w:tr>
      <w:tr w:rsidR="0039038D" w:rsidTr="00192DBE">
        <w:trPr>
          <w:trHeight w:val="990"/>
        </w:trPr>
        <w:tc>
          <w:tcPr>
            <w:tcW w:w="481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Річна оплата співробітникам фінансового відділу (тис. $)</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75</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75</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75</w:t>
            </w:r>
          </w:p>
        </w:tc>
        <w:tc>
          <w:tcPr>
            <w:tcW w:w="960"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75</w:t>
            </w:r>
          </w:p>
        </w:tc>
        <w:tc>
          <w:tcPr>
            <w:tcW w:w="963"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75</w:t>
            </w:r>
          </w:p>
        </w:tc>
      </w:tr>
      <w:tr w:rsidR="0039038D" w:rsidTr="00192DBE">
        <w:trPr>
          <w:trHeight w:val="917"/>
        </w:trPr>
        <w:tc>
          <w:tcPr>
            <w:tcW w:w="481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Зменшення кількості співробітників фінансового департаменту (%)</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40</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60</w:t>
            </w:r>
          </w:p>
        </w:tc>
        <w:tc>
          <w:tcPr>
            <w:tcW w:w="960"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80</w:t>
            </w:r>
          </w:p>
        </w:tc>
        <w:tc>
          <w:tcPr>
            <w:tcW w:w="963"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80</w:t>
            </w:r>
          </w:p>
        </w:tc>
      </w:tr>
      <w:tr w:rsidR="0039038D" w:rsidTr="00192DBE">
        <w:trPr>
          <w:trHeight w:val="1196"/>
        </w:trPr>
        <w:tc>
          <w:tcPr>
            <w:tcW w:w="481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Економія завдяки оптимізації кількості  співробітників фінансового департаменту (тис. $)</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60</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120</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180</w:t>
            </w:r>
          </w:p>
        </w:tc>
        <w:tc>
          <w:tcPr>
            <w:tcW w:w="960"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240</w:t>
            </w:r>
          </w:p>
        </w:tc>
        <w:tc>
          <w:tcPr>
            <w:tcW w:w="963"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240</w:t>
            </w:r>
          </w:p>
        </w:tc>
      </w:tr>
      <w:tr w:rsidR="0039038D" w:rsidTr="00192DBE">
        <w:trPr>
          <w:trHeight w:val="1212"/>
        </w:trPr>
        <w:tc>
          <w:tcPr>
            <w:tcW w:w="481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Кількість співробітників юридичного департаменту, які вирішують конфлікти з записами до введення IBM Blockchain</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w:t>
            </w:r>
          </w:p>
        </w:tc>
        <w:tc>
          <w:tcPr>
            <w:tcW w:w="960"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w:t>
            </w:r>
          </w:p>
        </w:tc>
        <w:tc>
          <w:tcPr>
            <w:tcW w:w="963"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w:t>
            </w:r>
          </w:p>
        </w:tc>
      </w:tr>
      <w:tr w:rsidR="0039038D" w:rsidTr="00192DBE">
        <w:trPr>
          <w:trHeight w:val="731"/>
        </w:trPr>
        <w:tc>
          <w:tcPr>
            <w:tcW w:w="481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Річна оплата співробітникам юридичного департаменту (тис. $)</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200</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200</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200</w:t>
            </w:r>
          </w:p>
        </w:tc>
        <w:tc>
          <w:tcPr>
            <w:tcW w:w="960"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200</w:t>
            </w:r>
          </w:p>
        </w:tc>
        <w:tc>
          <w:tcPr>
            <w:tcW w:w="963"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200</w:t>
            </w:r>
          </w:p>
        </w:tc>
      </w:tr>
      <w:tr w:rsidR="0039038D" w:rsidTr="00192DBE">
        <w:trPr>
          <w:trHeight w:val="825"/>
        </w:trPr>
        <w:tc>
          <w:tcPr>
            <w:tcW w:w="481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Оптимізація кількості співробітників юридичного відділу (%)</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30</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50</w:t>
            </w:r>
          </w:p>
        </w:tc>
        <w:tc>
          <w:tcPr>
            <w:tcW w:w="960"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70</w:t>
            </w:r>
          </w:p>
        </w:tc>
        <w:tc>
          <w:tcPr>
            <w:tcW w:w="963"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70</w:t>
            </w:r>
          </w:p>
        </w:tc>
      </w:tr>
      <w:tr w:rsidR="0039038D" w:rsidTr="00192DBE">
        <w:trPr>
          <w:trHeight w:val="1019"/>
        </w:trPr>
        <w:tc>
          <w:tcPr>
            <w:tcW w:w="481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Економія, завдяки оптимізації кількості співробітників (тис. $)</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180</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300</w:t>
            </w:r>
          </w:p>
        </w:tc>
        <w:tc>
          <w:tcPr>
            <w:tcW w:w="960"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420</w:t>
            </w:r>
          </w:p>
        </w:tc>
        <w:tc>
          <w:tcPr>
            <w:tcW w:w="963"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420</w:t>
            </w:r>
          </w:p>
        </w:tc>
      </w:tr>
      <w:tr w:rsidR="0039038D" w:rsidTr="00192DBE">
        <w:trPr>
          <w:trHeight w:val="804"/>
        </w:trPr>
        <w:tc>
          <w:tcPr>
            <w:tcW w:w="481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Зменшення операційних витрат (тис. $)</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60</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300</w:t>
            </w:r>
          </w:p>
        </w:tc>
        <w:tc>
          <w:tcPr>
            <w:tcW w:w="959"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480</w:t>
            </w:r>
          </w:p>
        </w:tc>
        <w:tc>
          <w:tcPr>
            <w:tcW w:w="960"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660</w:t>
            </w:r>
          </w:p>
        </w:tc>
        <w:tc>
          <w:tcPr>
            <w:tcW w:w="963" w:type="dxa"/>
            <w:tcBorders>
              <w:bottom w:val="single" w:sz="4" w:space="0" w:color="000000"/>
              <w:right w:val="single" w:sz="4" w:space="0" w:color="000000"/>
            </w:tcBorders>
            <w:shd w:val="clear" w:color="auto" w:fill="auto"/>
            <w:vAlign w:val="bottom"/>
          </w:tcPr>
          <w:p w:rsidR="0039038D" w:rsidRDefault="008D4FA6">
            <w:pPr>
              <w:spacing w:after="0" w:line="240" w:lineRule="auto"/>
              <w:jc w:val="right"/>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660</w:t>
            </w:r>
          </w:p>
        </w:tc>
      </w:tr>
    </w:tbl>
    <w:p w:rsidR="0039038D" w:rsidRDefault="0039038D">
      <w:pPr>
        <w:spacing w:after="0" w:line="360" w:lineRule="auto"/>
        <w:jc w:val="both"/>
        <w:rPr>
          <w:rFonts w:ascii="Times New Roman" w:hAnsi="Times New Roman" w:cs="Times New Roman"/>
          <w:sz w:val="28"/>
          <w:szCs w:val="28"/>
          <w:lang w:val="ru-RU"/>
        </w:rPr>
      </w:pP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Приклад розрахунку діапазону прогнозів (приведена вартість (PV) за п'ятирічний період) наведений в табл. 3.10.</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Таблиця 3.10 – Приклад розрахунку діапазону прогнозів</w:t>
      </w:r>
    </w:p>
    <w:p w:rsidR="00192DBE" w:rsidRDefault="00192DBE">
      <w:pPr>
        <w:spacing w:after="0" w:line="360" w:lineRule="auto"/>
        <w:ind w:firstLine="567"/>
        <w:jc w:val="both"/>
        <w:rPr>
          <w:rFonts w:ascii="Times New Roman" w:hAnsi="Times New Roman" w:cs="Times New Roman"/>
          <w:sz w:val="28"/>
          <w:szCs w:val="28"/>
          <w:lang w:val="ru-RU"/>
        </w:rPr>
      </w:pPr>
    </w:p>
    <w:tbl>
      <w:tblPr>
        <w:tblW w:w="9669" w:type="dxa"/>
        <w:tblInd w:w="-5" w:type="dxa"/>
        <w:tblLook w:val="04A0" w:firstRow="1" w:lastRow="0" w:firstColumn="1" w:lastColumn="0" w:noHBand="0" w:noVBand="1"/>
      </w:tblPr>
      <w:tblGrid>
        <w:gridCol w:w="6520"/>
        <w:gridCol w:w="982"/>
        <w:gridCol w:w="1142"/>
        <w:gridCol w:w="1025"/>
      </w:tblGrid>
      <w:tr w:rsidR="0039038D">
        <w:trPr>
          <w:trHeight w:val="600"/>
        </w:trPr>
        <w:tc>
          <w:tcPr>
            <w:tcW w:w="65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Показник</w:t>
            </w:r>
          </w:p>
        </w:tc>
        <w:tc>
          <w:tcPr>
            <w:tcW w:w="982"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Нижня оцінка</w:t>
            </w:r>
          </w:p>
        </w:tc>
        <w:tc>
          <w:tcPr>
            <w:tcW w:w="1141"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Середня оцінка</w:t>
            </w:r>
          </w:p>
        </w:tc>
        <w:tc>
          <w:tcPr>
            <w:tcW w:w="1025"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Верхня оцінка</w:t>
            </w:r>
          </w:p>
        </w:tc>
      </w:tr>
      <w:tr w:rsidR="0039038D">
        <w:trPr>
          <w:trHeight w:val="300"/>
        </w:trPr>
        <w:tc>
          <w:tcPr>
            <w:tcW w:w="6520"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Усього записів (тис.)</w:t>
            </w:r>
          </w:p>
        </w:tc>
        <w:tc>
          <w:tcPr>
            <w:tcW w:w="98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w:t>
            </w:r>
          </w:p>
        </w:tc>
        <w:tc>
          <w:tcPr>
            <w:tcW w:w="1141"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50</w:t>
            </w:r>
          </w:p>
        </w:tc>
        <w:tc>
          <w:tcPr>
            <w:tcW w:w="102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80</w:t>
            </w:r>
          </w:p>
        </w:tc>
      </w:tr>
      <w:tr w:rsidR="0039038D">
        <w:trPr>
          <w:trHeight w:val="300"/>
        </w:trPr>
        <w:tc>
          <w:tcPr>
            <w:tcW w:w="6520"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Відсоток конфліктуючих записів</w:t>
            </w:r>
          </w:p>
        </w:tc>
        <w:tc>
          <w:tcPr>
            <w:tcW w:w="98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5</w:t>
            </w:r>
          </w:p>
        </w:tc>
        <w:tc>
          <w:tcPr>
            <w:tcW w:w="1141"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w:t>
            </w:r>
          </w:p>
        </w:tc>
        <w:tc>
          <w:tcPr>
            <w:tcW w:w="102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9</w:t>
            </w:r>
          </w:p>
        </w:tc>
      </w:tr>
      <w:tr w:rsidR="0039038D">
        <w:trPr>
          <w:trHeight w:val="600"/>
        </w:trPr>
        <w:tc>
          <w:tcPr>
            <w:tcW w:w="6520"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Середні витрати на вирішення питань по одному запису ($)</w:t>
            </w:r>
          </w:p>
        </w:tc>
        <w:tc>
          <w:tcPr>
            <w:tcW w:w="98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200</w:t>
            </w:r>
          </w:p>
        </w:tc>
        <w:tc>
          <w:tcPr>
            <w:tcW w:w="1141"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250</w:t>
            </w:r>
          </w:p>
        </w:tc>
        <w:tc>
          <w:tcPr>
            <w:tcW w:w="102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300</w:t>
            </w:r>
          </w:p>
        </w:tc>
      </w:tr>
      <w:tr w:rsidR="0039038D">
        <w:trPr>
          <w:trHeight w:val="600"/>
        </w:trPr>
        <w:tc>
          <w:tcPr>
            <w:tcW w:w="6520"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Зменшення кількості конфліктуючих записів за допомогою Blockchain до кіня 5-го року (%)</w:t>
            </w:r>
          </w:p>
        </w:tc>
        <w:tc>
          <w:tcPr>
            <w:tcW w:w="98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100</w:t>
            </w:r>
          </w:p>
        </w:tc>
        <w:tc>
          <w:tcPr>
            <w:tcW w:w="1141"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100</w:t>
            </w:r>
          </w:p>
        </w:tc>
        <w:tc>
          <w:tcPr>
            <w:tcW w:w="102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100</w:t>
            </w:r>
          </w:p>
        </w:tc>
      </w:tr>
      <w:tr w:rsidR="0039038D">
        <w:trPr>
          <w:trHeight w:val="300"/>
        </w:trPr>
        <w:tc>
          <w:tcPr>
            <w:tcW w:w="6520"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Середні витрати на обробку одного запису ($)</w:t>
            </w:r>
          </w:p>
        </w:tc>
        <w:tc>
          <w:tcPr>
            <w:tcW w:w="98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w:t>
            </w:r>
          </w:p>
        </w:tc>
        <w:tc>
          <w:tcPr>
            <w:tcW w:w="1141"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22</w:t>
            </w:r>
          </w:p>
        </w:tc>
        <w:tc>
          <w:tcPr>
            <w:tcW w:w="102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25</w:t>
            </w:r>
          </w:p>
        </w:tc>
      </w:tr>
      <w:tr w:rsidR="0039038D">
        <w:trPr>
          <w:trHeight w:val="300"/>
        </w:trPr>
        <w:tc>
          <w:tcPr>
            <w:tcW w:w="6520"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Зменшення витрат на обробку одного запису (%)</w:t>
            </w:r>
          </w:p>
        </w:tc>
        <w:tc>
          <w:tcPr>
            <w:tcW w:w="98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25</w:t>
            </w:r>
          </w:p>
        </w:tc>
        <w:tc>
          <w:tcPr>
            <w:tcW w:w="1141"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30</w:t>
            </w:r>
          </w:p>
        </w:tc>
        <w:tc>
          <w:tcPr>
            <w:tcW w:w="102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35</w:t>
            </w:r>
          </w:p>
        </w:tc>
      </w:tr>
      <w:tr w:rsidR="0039038D">
        <w:trPr>
          <w:trHeight w:val="300"/>
        </w:trPr>
        <w:tc>
          <w:tcPr>
            <w:tcW w:w="6520"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Вартість ПЗ успадкованних систем (тис. $)</w:t>
            </w:r>
          </w:p>
        </w:tc>
        <w:tc>
          <w:tcPr>
            <w:tcW w:w="98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150</w:t>
            </w:r>
          </w:p>
        </w:tc>
        <w:tc>
          <w:tcPr>
            <w:tcW w:w="1141"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200</w:t>
            </w:r>
          </w:p>
        </w:tc>
        <w:tc>
          <w:tcPr>
            <w:tcW w:w="102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250</w:t>
            </w:r>
          </w:p>
        </w:tc>
      </w:tr>
      <w:tr w:rsidR="0039038D">
        <w:trPr>
          <w:trHeight w:val="600"/>
        </w:trPr>
        <w:tc>
          <w:tcPr>
            <w:tcW w:w="6520"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Відсоток успадкованих систем, які замінюються рішенням IBM Blockchain до кінця 5-го року (%)</w:t>
            </w:r>
          </w:p>
        </w:tc>
        <w:tc>
          <w:tcPr>
            <w:tcW w:w="98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100</w:t>
            </w:r>
          </w:p>
        </w:tc>
        <w:tc>
          <w:tcPr>
            <w:tcW w:w="1141"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100</w:t>
            </w:r>
          </w:p>
        </w:tc>
        <w:tc>
          <w:tcPr>
            <w:tcW w:w="102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100</w:t>
            </w:r>
          </w:p>
        </w:tc>
      </w:tr>
      <w:tr w:rsidR="0039038D">
        <w:trPr>
          <w:trHeight w:val="600"/>
        </w:trPr>
        <w:tc>
          <w:tcPr>
            <w:tcW w:w="6520"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Річне винагородження співробітника фінансового департамента (тис $) 75</w:t>
            </w:r>
          </w:p>
        </w:tc>
        <w:tc>
          <w:tcPr>
            <w:tcW w:w="98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75</w:t>
            </w:r>
          </w:p>
        </w:tc>
        <w:tc>
          <w:tcPr>
            <w:tcW w:w="1141"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75</w:t>
            </w:r>
          </w:p>
        </w:tc>
        <w:tc>
          <w:tcPr>
            <w:tcW w:w="102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 </w:t>
            </w:r>
          </w:p>
        </w:tc>
      </w:tr>
      <w:tr w:rsidR="0039038D">
        <w:trPr>
          <w:trHeight w:val="900"/>
        </w:trPr>
        <w:tc>
          <w:tcPr>
            <w:tcW w:w="6520"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Оптимізація кількості співробітників фінансового департамента за допомоги IBM Blockchain до кінця 5-го року (%)</w:t>
            </w:r>
          </w:p>
        </w:tc>
        <w:tc>
          <w:tcPr>
            <w:tcW w:w="98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80</w:t>
            </w:r>
          </w:p>
        </w:tc>
        <w:tc>
          <w:tcPr>
            <w:tcW w:w="1141"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80</w:t>
            </w:r>
          </w:p>
        </w:tc>
        <w:tc>
          <w:tcPr>
            <w:tcW w:w="102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80</w:t>
            </w:r>
          </w:p>
        </w:tc>
      </w:tr>
      <w:tr w:rsidR="0039038D">
        <w:trPr>
          <w:trHeight w:val="600"/>
        </w:trPr>
        <w:tc>
          <w:tcPr>
            <w:tcW w:w="6520"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Річна винагорода співробітника юридичного департаменту (тис. $)</w:t>
            </w:r>
          </w:p>
        </w:tc>
        <w:tc>
          <w:tcPr>
            <w:tcW w:w="98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200</w:t>
            </w:r>
          </w:p>
        </w:tc>
        <w:tc>
          <w:tcPr>
            <w:tcW w:w="1141"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200</w:t>
            </w:r>
          </w:p>
        </w:tc>
        <w:tc>
          <w:tcPr>
            <w:tcW w:w="102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200</w:t>
            </w:r>
          </w:p>
        </w:tc>
      </w:tr>
      <w:tr w:rsidR="0039038D">
        <w:trPr>
          <w:trHeight w:val="900"/>
        </w:trPr>
        <w:tc>
          <w:tcPr>
            <w:tcW w:w="6520"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Оптимізація кількості співробітників юридичного департаменту за допомоги IBM Blockchain до кінця 5-го року (%)</w:t>
            </w:r>
          </w:p>
        </w:tc>
        <w:tc>
          <w:tcPr>
            <w:tcW w:w="98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70</w:t>
            </w:r>
          </w:p>
        </w:tc>
        <w:tc>
          <w:tcPr>
            <w:tcW w:w="1141"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70</w:t>
            </w:r>
          </w:p>
        </w:tc>
        <w:tc>
          <w:tcPr>
            <w:tcW w:w="102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70</w:t>
            </w:r>
          </w:p>
        </w:tc>
      </w:tr>
      <w:tr w:rsidR="0039038D">
        <w:trPr>
          <w:trHeight w:val="300"/>
        </w:trPr>
        <w:tc>
          <w:tcPr>
            <w:tcW w:w="6520"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Ефективність бізнеса (млн. $)</w:t>
            </w:r>
          </w:p>
        </w:tc>
        <w:tc>
          <w:tcPr>
            <w:tcW w:w="982"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3.02</w:t>
            </w:r>
          </w:p>
        </w:tc>
        <w:tc>
          <w:tcPr>
            <w:tcW w:w="1141"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6.72</w:t>
            </w:r>
          </w:p>
        </w:tc>
        <w:tc>
          <w:tcPr>
            <w:tcW w:w="102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13.62</w:t>
            </w:r>
          </w:p>
        </w:tc>
      </w:tr>
    </w:tbl>
    <w:p w:rsidR="0039038D" w:rsidRDefault="0039038D">
      <w:pPr>
        <w:spacing w:after="0" w:line="360" w:lineRule="auto"/>
        <w:jc w:val="both"/>
        <w:rPr>
          <w:rFonts w:ascii="Times New Roman" w:hAnsi="Times New Roman" w:cs="Times New Roman"/>
          <w:sz w:val="28"/>
          <w:szCs w:val="28"/>
        </w:rPr>
      </w:pP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Існують і інші потенційні вигоди, пов'язані з </w:t>
      </w:r>
      <w:r>
        <w:rPr>
          <w:rFonts w:ascii="Times New Roman" w:hAnsi="Times New Roman" w:cs="Times New Roman"/>
          <w:sz w:val="28"/>
          <w:szCs w:val="28"/>
          <w:lang w:val="en-US"/>
        </w:rPr>
        <w:t>Blockchain</w:t>
      </w:r>
      <w:r>
        <w:rPr>
          <w:rFonts w:ascii="Times New Roman" w:hAnsi="Times New Roman" w:cs="Times New Roman"/>
          <w:sz w:val="28"/>
          <w:szCs w:val="28"/>
        </w:rPr>
        <w:t>–рішеннями.</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Деякі приклади:</w:t>
      </w:r>
    </w:p>
    <w:p w:rsidR="0039038D" w:rsidRDefault="008D4FA6">
      <w:pPr>
        <w:pStyle w:val="ac"/>
        <w:numPr>
          <w:ilvl w:val="1"/>
          <w:numId w:val="14"/>
        </w:numPr>
        <w:spacing w:after="0" w:line="360" w:lineRule="auto"/>
        <w:ind w:left="567" w:firstLine="426"/>
        <w:jc w:val="both"/>
        <w:rPr>
          <w:rFonts w:ascii="Times New Roman" w:hAnsi="Times New Roman" w:cs="Times New Roman"/>
          <w:sz w:val="28"/>
          <w:szCs w:val="28"/>
        </w:rPr>
      </w:pPr>
      <w:r>
        <w:rPr>
          <w:rFonts w:ascii="Times New Roman" w:hAnsi="Times New Roman" w:cs="Times New Roman"/>
          <w:sz w:val="28"/>
          <w:szCs w:val="28"/>
        </w:rPr>
        <w:t>Збільшення частки в загальному обсязі ринку. В якості потенційного результату конкретного Blockchain–рішення організація може розглядати збільшення своєї частки на новому або на існуючому ринку. Цю перевагу можна виразити кількісно шляхом розрахунку потенційного розміру ринку і далі оцінки збільшеною частки ринку або завдяки технології IBM Blockchain Platform, або завдяки прискоренню виходу на ринок за допомогою сервісів IBM Blockchain Services.</w:t>
      </w:r>
    </w:p>
    <w:p w:rsidR="0039038D" w:rsidRDefault="008D4FA6">
      <w:pPr>
        <w:pStyle w:val="ac"/>
        <w:numPr>
          <w:ilvl w:val="1"/>
          <w:numId w:val="14"/>
        </w:numPr>
        <w:spacing w:after="0" w:line="360" w:lineRule="auto"/>
        <w:ind w:left="567" w:firstLine="426"/>
        <w:jc w:val="both"/>
        <w:rPr>
          <w:rFonts w:ascii="Times New Roman" w:hAnsi="Times New Roman" w:cs="Times New Roman"/>
          <w:sz w:val="28"/>
          <w:szCs w:val="28"/>
        </w:rPr>
      </w:pPr>
      <w:r>
        <w:rPr>
          <w:rFonts w:ascii="Times New Roman" w:hAnsi="Times New Roman" w:cs="Times New Roman"/>
          <w:sz w:val="28"/>
          <w:szCs w:val="28"/>
        </w:rPr>
        <w:t xml:space="preserve">Прискорення отримання доходу. Сервіси IBM Blockchain Services дозволяють організації скоротити очікуваний час виведення на ринок його Blockchain–рішення. Цю перевагу можна виразити кількісно шляхом оцінки </w:t>
      </w:r>
      <w:r>
        <w:rPr>
          <w:rFonts w:ascii="Times New Roman" w:hAnsi="Times New Roman" w:cs="Times New Roman"/>
          <w:sz w:val="28"/>
          <w:szCs w:val="28"/>
        </w:rPr>
        <w:lastRenderedPageBreak/>
        <w:t>або наростання доходів, або економії внутрішніх витрат завдяки прискоренню виходу на ринок.</w:t>
      </w:r>
    </w:p>
    <w:p w:rsidR="0039038D" w:rsidRDefault="008D4FA6">
      <w:pPr>
        <w:pStyle w:val="ac"/>
        <w:numPr>
          <w:ilvl w:val="1"/>
          <w:numId w:val="14"/>
        </w:numPr>
        <w:spacing w:after="0" w:line="360" w:lineRule="auto"/>
        <w:ind w:left="567" w:firstLine="426"/>
        <w:jc w:val="both"/>
        <w:rPr>
          <w:rFonts w:ascii="Times New Roman" w:hAnsi="Times New Roman" w:cs="Times New Roman"/>
          <w:sz w:val="28"/>
          <w:szCs w:val="28"/>
        </w:rPr>
      </w:pPr>
      <w:r>
        <w:rPr>
          <w:rFonts w:ascii="Times New Roman" w:hAnsi="Times New Roman" w:cs="Times New Roman"/>
          <w:sz w:val="28"/>
          <w:szCs w:val="28"/>
        </w:rPr>
        <w:t>Запобігання шахрайства. Розподілені і стійкі до зловмисного впливу Blockchain–платформи знижують ймовірність шахрайства, властивого деяким галузям. Цінність цієї вигоди може бути виражена кількісно. Для цього потрібно оцінити ризик шахрайства і розрахувати потенційний ослаблення цього ризику завдяки реалізації Blockchain–рішення.</w:t>
      </w:r>
    </w:p>
    <w:p w:rsidR="0039038D" w:rsidRDefault="008D4FA6">
      <w:pPr>
        <w:pStyle w:val="ac"/>
        <w:numPr>
          <w:ilvl w:val="1"/>
          <w:numId w:val="14"/>
        </w:numPr>
        <w:spacing w:after="0" w:line="360" w:lineRule="auto"/>
        <w:ind w:left="567" w:firstLine="426"/>
        <w:jc w:val="both"/>
        <w:rPr>
          <w:rFonts w:ascii="Times New Roman" w:hAnsi="Times New Roman" w:cs="Times New Roman"/>
          <w:sz w:val="28"/>
          <w:szCs w:val="28"/>
        </w:rPr>
      </w:pPr>
      <w:r>
        <w:rPr>
          <w:rFonts w:ascii="Times New Roman" w:hAnsi="Times New Roman" w:cs="Times New Roman"/>
          <w:sz w:val="28"/>
          <w:szCs w:val="28"/>
        </w:rPr>
        <w:t>Запобігання втрати запасів. Blockchain–платформи здатні підвищити ефективність, а також поліпшити прозорість і наочність всього ланцюжка поставок. Цю вигоду можна оцінити кількісно – для цього потрібно оцінити ефективність і економію завдяки Blockchain в конкретній організації. Наприклад, перехід до управління ланцюжком поставок на базі Blockchain дозволяє скоротити псування харчових продуктів завдяки прискоренню проходження по ланцюжку поставок або завдяки виявленню конкретної партії харчових продуктів, яка може бути зіпсована або іншим чином пошкоджена при пересиланні. Це дозволяє організації уникнути знищення всього запасу продукту в результаті застосування надлишкових запобіжних заходів.</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Треба розуміти, що витрати будуть мати місце на кожному етапі впровадження технології IBM Blockchain:</w:t>
      </w:r>
    </w:p>
    <w:p w:rsidR="0039038D" w:rsidRDefault="008D4FA6">
      <w:pPr>
        <w:pStyle w:val="ac"/>
        <w:numPr>
          <w:ilvl w:val="0"/>
          <w:numId w:val="15"/>
        </w:numPr>
        <w:spacing w:after="0" w:line="360" w:lineRule="auto"/>
        <w:ind w:left="993" w:hanging="284"/>
        <w:jc w:val="both"/>
        <w:rPr>
          <w:rFonts w:ascii="Times New Roman" w:hAnsi="Times New Roman" w:cs="Times New Roman"/>
          <w:sz w:val="28"/>
          <w:szCs w:val="28"/>
          <w:lang w:val="ru-RU"/>
        </w:rPr>
      </w:pPr>
      <w:r>
        <w:rPr>
          <w:rFonts w:ascii="Times New Roman" w:hAnsi="Times New Roman" w:cs="Times New Roman"/>
          <w:sz w:val="28"/>
          <w:szCs w:val="28"/>
          <w:lang w:val="ru-RU"/>
        </w:rPr>
        <w:t>Витрати на етапі дослідного проекту: гонорари, витрати на внутрішню робочу силу;</w:t>
      </w:r>
    </w:p>
    <w:p w:rsidR="0039038D" w:rsidRDefault="008D4FA6">
      <w:pPr>
        <w:pStyle w:val="ac"/>
        <w:numPr>
          <w:ilvl w:val="0"/>
          <w:numId w:val="15"/>
        </w:numPr>
        <w:spacing w:after="0" w:line="360" w:lineRule="auto"/>
        <w:ind w:left="993" w:hanging="284"/>
        <w:jc w:val="both"/>
        <w:rPr>
          <w:rFonts w:ascii="Times New Roman" w:hAnsi="Times New Roman" w:cs="Times New Roman"/>
          <w:sz w:val="28"/>
          <w:szCs w:val="28"/>
          <w:lang w:val="ru-RU"/>
        </w:rPr>
      </w:pPr>
      <w:r>
        <w:rPr>
          <w:rFonts w:ascii="Times New Roman" w:hAnsi="Times New Roman" w:cs="Times New Roman"/>
          <w:sz w:val="28"/>
          <w:szCs w:val="28"/>
          <w:lang w:val="ru-RU"/>
        </w:rPr>
        <w:t>Витрати на етапі комерціалізації: гонорари співробітникам, витрати на внутрішню робочу силу, гонорари юристам, витрати на залучення учасників.</w:t>
      </w:r>
    </w:p>
    <w:p w:rsidR="0039038D" w:rsidRDefault="008D4FA6">
      <w:pPr>
        <w:pStyle w:val="ac"/>
        <w:numPr>
          <w:ilvl w:val="0"/>
          <w:numId w:val="15"/>
        </w:numPr>
        <w:spacing w:after="0" w:line="360" w:lineRule="auto"/>
        <w:ind w:left="993" w:hanging="284"/>
        <w:jc w:val="both"/>
        <w:rPr>
          <w:rFonts w:ascii="Times New Roman" w:hAnsi="Times New Roman" w:cs="Times New Roman"/>
          <w:sz w:val="28"/>
          <w:szCs w:val="28"/>
          <w:lang w:val="ru-RU"/>
        </w:rPr>
      </w:pPr>
      <w:r>
        <w:rPr>
          <w:rFonts w:ascii="Times New Roman" w:hAnsi="Times New Roman" w:cs="Times New Roman"/>
          <w:sz w:val="28"/>
          <w:szCs w:val="28"/>
          <w:lang w:val="ru-RU"/>
        </w:rPr>
        <w:t>Витрати на етапі експлуатації: гонорари, витрати на робочу силу, гонорари юристам, витрати на залучення учасників, витрати на управління екосистемою.</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Величина витрат на етапі дослідного проекту може коливатися внаслідок невизначеності, обумовлюється наступними факторами:</w:t>
      </w:r>
    </w:p>
    <w:p w:rsidR="0039038D" w:rsidRDefault="008D4FA6">
      <w:pPr>
        <w:pStyle w:val="ac"/>
        <w:numPr>
          <w:ilvl w:val="1"/>
          <w:numId w:val="16"/>
        </w:numPr>
        <w:spacing w:after="0" w:line="360" w:lineRule="auto"/>
        <w:ind w:left="567" w:firstLine="426"/>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Складність етапу дослідного Blockchain–проекту і кількість залучених власних співробітників.</w:t>
      </w:r>
    </w:p>
    <w:p w:rsidR="0039038D" w:rsidRDefault="008D4FA6">
      <w:pPr>
        <w:pStyle w:val="ac"/>
        <w:numPr>
          <w:ilvl w:val="1"/>
          <w:numId w:val="16"/>
        </w:numPr>
        <w:spacing w:after="0" w:line="360" w:lineRule="auto"/>
        <w:ind w:left="567" w:firstLine="426"/>
        <w:jc w:val="both"/>
        <w:rPr>
          <w:rFonts w:ascii="Times New Roman" w:hAnsi="Times New Roman" w:cs="Times New Roman"/>
          <w:sz w:val="28"/>
          <w:szCs w:val="28"/>
          <w:lang w:val="ru-RU"/>
        </w:rPr>
      </w:pPr>
      <w:r>
        <w:rPr>
          <w:rFonts w:ascii="Times New Roman" w:hAnsi="Times New Roman" w:cs="Times New Roman"/>
          <w:sz w:val="28"/>
          <w:szCs w:val="28"/>
          <w:lang w:val="ru-RU"/>
        </w:rPr>
        <w:t>Річна винагорода співробітника.</w:t>
      </w:r>
    </w:p>
    <w:p w:rsidR="0039038D" w:rsidRDefault="008D4FA6">
      <w:pPr>
        <w:pStyle w:val="ac"/>
        <w:numPr>
          <w:ilvl w:val="1"/>
          <w:numId w:val="16"/>
        </w:numPr>
        <w:spacing w:after="0" w:line="360" w:lineRule="auto"/>
        <w:ind w:left="567" w:firstLine="426"/>
        <w:jc w:val="both"/>
        <w:rPr>
          <w:rFonts w:ascii="Times New Roman" w:hAnsi="Times New Roman" w:cs="Times New Roman"/>
          <w:sz w:val="28"/>
          <w:szCs w:val="28"/>
          <w:lang w:val="ru-RU"/>
        </w:rPr>
      </w:pPr>
      <w:r>
        <w:rPr>
          <w:rFonts w:ascii="Times New Roman" w:hAnsi="Times New Roman" w:cs="Times New Roman"/>
          <w:sz w:val="28"/>
          <w:szCs w:val="28"/>
          <w:lang w:val="ru-RU"/>
        </w:rPr>
        <w:t>Тривалість проекту.</w:t>
      </w:r>
    </w:p>
    <w:p w:rsidR="0039038D" w:rsidRDefault="008D4FA6">
      <w:pPr>
        <w:pStyle w:val="ac"/>
        <w:numPr>
          <w:ilvl w:val="1"/>
          <w:numId w:val="16"/>
        </w:numPr>
        <w:spacing w:after="0" w:line="360" w:lineRule="auto"/>
        <w:ind w:left="567" w:firstLine="426"/>
        <w:jc w:val="both"/>
        <w:rPr>
          <w:rFonts w:ascii="Times New Roman" w:hAnsi="Times New Roman" w:cs="Times New Roman"/>
          <w:sz w:val="28"/>
          <w:szCs w:val="28"/>
          <w:lang w:val="ru-RU"/>
        </w:rPr>
      </w:pPr>
      <w:r>
        <w:rPr>
          <w:rFonts w:ascii="Times New Roman" w:hAnsi="Times New Roman" w:cs="Times New Roman"/>
          <w:sz w:val="28"/>
          <w:szCs w:val="28"/>
          <w:lang w:val="ru-RU"/>
        </w:rPr>
        <w:t>Складність розробки моделі керівництва і внесок в проект всіх учасників, що пов'язані з проектом.</w:t>
      </w:r>
    </w:p>
    <w:p w:rsidR="0039038D" w:rsidRDefault="0039038D">
      <w:pPr>
        <w:pStyle w:val="ac"/>
        <w:spacing w:after="0" w:line="360" w:lineRule="auto"/>
        <w:ind w:left="993"/>
        <w:jc w:val="both"/>
        <w:rPr>
          <w:rFonts w:ascii="Times New Roman" w:hAnsi="Times New Roman" w:cs="Times New Roman"/>
          <w:sz w:val="28"/>
          <w:szCs w:val="28"/>
          <w:lang w:val="ru-RU"/>
        </w:rPr>
      </w:pPr>
    </w:p>
    <w:p w:rsidR="0039038D" w:rsidRDefault="008D4FA6">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lang w:val="ru-RU"/>
        </w:rPr>
        <w:t xml:space="preserve">3.2 Економічна ефективність впровадження технології </w:t>
      </w:r>
      <w:r>
        <w:rPr>
          <w:rFonts w:ascii="Times New Roman" w:hAnsi="Times New Roman" w:cs="Times New Roman"/>
          <w:b/>
          <w:sz w:val="28"/>
          <w:szCs w:val="28"/>
          <w:lang w:val="en-US"/>
        </w:rPr>
        <w:t>Blockchain</w:t>
      </w:r>
      <w:r>
        <w:rPr>
          <w:rFonts w:ascii="Times New Roman" w:hAnsi="Times New Roman" w:cs="Times New Roman"/>
          <w:b/>
          <w:sz w:val="28"/>
          <w:szCs w:val="28"/>
          <w:lang w:val="ru-RU"/>
        </w:rPr>
        <w:t xml:space="preserve"> </w:t>
      </w:r>
      <w:r>
        <w:rPr>
          <w:rFonts w:ascii="Times New Roman" w:hAnsi="Times New Roman" w:cs="Times New Roman"/>
          <w:b/>
          <w:sz w:val="28"/>
          <w:szCs w:val="28"/>
        </w:rPr>
        <w:t>на прикладі гіпотетичної організації</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Проведемо аналіз окупності впровадження технології </w:t>
      </w:r>
      <w:r>
        <w:rPr>
          <w:rFonts w:ascii="Times New Roman" w:hAnsi="Times New Roman" w:cs="Times New Roman"/>
          <w:sz w:val="28"/>
          <w:szCs w:val="28"/>
          <w:lang w:val="ru-RU"/>
        </w:rPr>
        <w:t>IBM</w:t>
      </w:r>
      <w:r>
        <w:rPr>
          <w:rFonts w:ascii="Times New Roman" w:hAnsi="Times New Roman" w:cs="Times New Roman"/>
          <w:sz w:val="28"/>
          <w:szCs w:val="28"/>
        </w:rPr>
        <w:t xml:space="preserve"> </w:t>
      </w:r>
      <w:r>
        <w:rPr>
          <w:rFonts w:ascii="Times New Roman" w:hAnsi="Times New Roman" w:cs="Times New Roman"/>
          <w:sz w:val="28"/>
          <w:szCs w:val="28"/>
          <w:lang w:val="ru-RU"/>
        </w:rPr>
        <w:t>Blockchain</w:t>
      </w:r>
      <w:r>
        <w:rPr>
          <w:rFonts w:ascii="Times New Roman" w:hAnsi="Times New Roman" w:cs="Times New Roman"/>
          <w:sz w:val="28"/>
          <w:szCs w:val="28"/>
        </w:rPr>
        <w:t xml:space="preserve"> </w:t>
      </w:r>
      <w:r>
        <w:rPr>
          <w:rFonts w:ascii="Times New Roman" w:hAnsi="Times New Roman" w:cs="Times New Roman"/>
          <w:sz w:val="28"/>
          <w:szCs w:val="28"/>
          <w:lang w:val="ru-RU"/>
        </w:rPr>
        <w:t>Services</w:t>
      </w:r>
      <w:r>
        <w:rPr>
          <w:rFonts w:ascii="Times New Roman" w:hAnsi="Times New Roman" w:cs="Times New Roman"/>
          <w:sz w:val="28"/>
          <w:szCs w:val="28"/>
        </w:rPr>
        <w:t xml:space="preserve"> для гіпотетичної організації, яка запланувала і виконала наступні дії з подальшим впровадженням їх на практику:</w:t>
      </w:r>
    </w:p>
    <w:p w:rsidR="0039038D" w:rsidRDefault="008D4FA6">
      <w:pPr>
        <w:pStyle w:val="ac"/>
        <w:numPr>
          <w:ilvl w:val="1"/>
          <w:numId w:val="17"/>
        </w:numPr>
        <w:spacing w:after="0" w:line="360" w:lineRule="auto"/>
        <w:ind w:left="567" w:firstLine="426"/>
        <w:jc w:val="both"/>
        <w:rPr>
          <w:rFonts w:ascii="Times New Roman" w:hAnsi="Times New Roman" w:cs="Times New Roman"/>
          <w:sz w:val="28"/>
          <w:szCs w:val="28"/>
          <w:lang w:val="ru-RU"/>
        </w:rPr>
      </w:pPr>
      <w:r>
        <w:rPr>
          <w:rFonts w:ascii="Times New Roman" w:hAnsi="Times New Roman" w:cs="Times New Roman"/>
          <w:sz w:val="28"/>
          <w:szCs w:val="28"/>
        </w:rPr>
        <w:t xml:space="preserve">Ця організація залучила </w:t>
      </w:r>
      <w:r>
        <w:rPr>
          <w:rFonts w:ascii="Times New Roman" w:hAnsi="Times New Roman" w:cs="Times New Roman"/>
          <w:sz w:val="28"/>
          <w:szCs w:val="28"/>
          <w:lang w:val="ru-RU"/>
        </w:rPr>
        <w:t>IBM</w:t>
      </w:r>
      <w:r>
        <w:rPr>
          <w:rFonts w:ascii="Times New Roman" w:hAnsi="Times New Roman" w:cs="Times New Roman"/>
          <w:sz w:val="28"/>
          <w:szCs w:val="28"/>
        </w:rPr>
        <w:t xml:space="preserve"> </w:t>
      </w:r>
      <w:r>
        <w:rPr>
          <w:rFonts w:ascii="Times New Roman" w:hAnsi="Times New Roman" w:cs="Times New Roman"/>
          <w:sz w:val="28"/>
          <w:szCs w:val="28"/>
          <w:lang w:val="ru-RU"/>
        </w:rPr>
        <w:t>Blockchain</w:t>
      </w:r>
      <w:r>
        <w:rPr>
          <w:rFonts w:ascii="Times New Roman" w:hAnsi="Times New Roman" w:cs="Times New Roman"/>
          <w:sz w:val="28"/>
          <w:szCs w:val="28"/>
        </w:rPr>
        <w:t xml:space="preserve"> </w:t>
      </w:r>
      <w:r>
        <w:rPr>
          <w:rFonts w:ascii="Times New Roman" w:hAnsi="Times New Roman" w:cs="Times New Roman"/>
          <w:sz w:val="28"/>
          <w:szCs w:val="28"/>
          <w:lang w:val="ru-RU"/>
        </w:rPr>
        <w:t>Services</w:t>
      </w:r>
      <w:r>
        <w:rPr>
          <w:rFonts w:ascii="Times New Roman" w:hAnsi="Times New Roman" w:cs="Times New Roman"/>
          <w:sz w:val="28"/>
          <w:szCs w:val="28"/>
        </w:rPr>
        <w:t xml:space="preserve">, щоб допомогти в аналізі існуючих пропозицій в області </w:t>
      </w:r>
      <w:r>
        <w:rPr>
          <w:rFonts w:ascii="Times New Roman" w:hAnsi="Times New Roman" w:cs="Times New Roman"/>
          <w:sz w:val="28"/>
          <w:szCs w:val="28"/>
          <w:lang w:val="ru-RU"/>
        </w:rPr>
        <w:t>Blockchain</w:t>
      </w:r>
      <w:r>
        <w:rPr>
          <w:rFonts w:ascii="Times New Roman" w:hAnsi="Times New Roman" w:cs="Times New Roman"/>
          <w:sz w:val="28"/>
          <w:szCs w:val="28"/>
        </w:rPr>
        <w:t xml:space="preserve"> і в розробці  проекту. </w:t>
      </w:r>
      <w:r>
        <w:rPr>
          <w:rFonts w:ascii="Times New Roman" w:hAnsi="Times New Roman" w:cs="Times New Roman"/>
          <w:sz w:val="28"/>
          <w:szCs w:val="28"/>
          <w:lang w:val="ru-RU"/>
        </w:rPr>
        <w:t>Етап дослідного проекту займає приблизно шість місяців.</w:t>
      </w:r>
    </w:p>
    <w:p w:rsidR="0039038D" w:rsidRDefault="008D4FA6">
      <w:pPr>
        <w:pStyle w:val="ac"/>
        <w:numPr>
          <w:ilvl w:val="1"/>
          <w:numId w:val="17"/>
        </w:numPr>
        <w:spacing w:after="0" w:line="360" w:lineRule="auto"/>
        <w:ind w:left="567" w:firstLine="426"/>
        <w:jc w:val="both"/>
        <w:rPr>
          <w:rFonts w:ascii="Times New Roman" w:hAnsi="Times New Roman" w:cs="Times New Roman"/>
          <w:sz w:val="28"/>
          <w:szCs w:val="28"/>
          <w:lang w:val="ru-RU"/>
        </w:rPr>
      </w:pPr>
      <w:r>
        <w:rPr>
          <w:rFonts w:ascii="Times New Roman" w:hAnsi="Times New Roman" w:cs="Times New Roman"/>
          <w:sz w:val="28"/>
          <w:szCs w:val="28"/>
          <w:lang w:val="ru-RU"/>
        </w:rPr>
        <w:t>Після успішного виконання дослідного проекту організація вирішує створити повну комерційну версію свого Blockchain-додатку і починає рекрутувати учасників для приєднання до Blockchain. Цей процес, пов'язаний з діяльністю відповідних відділів.</w:t>
      </w:r>
    </w:p>
    <w:p w:rsidR="0039038D" w:rsidRDefault="008D4FA6">
      <w:pPr>
        <w:pStyle w:val="ac"/>
        <w:numPr>
          <w:ilvl w:val="1"/>
          <w:numId w:val="17"/>
        </w:numPr>
        <w:spacing w:after="0" w:line="360" w:lineRule="auto"/>
        <w:ind w:left="567" w:firstLine="426"/>
        <w:jc w:val="both"/>
        <w:rPr>
          <w:rFonts w:ascii="Times New Roman" w:hAnsi="Times New Roman" w:cs="Times New Roman"/>
          <w:sz w:val="28"/>
          <w:szCs w:val="28"/>
          <w:lang w:val="ru-RU"/>
        </w:rPr>
      </w:pPr>
      <w:r>
        <w:rPr>
          <w:rFonts w:ascii="Times New Roman" w:hAnsi="Times New Roman" w:cs="Times New Roman"/>
          <w:sz w:val="28"/>
          <w:szCs w:val="28"/>
          <w:lang w:val="ru-RU"/>
        </w:rPr>
        <w:t>Організація планує стягувати плату за кожну транзакцію, виконану клієнтом на її Blockchain–платформі. Кл</w:t>
      </w:r>
      <w:r>
        <w:rPr>
          <w:rFonts w:ascii="Times New Roman" w:hAnsi="Times New Roman" w:cs="Times New Roman"/>
          <w:sz w:val="28"/>
          <w:szCs w:val="28"/>
        </w:rPr>
        <w:t xml:space="preserve">ієнт, який виконує відповідну транзакцію робить оплату компанії. З кожно оплати фіксований процент відправляється розробнику </w:t>
      </w:r>
      <w:r>
        <w:rPr>
          <w:rFonts w:ascii="Times New Roman" w:hAnsi="Times New Roman" w:cs="Times New Roman"/>
          <w:sz w:val="28"/>
          <w:szCs w:val="28"/>
          <w:lang w:val="en-US"/>
        </w:rPr>
        <w:t>Blockchain</w:t>
      </w:r>
      <w:r>
        <w:rPr>
          <w:rFonts w:ascii="Times New Roman" w:hAnsi="Times New Roman" w:cs="Times New Roman"/>
          <w:sz w:val="28"/>
          <w:szCs w:val="28"/>
          <w:lang w:val="ru-RU"/>
        </w:rPr>
        <w:t>.</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Щоб визначити діапазон можливих фінансових вигод при отриманні доходу від абонентської участі в Blockchain, потрібно виходити з </w:t>
      </w:r>
      <w:r>
        <w:rPr>
          <w:rFonts w:ascii="Times New Roman" w:hAnsi="Times New Roman" w:cs="Times New Roman"/>
          <w:sz w:val="28"/>
          <w:szCs w:val="28"/>
        </w:rPr>
        <w:t>наступних основних</w:t>
      </w:r>
      <w:r>
        <w:rPr>
          <w:rFonts w:ascii="Times New Roman" w:hAnsi="Times New Roman" w:cs="Times New Roman"/>
          <w:sz w:val="28"/>
          <w:szCs w:val="28"/>
          <w:lang w:val="ru-RU"/>
        </w:rPr>
        <w:t xml:space="preserve"> припущень.</w:t>
      </w:r>
    </w:p>
    <w:p w:rsidR="0039038D" w:rsidRDefault="008D4FA6">
      <w:pPr>
        <w:pStyle w:val="ac"/>
        <w:numPr>
          <w:ilvl w:val="1"/>
          <w:numId w:val="18"/>
        </w:numPr>
        <w:spacing w:after="0" w:line="360" w:lineRule="auto"/>
        <w:ind w:left="567" w:firstLine="426"/>
        <w:jc w:val="both"/>
        <w:rPr>
          <w:rFonts w:ascii="Times New Roman" w:hAnsi="Times New Roman" w:cs="Times New Roman"/>
          <w:sz w:val="28"/>
          <w:szCs w:val="28"/>
          <w:lang w:val="ru-RU"/>
        </w:rPr>
      </w:pPr>
      <w:r>
        <w:rPr>
          <w:rFonts w:ascii="Times New Roman" w:hAnsi="Times New Roman" w:cs="Times New Roman"/>
          <w:sz w:val="28"/>
          <w:szCs w:val="28"/>
          <w:lang w:val="ru-RU"/>
        </w:rPr>
        <w:t>Кожен новий учасник, який приєднується до системи, вносить одноразову плату за приєднання до мережі в розмірі від $ 5000 (нижня оцінка) до $ 7500 (верхня оцінка).</w:t>
      </w:r>
    </w:p>
    <w:p w:rsidR="0039038D" w:rsidRDefault="008D4FA6">
      <w:pPr>
        <w:pStyle w:val="ac"/>
        <w:numPr>
          <w:ilvl w:val="1"/>
          <w:numId w:val="18"/>
        </w:numPr>
        <w:spacing w:after="0" w:line="360" w:lineRule="auto"/>
        <w:ind w:left="567" w:firstLine="426"/>
        <w:jc w:val="both"/>
        <w:rPr>
          <w:rFonts w:ascii="Times New Roman" w:hAnsi="Times New Roman" w:cs="Times New Roman"/>
          <w:sz w:val="28"/>
          <w:szCs w:val="28"/>
          <w:lang w:val="ru-RU"/>
        </w:rPr>
      </w:pPr>
      <w:r>
        <w:rPr>
          <w:rFonts w:ascii="Times New Roman" w:hAnsi="Times New Roman" w:cs="Times New Roman"/>
          <w:sz w:val="28"/>
          <w:szCs w:val="28"/>
          <w:lang w:val="ru-RU"/>
        </w:rPr>
        <w:t>Організація стягує з кожного учасника річну абонентську плату в розмірі від $ 10 000 до $ 15000.</w:t>
      </w:r>
    </w:p>
    <w:p w:rsidR="0039038D" w:rsidRDefault="008D4FA6">
      <w:pPr>
        <w:pStyle w:val="ac"/>
        <w:numPr>
          <w:ilvl w:val="1"/>
          <w:numId w:val="18"/>
        </w:numPr>
        <w:spacing w:after="0" w:line="360" w:lineRule="auto"/>
        <w:ind w:left="567" w:firstLine="426"/>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В даний час гіпотетична організація не зазначає відтоку учасників зі своєї мережі.</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Дохід від абонентського обслуговування для гіпотетичної організації наведено в таблиці 3.11. </w:t>
      </w:r>
    </w:p>
    <w:p w:rsidR="0039038D" w:rsidRDefault="0039038D">
      <w:pPr>
        <w:spacing w:after="0" w:line="360" w:lineRule="auto"/>
        <w:ind w:firstLine="567"/>
        <w:jc w:val="both"/>
        <w:rPr>
          <w:rFonts w:ascii="Times New Roman" w:hAnsi="Times New Roman" w:cs="Times New Roman"/>
          <w:sz w:val="28"/>
          <w:szCs w:val="28"/>
          <w:lang w:val="ru-RU"/>
        </w:rPr>
      </w:pP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Таблиця 3.11 – Потенційний прибуток від абонентського обслуговування</w:t>
      </w:r>
    </w:p>
    <w:p w:rsidR="00192DBE" w:rsidRDefault="00192DBE">
      <w:pPr>
        <w:spacing w:after="0" w:line="360" w:lineRule="auto"/>
        <w:ind w:firstLine="567"/>
        <w:jc w:val="both"/>
        <w:rPr>
          <w:rFonts w:ascii="Times New Roman" w:hAnsi="Times New Roman" w:cs="Times New Roman"/>
          <w:sz w:val="28"/>
          <w:szCs w:val="28"/>
        </w:rPr>
      </w:pPr>
    </w:p>
    <w:tbl>
      <w:tblPr>
        <w:tblW w:w="9639" w:type="dxa"/>
        <w:tblInd w:w="-5" w:type="dxa"/>
        <w:tblLook w:val="04A0" w:firstRow="1" w:lastRow="0" w:firstColumn="1" w:lastColumn="0" w:noHBand="0" w:noVBand="1"/>
      </w:tblPr>
      <w:tblGrid>
        <w:gridCol w:w="5400"/>
        <w:gridCol w:w="1540"/>
        <w:gridCol w:w="1281"/>
        <w:gridCol w:w="1418"/>
      </w:tblGrid>
      <w:tr w:rsidR="0039038D">
        <w:trPr>
          <w:trHeight w:val="1182"/>
        </w:trPr>
        <w:tc>
          <w:tcPr>
            <w:tcW w:w="539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Показник</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 xml:space="preserve">Нижня оцінка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Середня оцінка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Верхня оцінка</w:t>
            </w:r>
          </w:p>
        </w:tc>
      </w:tr>
      <w:tr w:rsidR="0039038D">
        <w:trPr>
          <w:trHeight w:val="709"/>
        </w:trPr>
        <w:tc>
          <w:tcPr>
            <w:tcW w:w="539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Кількість нових учасників, доданих за рік (чол.)</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12</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12</w:t>
            </w:r>
          </w:p>
        </w:tc>
      </w:tr>
      <w:tr w:rsidR="0039038D">
        <w:trPr>
          <w:trHeight w:val="534"/>
        </w:trPr>
        <w:tc>
          <w:tcPr>
            <w:tcW w:w="539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Вступний внесок (тис. $)</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5</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7.5</w:t>
            </w:r>
          </w:p>
        </w:tc>
      </w:tr>
      <w:tr w:rsidR="0039038D">
        <w:trPr>
          <w:trHeight w:val="510"/>
        </w:trPr>
        <w:tc>
          <w:tcPr>
            <w:tcW w:w="539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Відтік учасників за рік (%)</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r>
      <w:tr w:rsidR="0039038D">
        <w:trPr>
          <w:trHeight w:val="486"/>
        </w:trPr>
        <w:tc>
          <w:tcPr>
            <w:tcW w:w="539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Усього учасників к кінцю 5–го року</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60</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60</w:t>
            </w:r>
          </w:p>
        </w:tc>
      </w:tr>
      <w:tr w:rsidR="0039038D">
        <w:trPr>
          <w:trHeight w:val="461"/>
        </w:trPr>
        <w:tc>
          <w:tcPr>
            <w:tcW w:w="539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Річна абонентська плата (тис. $)</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15</w:t>
            </w:r>
          </w:p>
        </w:tc>
      </w:tr>
      <w:tr w:rsidR="0039038D">
        <w:trPr>
          <w:trHeight w:val="849"/>
        </w:trPr>
        <w:tc>
          <w:tcPr>
            <w:tcW w:w="539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Прибуток від абонентського обслуговування (млн. $)</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1.5</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2.25</w:t>
            </w:r>
          </w:p>
        </w:tc>
      </w:tr>
    </w:tbl>
    <w:p w:rsidR="0039038D" w:rsidRDefault="0039038D">
      <w:pPr>
        <w:spacing w:after="0" w:line="360" w:lineRule="auto"/>
        <w:ind w:firstLine="567"/>
        <w:jc w:val="both"/>
        <w:rPr>
          <w:rFonts w:ascii="Times New Roman" w:hAnsi="Times New Roman" w:cs="Times New Roman"/>
          <w:sz w:val="26"/>
          <w:szCs w:val="26"/>
          <w:lang w:val="en-US"/>
        </w:rPr>
      </w:pPr>
    </w:p>
    <w:p w:rsidR="0039038D" w:rsidRDefault="008D4FA6">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Щоб визначити діапазон можливих фінансових вигод при отриманні доходу від транзакцій, необхідно враховувати гіпотетичні дані, що наведені в таблиці 3.</w:t>
      </w:r>
      <w:r>
        <w:rPr>
          <w:rFonts w:ascii="Times New Roman" w:hAnsi="Times New Roman" w:cs="Times New Roman"/>
          <w:sz w:val="28"/>
          <w:szCs w:val="28"/>
        </w:rPr>
        <w:t>12</w:t>
      </w:r>
      <w:r>
        <w:rPr>
          <w:rFonts w:ascii="Times New Roman" w:hAnsi="Times New Roman" w:cs="Times New Roman"/>
          <w:sz w:val="28"/>
          <w:szCs w:val="28"/>
          <w:lang w:val="en-US"/>
        </w:rPr>
        <w:t>:</w:t>
      </w:r>
    </w:p>
    <w:p w:rsidR="0039038D" w:rsidRDefault="008D4FA6">
      <w:pPr>
        <w:pStyle w:val="ac"/>
        <w:numPr>
          <w:ilvl w:val="1"/>
          <w:numId w:val="19"/>
        </w:numPr>
        <w:spacing w:after="0" w:line="360" w:lineRule="auto"/>
        <w:ind w:left="993" w:hanging="426"/>
        <w:jc w:val="both"/>
        <w:rPr>
          <w:rFonts w:ascii="Times New Roman" w:hAnsi="Times New Roman" w:cs="Times New Roman"/>
          <w:sz w:val="28"/>
          <w:szCs w:val="28"/>
          <w:lang w:val="ru-RU"/>
        </w:rPr>
      </w:pPr>
      <w:r>
        <w:rPr>
          <w:rFonts w:ascii="Times New Roman" w:hAnsi="Times New Roman" w:cs="Times New Roman"/>
          <w:sz w:val="28"/>
          <w:szCs w:val="28"/>
          <w:lang w:val="ru-RU"/>
        </w:rPr>
        <w:t>Загальна кількість клієнтів організації до Року 5 знаходиться в діапазоні від 5,5 млн. (Нижня оцінка) до 8,1 млн. (Верхня оцінка)</w:t>
      </w:r>
    </w:p>
    <w:p w:rsidR="0039038D" w:rsidRDefault="008D4FA6">
      <w:pPr>
        <w:pStyle w:val="ac"/>
        <w:numPr>
          <w:ilvl w:val="1"/>
          <w:numId w:val="19"/>
        </w:numPr>
        <w:spacing w:after="0" w:line="360" w:lineRule="auto"/>
        <w:ind w:left="993" w:hanging="426"/>
        <w:jc w:val="both"/>
        <w:rPr>
          <w:rFonts w:ascii="Times New Roman" w:hAnsi="Times New Roman" w:cs="Times New Roman"/>
          <w:sz w:val="28"/>
          <w:szCs w:val="28"/>
          <w:lang w:val="ru-RU"/>
        </w:rPr>
      </w:pPr>
      <w:r>
        <w:rPr>
          <w:rFonts w:ascii="Times New Roman" w:hAnsi="Times New Roman" w:cs="Times New Roman"/>
          <w:sz w:val="28"/>
          <w:szCs w:val="28"/>
          <w:lang w:val="ru-RU"/>
        </w:rPr>
        <w:t>Кожен клієнт проводить по дві транзакції в рік (нижня оцінка), по чотири транзакції в рік (середня оцінка) і шість транзакцій на рік (верхня оцінка).</w:t>
      </w:r>
    </w:p>
    <w:p w:rsidR="0039038D" w:rsidRDefault="008D4FA6">
      <w:pPr>
        <w:pStyle w:val="ac"/>
        <w:numPr>
          <w:ilvl w:val="1"/>
          <w:numId w:val="19"/>
        </w:numPr>
        <w:spacing w:after="0" w:line="360" w:lineRule="auto"/>
        <w:ind w:left="993" w:hanging="426"/>
        <w:jc w:val="both"/>
        <w:rPr>
          <w:rFonts w:ascii="Times New Roman" w:hAnsi="Times New Roman" w:cs="Times New Roman"/>
          <w:sz w:val="28"/>
          <w:szCs w:val="28"/>
          <w:lang w:val="ru-RU"/>
        </w:rPr>
      </w:pPr>
      <w:r>
        <w:rPr>
          <w:rFonts w:ascii="Times New Roman" w:hAnsi="Times New Roman" w:cs="Times New Roman"/>
          <w:sz w:val="28"/>
          <w:szCs w:val="28"/>
          <w:lang w:val="ru-RU"/>
        </w:rPr>
        <w:t>Вартість транзакцій знаходиться в діапазоні від $ 1,75 до $ 2,25 за одну транзакцію.</w:t>
      </w:r>
    </w:p>
    <w:p w:rsidR="0039038D" w:rsidRDefault="008D4FA6">
      <w:pPr>
        <w:pStyle w:val="ac"/>
        <w:numPr>
          <w:ilvl w:val="1"/>
          <w:numId w:val="19"/>
        </w:numPr>
        <w:spacing w:after="0" w:line="360" w:lineRule="auto"/>
        <w:ind w:left="993" w:hanging="426"/>
        <w:jc w:val="both"/>
        <w:rPr>
          <w:rFonts w:ascii="Times New Roman" w:hAnsi="Times New Roman" w:cs="Times New Roman"/>
          <w:sz w:val="28"/>
          <w:szCs w:val="28"/>
          <w:lang w:val="ru-RU"/>
        </w:rPr>
      </w:pPr>
      <w:r>
        <w:rPr>
          <w:rFonts w:ascii="Times New Roman" w:hAnsi="Times New Roman" w:cs="Times New Roman"/>
          <w:sz w:val="28"/>
          <w:szCs w:val="28"/>
          <w:lang w:val="ru-RU"/>
        </w:rPr>
        <w:t>Організація стягує за кожну транзакцію плату в розмірі від 18% до 20% від вартості транзакції.</w:t>
      </w:r>
    </w:p>
    <w:p w:rsidR="0039038D" w:rsidRDefault="008D4FA6">
      <w:pPr>
        <w:pStyle w:val="ac"/>
        <w:numPr>
          <w:ilvl w:val="1"/>
          <w:numId w:val="19"/>
        </w:numPr>
        <w:spacing w:after="0" w:line="360" w:lineRule="auto"/>
        <w:ind w:left="993" w:hanging="426"/>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У міру розширення своєї клієнтської бази організація щороку знижує плату за транзакцію на 3% (нижня і середня прогнозні оцінки) і на 4% (верхня прогнозна оцінка).</w:t>
      </w:r>
    </w:p>
    <w:p w:rsidR="0039038D" w:rsidRDefault="0039038D">
      <w:pPr>
        <w:pStyle w:val="ac"/>
        <w:spacing w:after="0" w:line="360" w:lineRule="auto"/>
        <w:ind w:left="993"/>
        <w:jc w:val="both"/>
        <w:rPr>
          <w:rFonts w:ascii="Times New Roman" w:hAnsi="Times New Roman" w:cs="Times New Roman"/>
          <w:sz w:val="28"/>
          <w:szCs w:val="28"/>
          <w:lang w:val="ru-RU"/>
        </w:rPr>
      </w:pP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Таблиця 3.12 – Потенційний прибуток за рахунок транзакцій</w:t>
      </w:r>
    </w:p>
    <w:p w:rsidR="00192DBE" w:rsidRDefault="00192DBE">
      <w:pPr>
        <w:spacing w:after="0" w:line="360" w:lineRule="auto"/>
        <w:ind w:firstLine="567"/>
        <w:jc w:val="both"/>
        <w:rPr>
          <w:rFonts w:ascii="Times New Roman" w:hAnsi="Times New Roman" w:cs="Times New Roman"/>
          <w:sz w:val="28"/>
          <w:szCs w:val="28"/>
        </w:rPr>
      </w:pPr>
    </w:p>
    <w:tbl>
      <w:tblPr>
        <w:tblW w:w="9781" w:type="dxa"/>
        <w:tblInd w:w="-5" w:type="dxa"/>
        <w:tblLook w:val="04A0" w:firstRow="1" w:lastRow="0" w:firstColumn="1" w:lastColumn="0" w:noHBand="0" w:noVBand="1"/>
      </w:tblPr>
      <w:tblGrid>
        <w:gridCol w:w="5387"/>
        <w:gridCol w:w="1499"/>
        <w:gridCol w:w="1600"/>
        <w:gridCol w:w="1295"/>
      </w:tblGrid>
      <w:tr w:rsidR="0039038D">
        <w:trPr>
          <w:trHeight w:val="300"/>
        </w:trPr>
        <w:tc>
          <w:tcPr>
            <w:tcW w:w="53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Показник</w:t>
            </w:r>
          </w:p>
        </w:tc>
        <w:tc>
          <w:tcPr>
            <w:tcW w:w="1499"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Нижня оцінка</w:t>
            </w:r>
          </w:p>
        </w:tc>
        <w:tc>
          <w:tcPr>
            <w:tcW w:w="1600"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Середня оцінка</w:t>
            </w:r>
          </w:p>
        </w:tc>
        <w:tc>
          <w:tcPr>
            <w:tcW w:w="1295"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Верхня оцінка</w:t>
            </w:r>
          </w:p>
        </w:tc>
      </w:tr>
      <w:tr w:rsidR="0039038D">
        <w:trPr>
          <w:trHeight w:val="300"/>
        </w:trPr>
        <w:tc>
          <w:tcPr>
            <w:tcW w:w="5386"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Усього клієнтів к кінцю 5-го року (млн. чол.)</w:t>
            </w:r>
          </w:p>
        </w:tc>
        <w:tc>
          <w:tcPr>
            <w:tcW w:w="149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5.5</w:t>
            </w:r>
          </w:p>
        </w:tc>
        <w:tc>
          <w:tcPr>
            <w:tcW w:w="1600"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7.5</w:t>
            </w:r>
          </w:p>
        </w:tc>
        <w:tc>
          <w:tcPr>
            <w:tcW w:w="129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8.1</w:t>
            </w:r>
          </w:p>
        </w:tc>
      </w:tr>
      <w:tr w:rsidR="0039038D">
        <w:trPr>
          <w:trHeight w:val="300"/>
        </w:trPr>
        <w:tc>
          <w:tcPr>
            <w:tcW w:w="5386"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Кількість транзакцій в рік в перерахунку на одного кліента (одиниць)</w:t>
            </w:r>
          </w:p>
        </w:tc>
        <w:tc>
          <w:tcPr>
            <w:tcW w:w="149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w:t>
            </w:r>
          </w:p>
        </w:tc>
        <w:tc>
          <w:tcPr>
            <w:tcW w:w="1600"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w:t>
            </w:r>
          </w:p>
        </w:tc>
        <w:tc>
          <w:tcPr>
            <w:tcW w:w="129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w:t>
            </w:r>
          </w:p>
        </w:tc>
      </w:tr>
      <w:tr w:rsidR="0039038D">
        <w:trPr>
          <w:trHeight w:val="300"/>
        </w:trPr>
        <w:tc>
          <w:tcPr>
            <w:tcW w:w="5386"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Вартіст однієї транзакції ($)</w:t>
            </w:r>
          </w:p>
        </w:tc>
        <w:tc>
          <w:tcPr>
            <w:tcW w:w="149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1.75</w:t>
            </w:r>
          </w:p>
        </w:tc>
        <w:tc>
          <w:tcPr>
            <w:tcW w:w="1600"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2.00</w:t>
            </w:r>
          </w:p>
        </w:tc>
        <w:tc>
          <w:tcPr>
            <w:tcW w:w="129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2.25</w:t>
            </w:r>
          </w:p>
        </w:tc>
      </w:tr>
      <w:tr w:rsidR="0039038D">
        <w:trPr>
          <w:trHeight w:val="300"/>
        </w:trPr>
        <w:tc>
          <w:tcPr>
            <w:tcW w:w="5386"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Відсоток вартості однієї транзакції, який отримується розробником Blockchain (%)</w:t>
            </w:r>
          </w:p>
        </w:tc>
        <w:tc>
          <w:tcPr>
            <w:tcW w:w="149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18</w:t>
            </w:r>
          </w:p>
        </w:tc>
        <w:tc>
          <w:tcPr>
            <w:tcW w:w="1600"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19</w:t>
            </w:r>
          </w:p>
        </w:tc>
        <w:tc>
          <w:tcPr>
            <w:tcW w:w="129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20</w:t>
            </w:r>
          </w:p>
        </w:tc>
      </w:tr>
      <w:tr w:rsidR="0039038D">
        <w:trPr>
          <w:trHeight w:val="300"/>
        </w:trPr>
        <w:tc>
          <w:tcPr>
            <w:tcW w:w="5386"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Щорічне зменшення прибутку розробника Blockchain за одну транзакціюю (%)</w:t>
            </w:r>
          </w:p>
        </w:tc>
        <w:tc>
          <w:tcPr>
            <w:tcW w:w="149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w:t>
            </w:r>
          </w:p>
        </w:tc>
        <w:tc>
          <w:tcPr>
            <w:tcW w:w="1600"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w:t>
            </w:r>
          </w:p>
        </w:tc>
        <w:tc>
          <w:tcPr>
            <w:tcW w:w="129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w:t>
            </w:r>
          </w:p>
        </w:tc>
      </w:tr>
      <w:tr w:rsidR="0039038D">
        <w:trPr>
          <w:trHeight w:val="300"/>
        </w:trPr>
        <w:tc>
          <w:tcPr>
            <w:tcW w:w="5386"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Прибуток за рахунок транзакцій (млн. $)</w:t>
            </w:r>
          </w:p>
        </w:tc>
        <w:tc>
          <w:tcPr>
            <w:tcW w:w="149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7.33</w:t>
            </w:r>
          </w:p>
        </w:tc>
        <w:tc>
          <w:tcPr>
            <w:tcW w:w="1600"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22.45</w:t>
            </w:r>
          </w:p>
        </w:tc>
        <w:tc>
          <w:tcPr>
            <w:tcW w:w="129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40.32</w:t>
            </w:r>
          </w:p>
        </w:tc>
      </w:tr>
    </w:tbl>
    <w:p w:rsidR="0039038D" w:rsidRDefault="0039038D">
      <w:pPr>
        <w:spacing w:after="0" w:line="360" w:lineRule="auto"/>
        <w:ind w:firstLine="567"/>
        <w:jc w:val="both"/>
        <w:rPr>
          <w:rFonts w:ascii="Times New Roman" w:hAnsi="Times New Roman" w:cs="Times New Roman"/>
          <w:sz w:val="26"/>
          <w:szCs w:val="26"/>
        </w:rPr>
      </w:pP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Загальні витрати наведені в таблиці 3.13.</w:t>
      </w:r>
    </w:p>
    <w:p w:rsidR="00192DBE" w:rsidRDefault="00192DBE">
      <w:pPr>
        <w:spacing w:after="0" w:line="360" w:lineRule="auto"/>
        <w:ind w:firstLine="567"/>
        <w:jc w:val="both"/>
        <w:rPr>
          <w:rFonts w:ascii="Times New Roman" w:hAnsi="Times New Roman" w:cs="Times New Roman"/>
          <w:sz w:val="28"/>
          <w:szCs w:val="28"/>
          <w:lang w:val="ru-RU"/>
        </w:rPr>
      </w:pP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Таблиця 3.13 – Загальні витрати гіпотетичної компанії</w:t>
      </w:r>
    </w:p>
    <w:p w:rsidR="00192DBE" w:rsidRDefault="00192DBE">
      <w:pPr>
        <w:spacing w:after="0" w:line="360" w:lineRule="auto"/>
        <w:ind w:firstLine="567"/>
        <w:jc w:val="both"/>
        <w:rPr>
          <w:rFonts w:ascii="Times New Roman" w:hAnsi="Times New Roman" w:cs="Times New Roman"/>
          <w:sz w:val="28"/>
          <w:szCs w:val="28"/>
          <w:lang w:val="ru-RU"/>
        </w:rPr>
      </w:pPr>
    </w:p>
    <w:tbl>
      <w:tblPr>
        <w:tblW w:w="9995" w:type="dxa"/>
        <w:tblInd w:w="-5" w:type="dxa"/>
        <w:tblLook w:val="04A0" w:firstRow="1" w:lastRow="0" w:firstColumn="1" w:lastColumn="0" w:noHBand="0" w:noVBand="1"/>
      </w:tblPr>
      <w:tblGrid>
        <w:gridCol w:w="2627"/>
        <w:gridCol w:w="1134"/>
        <w:gridCol w:w="708"/>
        <w:gridCol w:w="709"/>
        <w:gridCol w:w="708"/>
        <w:gridCol w:w="708"/>
        <w:gridCol w:w="709"/>
        <w:gridCol w:w="1275"/>
        <w:gridCol w:w="1417"/>
      </w:tblGrid>
      <w:tr w:rsidR="0039038D">
        <w:trPr>
          <w:trHeight w:val="600"/>
        </w:trPr>
        <w:tc>
          <w:tcPr>
            <w:tcW w:w="26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Витрати</w:t>
            </w:r>
          </w:p>
        </w:tc>
        <w:tc>
          <w:tcPr>
            <w:tcW w:w="1134"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Вихідна точка</w:t>
            </w:r>
          </w:p>
        </w:tc>
        <w:tc>
          <w:tcPr>
            <w:tcW w:w="708"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1</w:t>
            </w:r>
          </w:p>
        </w:tc>
        <w:tc>
          <w:tcPr>
            <w:tcW w:w="709"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2</w:t>
            </w:r>
          </w:p>
        </w:tc>
        <w:tc>
          <w:tcPr>
            <w:tcW w:w="708"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3</w:t>
            </w:r>
          </w:p>
        </w:tc>
        <w:tc>
          <w:tcPr>
            <w:tcW w:w="708"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4</w:t>
            </w:r>
          </w:p>
        </w:tc>
        <w:tc>
          <w:tcPr>
            <w:tcW w:w="709"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Рік 5</w:t>
            </w:r>
          </w:p>
        </w:tc>
        <w:tc>
          <w:tcPr>
            <w:tcW w:w="1274"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Підсумок</w:t>
            </w:r>
          </w:p>
        </w:tc>
        <w:tc>
          <w:tcPr>
            <w:tcW w:w="1417"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Приведена вартість</w:t>
            </w:r>
          </w:p>
        </w:tc>
      </w:tr>
      <w:tr w:rsidR="0039038D">
        <w:trPr>
          <w:trHeight w:val="300"/>
        </w:trPr>
        <w:tc>
          <w:tcPr>
            <w:tcW w:w="2627"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Витраті на дослідний проект (тис. $)</w:t>
            </w:r>
          </w:p>
        </w:tc>
        <w:tc>
          <w:tcPr>
            <w:tcW w:w="1134"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470</w:t>
            </w:r>
          </w:p>
        </w:tc>
        <w:tc>
          <w:tcPr>
            <w:tcW w:w="708"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70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708"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708"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70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1274"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470</w:t>
            </w:r>
          </w:p>
        </w:tc>
        <w:tc>
          <w:tcPr>
            <w:tcW w:w="1417"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470</w:t>
            </w:r>
          </w:p>
        </w:tc>
      </w:tr>
      <w:tr w:rsidR="0039038D">
        <w:trPr>
          <w:trHeight w:val="600"/>
        </w:trPr>
        <w:tc>
          <w:tcPr>
            <w:tcW w:w="2627"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Витрати на створення комерціаліізованого Blockchain (млн. $)</w:t>
            </w:r>
          </w:p>
        </w:tc>
        <w:tc>
          <w:tcPr>
            <w:tcW w:w="1134"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2.2</w:t>
            </w:r>
          </w:p>
        </w:tc>
        <w:tc>
          <w:tcPr>
            <w:tcW w:w="708"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70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708"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708"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70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1274"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2.2</w:t>
            </w:r>
          </w:p>
        </w:tc>
        <w:tc>
          <w:tcPr>
            <w:tcW w:w="1417"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2.2</w:t>
            </w:r>
          </w:p>
        </w:tc>
      </w:tr>
      <w:tr w:rsidR="0039038D" w:rsidTr="00192DBE">
        <w:trPr>
          <w:trHeight w:val="1073"/>
        </w:trPr>
        <w:tc>
          <w:tcPr>
            <w:tcW w:w="2627"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Витрати на поточну експлуатацію Blockchain (млн. $)</w:t>
            </w:r>
          </w:p>
        </w:tc>
        <w:tc>
          <w:tcPr>
            <w:tcW w:w="1134"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w:t>
            </w:r>
          </w:p>
        </w:tc>
        <w:tc>
          <w:tcPr>
            <w:tcW w:w="708"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0.92</w:t>
            </w:r>
          </w:p>
        </w:tc>
        <w:tc>
          <w:tcPr>
            <w:tcW w:w="70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0.92</w:t>
            </w:r>
          </w:p>
        </w:tc>
        <w:tc>
          <w:tcPr>
            <w:tcW w:w="708"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0.92</w:t>
            </w:r>
          </w:p>
        </w:tc>
        <w:tc>
          <w:tcPr>
            <w:tcW w:w="708"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0.92</w:t>
            </w:r>
          </w:p>
        </w:tc>
        <w:tc>
          <w:tcPr>
            <w:tcW w:w="70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0.24</w:t>
            </w:r>
          </w:p>
        </w:tc>
        <w:tc>
          <w:tcPr>
            <w:tcW w:w="1274"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4.6</w:t>
            </w:r>
          </w:p>
        </w:tc>
        <w:tc>
          <w:tcPr>
            <w:tcW w:w="1417"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3.5</w:t>
            </w:r>
          </w:p>
        </w:tc>
      </w:tr>
      <w:tr w:rsidR="0039038D" w:rsidTr="00192DBE">
        <w:trPr>
          <w:trHeight w:val="1170"/>
        </w:trPr>
        <w:tc>
          <w:tcPr>
            <w:tcW w:w="2627"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Загальні витрати з урахуванням ризиків (млн. $)</w:t>
            </w:r>
          </w:p>
        </w:tc>
        <w:tc>
          <w:tcPr>
            <w:tcW w:w="1134"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2.7</w:t>
            </w:r>
          </w:p>
        </w:tc>
        <w:tc>
          <w:tcPr>
            <w:tcW w:w="708"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0.92</w:t>
            </w:r>
          </w:p>
        </w:tc>
        <w:tc>
          <w:tcPr>
            <w:tcW w:w="70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0.92</w:t>
            </w:r>
          </w:p>
        </w:tc>
        <w:tc>
          <w:tcPr>
            <w:tcW w:w="708"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0.92</w:t>
            </w:r>
          </w:p>
        </w:tc>
        <w:tc>
          <w:tcPr>
            <w:tcW w:w="708"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0.92</w:t>
            </w:r>
          </w:p>
        </w:tc>
        <w:tc>
          <w:tcPr>
            <w:tcW w:w="709"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0.92</w:t>
            </w:r>
          </w:p>
        </w:tc>
        <w:tc>
          <w:tcPr>
            <w:tcW w:w="1274"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7.3</w:t>
            </w:r>
          </w:p>
        </w:tc>
        <w:tc>
          <w:tcPr>
            <w:tcW w:w="1417"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6.2</w:t>
            </w:r>
          </w:p>
        </w:tc>
      </w:tr>
    </w:tbl>
    <w:p w:rsidR="0039038D" w:rsidRDefault="0039038D">
      <w:pPr>
        <w:spacing w:after="0" w:line="360" w:lineRule="auto"/>
        <w:ind w:firstLine="567"/>
        <w:jc w:val="both"/>
        <w:rPr>
          <w:rFonts w:ascii="Times New Roman" w:hAnsi="Times New Roman" w:cs="Times New Roman"/>
          <w:sz w:val="26"/>
          <w:szCs w:val="26"/>
          <w:lang w:val="ru-RU"/>
        </w:rPr>
      </w:pP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Загальна фінансов</w:t>
      </w:r>
      <w:r>
        <w:rPr>
          <w:rFonts w:ascii="Times New Roman" w:hAnsi="Times New Roman" w:cs="Times New Roman"/>
          <w:sz w:val="28"/>
          <w:szCs w:val="28"/>
        </w:rPr>
        <w:t>е</w:t>
      </w:r>
      <w:r>
        <w:rPr>
          <w:rFonts w:ascii="Times New Roman" w:hAnsi="Times New Roman" w:cs="Times New Roman"/>
          <w:sz w:val="28"/>
          <w:szCs w:val="28"/>
          <w:lang w:val="ru-RU"/>
        </w:rPr>
        <w:t xml:space="preserve"> зведення для гіпотетичної організації приведене в таблиці 3.14.</w:t>
      </w:r>
    </w:p>
    <w:p w:rsidR="0039038D" w:rsidRDefault="0039038D">
      <w:pPr>
        <w:spacing w:after="0" w:line="360" w:lineRule="auto"/>
        <w:ind w:firstLine="567"/>
        <w:jc w:val="both"/>
        <w:rPr>
          <w:rFonts w:ascii="Times New Roman" w:hAnsi="Times New Roman" w:cs="Times New Roman"/>
          <w:sz w:val="28"/>
          <w:szCs w:val="28"/>
          <w:lang w:val="ru-RU"/>
        </w:rPr>
      </w:pP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Таблиця 3.14 – Загальне фінансове зведення для гіпотетичної організації </w:t>
      </w:r>
    </w:p>
    <w:p w:rsidR="00192DBE" w:rsidRDefault="00192DBE">
      <w:pPr>
        <w:spacing w:after="0" w:line="360" w:lineRule="auto"/>
        <w:ind w:firstLine="567"/>
        <w:jc w:val="both"/>
        <w:rPr>
          <w:rFonts w:ascii="Times New Roman" w:hAnsi="Times New Roman" w:cs="Times New Roman"/>
          <w:sz w:val="28"/>
          <w:szCs w:val="28"/>
          <w:lang w:val="ru-RU"/>
        </w:rPr>
      </w:pPr>
    </w:p>
    <w:tbl>
      <w:tblPr>
        <w:tblW w:w="9639" w:type="dxa"/>
        <w:tblInd w:w="-5" w:type="dxa"/>
        <w:tblLook w:val="04A0" w:firstRow="1" w:lastRow="0" w:firstColumn="1" w:lastColumn="0" w:noHBand="0" w:noVBand="1"/>
      </w:tblPr>
      <w:tblGrid>
        <w:gridCol w:w="3402"/>
        <w:gridCol w:w="1984"/>
        <w:gridCol w:w="2268"/>
        <w:gridCol w:w="1985"/>
      </w:tblGrid>
      <w:tr w:rsidR="0039038D">
        <w:trPr>
          <w:trHeight w:val="300"/>
        </w:trPr>
        <w:tc>
          <w:tcPr>
            <w:tcW w:w="3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Показник</w:t>
            </w:r>
          </w:p>
        </w:tc>
        <w:tc>
          <w:tcPr>
            <w:tcW w:w="1984"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Нижня оцінка</w:t>
            </w:r>
          </w:p>
        </w:tc>
        <w:tc>
          <w:tcPr>
            <w:tcW w:w="2268"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Середня оцінка</w:t>
            </w:r>
          </w:p>
        </w:tc>
        <w:tc>
          <w:tcPr>
            <w:tcW w:w="1985"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Верхня оцінка</w:t>
            </w:r>
          </w:p>
        </w:tc>
      </w:tr>
      <w:tr w:rsidR="0039038D">
        <w:trPr>
          <w:trHeight w:val="536"/>
        </w:trPr>
        <w:tc>
          <w:tcPr>
            <w:tcW w:w="3401"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Загальні витрати (млн. $)</w:t>
            </w:r>
          </w:p>
        </w:tc>
        <w:tc>
          <w:tcPr>
            <w:tcW w:w="1984"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6.17</w:t>
            </w:r>
          </w:p>
        </w:tc>
        <w:tc>
          <w:tcPr>
            <w:tcW w:w="2268"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6.17</w:t>
            </w:r>
          </w:p>
        </w:tc>
        <w:tc>
          <w:tcPr>
            <w:tcW w:w="198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6.17</w:t>
            </w:r>
          </w:p>
        </w:tc>
      </w:tr>
      <w:tr w:rsidR="0039038D">
        <w:trPr>
          <w:trHeight w:val="512"/>
        </w:trPr>
        <w:tc>
          <w:tcPr>
            <w:tcW w:w="3401"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Загальні вигоди (млн. $)</w:t>
            </w:r>
          </w:p>
        </w:tc>
        <w:tc>
          <w:tcPr>
            <w:tcW w:w="1984"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8.84</w:t>
            </w:r>
          </w:p>
        </w:tc>
        <w:tc>
          <w:tcPr>
            <w:tcW w:w="2268"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24.26</w:t>
            </w:r>
          </w:p>
        </w:tc>
        <w:tc>
          <w:tcPr>
            <w:tcW w:w="198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42.58</w:t>
            </w:r>
          </w:p>
        </w:tc>
      </w:tr>
      <w:tr w:rsidR="0039038D">
        <w:trPr>
          <w:trHeight w:val="488"/>
        </w:trPr>
        <w:tc>
          <w:tcPr>
            <w:tcW w:w="3401"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Чисті вигоди (млн. $) 2.66</w:t>
            </w:r>
          </w:p>
        </w:tc>
        <w:tc>
          <w:tcPr>
            <w:tcW w:w="1984"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18.09</w:t>
            </w:r>
          </w:p>
        </w:tc>
        <w:tc>
          <w:tcPr>
            <w:tcW w:w="2268"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36.41</w:t>
            </w:r>
          </w:p>
        </w:tc>
        <w:tc>
          <w:tcPr>
            <w:tcW w:w="198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 </w:t>
            </w:r>
          </w:p>
        </w:tc>
      </w:tr>
      <w:tr w:rsidR="0039038D">
        <w:trPr>
          <w:trHeight w:val="449"/>
        </w:trPr>
        <w:tc>
          <w:tcPr>
            <w:tcW w:w="3401"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Окупність інвестицій (%)</w:t>
            </w:r>
          </w:p>
        </w:tc>
        <w:tc>
          <w:tcPr>
            <w:tcW w:w="1984"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43</w:t>
            </w:r>
          </w:p>
        </w:tc>
        <w:tc>
          <w:tcPr>
            <w:tcW w:w="2268"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293</w:t>
            </w:r>
          </w:p>
        </w:tc>
        <w:tc>
          <w:tcPr>
            <w:tcW w:w="198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590</w:t>
            </w:r>
          </w:p>
        </w:tc>
      </w:tr>
      <w:tr w:rsidR="0039038D">
        <w:trPr>
          <w:trHeight w:val="582"/>
        </w:trPr>
        <w:tc>
          <w:tcPr>
            <w:tcW w:w="3401"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Термін окупності (міс.)</w:t>
            </w:r>
          </w:p>
        </w:tc>
        <w:tc>
          <w:tcPr>
            <w:tcW w:w="1984"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36</w:t>
            </w:r>
          </w:p>
        </w:tc>
        <w:tc>
          <w:tcPr>
            <w:tcW w:w="2268"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16</w:t>
            </w:r>
          </w:p>
        </w:tc>
        <w:tc>
          <w:tcPr>
            <w:tcW w:w="1985"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w:t>
            </w:r>
          </w:p>
        </w:tc>
      </w:tr>
    </w:tbl>
    <w:p w:rsidR="0039038D" w:rsidRDefault="0039038D">
      <w:pPr>
        <w:spacing w:after="0" w:line="360" w:lineRule="auto"/>
        <w:rPr>
          <w:rFonts w:ascii="Times New Roman" w:hAnsi="Times New Roman" w:cs="Times New Roman"/>
          <w:sz w:val="28"/>
          <w:szCs w:val="28"/>
        </w:rPr>
      </w:pP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рамках економічного підрозділу, були визначена ефективність впровадження технології </w:t>
      </w:r>
      <w:r>
        <w:rPr>
          <w:rFonts w:ascii="Times New Roman" w:hAnsi="Times New Roman" w:cs="Times New Roman"/>
          <w:sz w:val="28"/>
          <w:szCs w:val="28"/>
          <w:lang w:val="en-US"/>
        </w:rPr>
        <w:t>IMB</w:t>
      </w:r>
      <w:r>
        <w:rPr>
          <w:rFonts w:ascii="Times New Roman" w:hAnsi="Times New Roman" w:cs="Times New Roman"/>
          <w:sz w:val="28"/>
          <w:szCs w:val="28"/>
        </w:rPr>
        <w:t xml:space="preserve"> </w:t>
      </w:r>
      <w:r>
        <w:rPr>
          <w:rFonts w:ascii="Times New Roman" w:hAnsi="Times New Roman" w:cs="Times New Roman"/>
          <w:sz w:val="28"/>
          <w:szCs w:val="28"/>
          <w:lang w:val="en-US"/>
        </w:rPr>
        <w:t>Blockchain</w:t>
      </w:r>
      <w:r>
        <w:rPr>
          <w:rFonts w:ascii="Times New Roman" w:hAnsi="Times New Roman" w:cs="Times New Roman"/>
          <w:sz w:val="28"/>
          <w:szCs w:val="28"/>
        </w:rPr>
        <w:t xml:space="preserve"> в систему гипотетичної організації, згідно з даними, що наведені в звітах з цієї теми.</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Усі розрахунки в першій частині розділу проводилися згідно з інформацією, що міститься в відкритих економічних звітах. </w:t>
      </w: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8D4FA6">
      <w:pPr>
        <w:pStyle w:val="ac"/>
        <w:numPr>
          <w:ilvl w:val="0"/>
          <w:numId w:val="26"/>
        </w:num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ОХОРОНА ПРАЦІ І НАВКОЛИШНЬОГО СЕРЕДОВИЩА</w:t>
      </w:r>
    </w:p>
    <w:p w:rsidR="0039038D" w:rsidRDefault="0039038D">
      <w:pPr>
        <w:spacing w:after="0" w:line="360" w:lineRule="auto"/>
        <w:ind w:left="420"/>
        <w:rPr>
          <w:rFonts w:ascii="Times New Roman" w:hAnsi="Times New Roman" w:cs="Times New Roman"/>
          <w:b/>
          <w:sz w:val="28"/>
          <w:szCs w:val="28"/>
        </w:rPr>
      </w:pPr>
    </w:p>
    <w:p w:rsidR="0039038D" w:rsidRDefault="008D4FA6">
      <w:pPr>
        <w:keepNext/>
        <w:keepLines/>
        <w:spacing w:after="0" w:line="360" w:lineRule="auto"/>
        <w:ind w:left="567"/>
        <w:outlineLvl w:val="1"/>
        <w:rPr>
          <w:rFonts w:ascii="Times New Roman" w:eastAsia="Times New Roman" w:hAnsi="Times New Roman" w:cs="Times New Roman"/>
          <w:b/>
          <w:sz w:val="28"/>
          <w:szCs w:val="26"/>
        </w:rPr>
      </w:pPr>
      <w:bookmarkStart w:id="1" w:name="_Toc465709329"/>
      <w:r>
        <w:rPr>
          <w:rFonts w:ascii="Times New Roman" w:eastAsia="Times New Roman" w:hAnsi="Times New Roman" w:cs="Times New Roman"/>
          <w:b/>
          <w:sz w:val="28"/>
          <w:szCs w:val="28"/>
          <w:lang w:eastAsia="ru-RU"/>
        </w:rPr>
        <w:t>4.1 Аналіз умов праці на робочому місці</w:t>
      </w:r>
      <w:bookmarkEnd w:id="1"/>
    </w:p>
    <w:p w:rsidR="0039038D" w:rsidRDefault="008D4FA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Розділ виконано для етапу патентного пошуку та подальшого аналізу та відображення результатів на ЕОМ.</w:t>
      </w:r>
    </w:p>
    <w:p w:rsidR="0039038D" w:rsidRDefault="008D4FA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Робота проводилась в «Міжотраслевому інституті післядипломної Освіти», який розташований на другому поверсі п'яти поверхової будівлі.</w:t>
      </w:r>
    </w:p>
    <w:p w:rsidR="0039038D" w:rsidRDefault="008D4FA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Обладнання, приміщення і режим праці користувача повинні відповідати вимогам наступних нормативно–технічних документів:</w:t>
      </w:r>
    </w:p>
    <w:p w:rsidR="0039038D" w:rsidRDefault="008D4FA6">
      <w:pPr>
        <w:numPr>
          <w:ilvl w:val="0"/>
          <w:numId w:val="55"/>
        </w:numPr>
        <w:spacing w:after="0" w:line="360" w:lineRule="auto"/>
        <w:ind w:left="567" w:firstLine="426"/>
        <w:jc w:val="both"/>
        <w:rPr>
          <w:rFonts w:ascii="Times New Roman" w:eastAsia="Arial Unicode MS" w:hAnsi="Times New Roman" w:cs="Times New Roman"/>
          <w:sz w:val="28"/>
          <w:szCs w:val="28"/>
          <w:lang w:eastAsia="ru-RU"/>
        </w:rPr>
      </w:pPr>
      <w:r>
        <w:rPr>
          <w:rFonts w:ascii="Times New Roman" w:hAnsi="Times New Roman" w:cs="Times New Roman"/>
          <w:sz w:val="28"/>
          <w:szCs w:val="28"/>
        </w:rPr>
        <w:t>НПАОП 0.00–7.15–18. Вимоги щодо безпеки та захисту здоров’я працівників під час роботи з екранними пристроями.</w:t>
      </w:r>
    </w:p>
    <w:p w:rsidR="0039038D" w:rsidRDefault="008D4FA6">
      <w:pPr>
        <w:numPr>
          <w:ilvl w:val="0"/>
          <w:numId w:val="55"/>
        </w:numPr>
        <w:spacing w:after="0" w:line="360" w:lineRule="auto"/>
        <w:ind w:left="567" w:firstLine="426"/>
        <w:jc w:val="both"/>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 xml:space="preserve">ДСанПіН 3.3.2.007–98. Державні санітарні правила і норми роботи з візуальними дисплейними терміналами електронно–обчислювальних машин. </w:t>
      </w:r>
    </w:p>
    <w:p w:rsidR="0039038D" w:rsidRDefault="008D4FA6">
      <w:pPr>
        <w:numPr>
          <w:ilvl w:val="0"/>
          <w:numId w:val="55"/>
        </w:numPr>
        <w:spacing w:after="0" w:line="360" w:lineRule="auto"/>
        <w:ind w:left="567" w:firstLine="426"/>
        <w:jc w:val="both"/>
        <w:rPr>
          <w:rFonts w:ascii="Times New Roman" w:eastAsia="Arial Unicode MS" w:hAnsi="Times New Roman" w:cs="Times New Roman"/>
          <w:sz w:val="28"/>
          <w:szCs w:val="28"/>
          <w:lang w:eastAsia="ru-RU"/>
        </w:rPr>
      </w:pPr>
      <w:r>
        <w:rPr>
          <w:rFonts w:ascii="Times New Roman" w:hAnsi="Times New Roman" w:cs="Times New Roman"/>
          <w:sz w:val="28"/>
          <w:szCs w:val="28"/>
        </w:rPr>
        <w:t>ДСТУ Б В.1.1–36:2016. В</w:t>
      </w:r>
      <w:r>
        <w:rPr>
          <w:rFonts w:ascii="Times New Roman" w:eastAsia="Times New Roman" w:hAnsi="Times New Roman" w:cs="Times New Roman"/>
          <w:sz w:val="28"/>
          <w:szCs w:val="28"/>
          <w:lang w:eastAsia="ru-RU"/>
        </w:rPr>
        <w:t xml:space="preserve">изначення категорій приміщень, будинків та зовнішніх установок за вибухопожежною та пожежною небезпекою. </w:t>
      </w:r>
    </w:p>
    <w:p w:rsidR="0039038D" w:rsidRDefault="008D4FA6">
      <w:pPr>
        <w:numPr>
          <w:ilvl w:val="0"/>
          <w:numId w:val="55"/>
        </w:numPr>
        <w:spacing w:after="0" w:line="360" w:lineRule="auto"/>
        <w:ind w:left="567" w:firstLine="426"/>
        <w:jc w:val="both"/>
        <w:rPr>
          <w:rFonts w:ascii="Times New Roman" w:eastAsia="Arial Unicode MS" w:hAnsi="Times New Roman" w:cs="Times New Roman"/>
          <w:sz w:val="28"/>
          <w:szCs w:val="28"/>
          <w:lang w:eastAsia="ru-RU"/>
        </w:rPr>
      </w:pPr>
      <w:r>
        <w:rPr>
          <w:rFonts w:ascii="Times New Roman" w:eastAsia="Times New Roman" w:hAnsi="Times New Roman" w:cs="Times New Roman"/>
          <w:sz w:val="28"/>
          <w:szCs w:val="28"/>
          <w:lang w:eastAsia="ru-RU"/>
        </w:rPr>
        <w:t xml:space="preserve">ДБН В.1.1–7–2016. Пожежна безпека об’єктів будівництва. Загальні вимоги. </w:t>
      </w:r>
    </w:p>
    <w:p w:rsidR="0039038D" w:rsidRDefault="008D4FA6">
      <w:pPr>
        <w:numPr>
          <w:ilvl w:val="0"/>
          <w:numId w:val="55"/>
        </w:numPr>
        <w:spacing w:after="0" w:line="360" w:lineRule="auto"/>
        <w:ind w:left="567" w:firstLine="426"/>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ДСН 3.3.6.042–99. Санітарні норми мікроклімату виробничих приміщень. </w:t>
      </w:r>
    </w:p>
    <w:p w:rsidR="0039038D" w:rsidRDefault="008D4FA6">
      <w:pPr>
        <w:numPr>
          <w:ilvl w:val="0"/>
          <w:numId w:val="55"/>
        </w:numPr>
        <w:spacing w:after="0" w:line="360" w:lineRule="auto"/>
        <w:ind w:left="567" w:firstLine="426"/>
        <w:jc w:val="both"/>
        <w:rPr>
          <w:rFonts w:ascii="Times New Roman" w:eastAsia="Arial Unicode MS" w:hAnsi="Times New Roman" w:cs="Times New Roman"/>
          <w:sz w:val="28"/>
          <w:szCs w:val="28"/>
          <w:lang w:eastAsia="ru-RU"/>
        </w:rPr>
      </w:pPr>
      <w:r>
        <w:rPr>
          <w:rFonts w:ascii="Times New Roman" w:eastAsia="Times New Roman" w:hAnsi="Times New Roman" w:cs="Times New Roman"/>
          <w:spacing w:val="-2"/>
          <w:sz w:val="28"/>
          <w:szCs w:val="28"/>
          <w:lang w:eastAsia="ru-RU"/>
        </w:rPr>
        <w:t>ДБН В.2.5–67:2013. Опалення, вентиляція та кондиціонування.</w:t>
      </w:r>
    </w:p>
    <w:p w:rsidR="0039038D" w:rsidRDefault="008D4FA6">
      <w:pPr>
        <w:numPr>
          <w:ilvl w:val="0"/>
          <w:numId w:val="55"/>
        </w:numPr>
        <w:spacing w:after="0" w:line="360" w:lineRule="auto"/>
        <w:ind w:left="567" w:firstLine="426"/>
        <w:jc w:val="both"/>
        <w:rPr>
          <w:rFonts w:ascii="Times New Roman" w:eastAsia="Arial Unicode MS" w:hAnsi="Times New Roman" w:cs="Times New Roman"/>
          <w:sz w:val="28"/>
          <w:szCs w:val="28"/>
          <w:lang w:eastAsia="ru-RU"/>
        </w:rPr>
      </w:pPr>
      <w:r>
        <w:rPr>
          <w:rFonts w:ascii="Times New Roman" w:eastAsia="Times New Roman" w:hAnsi="Times New Roman" w:cs="Times New Roman"/>
          <w:spacing w:val="-2"/>
          <w:sz w:val="28"/>
          <w:szCs w:val="28"/>
          <w:lang w:eastAsia="ru-RU"/>
        </w:rPr>
        <w:t>ДБН В.2.5–28–2018. Природне та штучне освітлення.</w:t>
      </w:r>
    </w:p>
    <w:p w:rsidR="0039038D" w:rsidRDefault="008D4FA6">
      <w:pPr>
        <w:numPr>
          <w:ilvl w:val="0"/>
          <w:numId w:val="55"/>
        </w:numPr>
        <w:spacing w:after="0" w:line="360" w:lineRule="auto"/>
        <w:ind w:left="567" w:firstLine="426"/>
        <w:jc w:val="both"/>
        <w:rPr>
          <w:rFonts w:ascii="Times New Roman" w:eastAsia="Arial Unicode MS" w:hAnsi="Times New Roman" w:cs="Times New Roman"/>
          <w:sz w:val="28"/>
          <w:szCs w:val="28"/>
          <w:lang w:eastAsia="ru-RU"/>
        </w:rPr>
      </w:pPr>
      <w:r>
        <w:rPr>
          <w:rFonts w:ascii="Times New Roman" w:eastAsia="Times New Roman" w:hAnsi="Times New Roman" w:cs="Times New Roman"/>
          <w:sz w:val="28"/>
          <w:szCs w:val="28"/>
          <w:lang w:eastAsia="ru-RU"/>
        </w:rPr>
        <w:t xml:space="preserve">ДСН 3.3.6.037–99. Санітарні норми виробничого шуму, ультразвуку та інфразвуку. </w:t>
      </w:r>
    </w:p>
    <w:p w:rsidR="0039038D" w:rsidRDefault="008D4FA6">
      <w:pPr>
        <w:numPr>
          <w:ilvl w:val="0"/>
          <w:numId w:val="55"/>
        </w:numPr>
        <w:spacing w:after="0" w:line="360" w:lineRule="auto"/>
        <w:ind w:left="567"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ГОСТ 12.1.029–80 ССБТ. Средства и методы защиты от шума. Классификация. </w:t>
      </w:r>
    </w:p>
    <w:p w:rsidR="0039038D" w:rsidRDefault="008D4FA6">
      <w:pPr>
        <w:numPr>
          <w:ilvl w:val="0"/>
          <w:numId w:val="55"/>
        </w:numPr>
        <w:spacing w:after="0" w:line="360" w:lineRule="auto"/>
        <w:ind w:left="567"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5"/>
          <w:sz w:val="28"/>
          <w:szCs w:val="28"/>
          <w:lang w:eastAsia="ru-RU"/>
        </w:rPr>
        <w:t xml:space="preserve">ДСТУ ГОСТ 12.1.012:2008. Вібраційна безпека. Загальні вимоги. </w:t>
      </w:r>
    </w:p>
    <w:p w:rsidR="0039038D" w:rsidRDefault="008D4FA6">
      <w:pPr>
        <w:numPr>
          <w:ilvl w:val="0"/>
          <w:numId w:val="55"/>
        </w:numPr>
        <w:spacing w:after="0" w:line="360" w:lineRule="auto"/>
        <w:ind w:left="567"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ДСН 3.3.6.039–99. Санітарні норми виробничої загальної та локальної вібрації. </w:t>
      </w:r>
    </w:p>
    <w:p w:rsidR="0039038D" w:rsidRDefault="008D4FA6">
      <w:pPr>
        <w:numPr>
          <w:ilvl w:val="0"/>
          <w:numId w:val="55"/>
        </w:numPr>
        <w:spacing w:after="0" w:line="360" w:lineRule="auto"/>
        <w:ind w:left="567"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5"/>
          <w:sz w:val="28"/>
          <w:szCs w:val="28"/>
          <w:lang w:eastAsia="ru-RU"/>
        </w:rPr>
        <w:t>ДСТУ ГОСТ 2656885:2009. Вібрація. Методи і засоби захисту. Класифікація.</w:t>
      </w:r>
    </w:p>
    <w:p w:rsidR="0039038D" w:rsidRDefault="008D4FA6">
      <w:pPr>
        <w:numPr>
          <w:ilvl w:val="0"/>
          <w:numId w:val="55"/>
        </w:numPr>
        <w:spacing w:after="0" w:line="360" w:lineRule="auto"/>
        <w:ind w:left="567"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5"/>
          <w:sz w:val="28"/>
          <w:szCs w:val="28"/>
          <w:lang w:eastAsia="ru-RU"/>
        </w:rPr>
        <w:lastRenderedPageBreak/>
        <w:t xml:space="preserve">ДСТУ ГОСТ 12.1.038:2008. Електробезпека. Гранично допустимі рівні напруг дотику і струмів. </w:t>
      </w:r>
    </w:p>
    <w:p w:rsidR="0039038D" w:rsidRDefault="008D4FA6">
      <w:pPr>
        <w:numPr>
          <w:ilvl w:val="0"/>
          <w:numId w:val="55"/>
        </w:numPr>
        <w:spacing w:after="0" w:line="360" w:lineRule="auto"/>
        <w:ind w:left="567"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ПУЕ. Правила улаштування електроустановок. </w:t>
      </w:r>
    </w:p>
    <w:p w:rsidR="0039038D" w:rsidRDefault="008D4FA6">
      <w:pPr>
        <w:numPr>
          <w:ilvl w:val="0"/>
          <w:numId w:val="55"/>
        </w:numPr>
        <w:spacing w:after="0" w:line="360" w:lineRule="auto"/>
        <w:ind w:left="567"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НПАОП 40.1–1.32–01. Правила будови електроустановок. Електрообладнання спеціальних установок. </w:t>
      </w:r>
    </w:p>
    <w:p w:rsidR="0039038D" w:rsidRDefault="008D4FA6">
      <w:pPr>
        <w:numPr>
          <w:ilvl w:val="0"/>
          <w:numId w:val="55"/>
        </w:numPr>
        <w:spacing w:after="0" w:line="360" w:lineRule="auto"/>
        <w:ind w:left="567" w:firstLine="426"/>
        <w:jc w:val="both"/>
        <w:rPr>
          <w:rFonts w:ascii="Times New Roman" w:eastAsia="Arial Unicode MS" w:hAnsi="Times New Roman" w:cs="Times New Roman"/>
          <w:sz w:val="28"/>
          <w:szCs w:val="28"/>
          <w:lang w:eastAsia="ru-RU"/>
        </w:rPr>
      </w:pPr>
      <w:r>
        <w:rPr>
          <w:rFonts w:ascii="Times New Roman" w:eastAsia="Times New Roman" w:hAnsi="Times New Roman" w:cs="Times New Roman"/>
          <w:spacing w:val="-5"/>
          <w:sz w:val="28"/>
          <w:szCs w:val="24"/>
          <w:lang w:eastAsia="ru-RU"/>
        </w:rPr>
        <w:t xml:space="preserve">ДСТУ ГОСТ 7237:2011. Електробезпека. Загальні вимоги та номенклатура видів захисту. </w:t>
      </w:r>
    </w:p>
    <w:p w:rsidR="0039038D" w:rsidRDefault="008D4FA6">
      <w:pPr>
        <w:numPr>
          <w:ilvl w:val="0"/>
          <w:numId w:val="55"/>
        </w:numPr>
        <w:spacing w:after="0" w:line="360" w:lineRule="auto"/>
        <w:ind w:left="567" w:firstLine="426"/>
        <w:jc w:val="both"/>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 xml:space="preserve">ГОСТ 14254–96. Степени защиты, обеспечиваемые оболочками. </w:t>
      </w:r>
    </w:p>
    <w:p w:rsidR="0039038D" w:rsidRDefault="008D4FA6">
      <w:pPr>
        <w:numPr>
          <w:ilvl w:val="0"/>
          <w:numId w:val="55"/>
        </w:numPr>
        <w:spacing w:after="0" w:line="360" w:lineRule="auto"/>
        <w:ind w:left="567"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НАПБ А.01.001–2014. Правила пожежної безпеки в Україні.</w:t>
      </w:r>
    </w:p>
    <w:p w:rsidR="0039038D" w:rsidRDefault="008D4FA6">
      <w:pPr>
        <w:numPr>
          <w:ilvl w:val="0"/>
          <w:numId w:val="55"/>
        </w:numPr>
        <w:spacing w:after="0" w:line="360" w:lineRule="auto"/>
        <w:ind w:left="567"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ДСТУ БВ.2.5–38:2008. Інженерне обладнання будинків і споруд. Улаштування блискавка захисту будівель і споруд (IEC 62305:2006, NEQ). </w:t>
      </w:r>
    </w:p>
    <w:p w:rsidR="0039038D" w:rsidRDefault="008D4FA6">
      <w:pPr>
        <w:numPr>
          <w:ilvl w:val="0"/>
          <w:numId w:val="55"/>
        </w:numPr>
        <w:spacing w:after="0" w:line="360" w:lineRule="auto"/>
        <w:ind w:left="567"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НАПБ Б.06.004–2005. Перелік однотипних за призначенням об’єктів, які підлягають обладнанню автоматичними установками пожежа гасіння та пожежної сигналізації.</w:t>
      </w:r>
    </w:p>
    <w:p w:rsidR="0039038D" w:rsidRDefault="008D4FA6">
      <w:pPr>
        <w:numPr>
          <w:ilvl w:val="0"/>
          <w:numId w:val="55"/>
        </w:numPr>
        <w:spacing w:after="0" w:line="360" w:lineRule="auto"/>
        <w:ind w:left="567"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ГН 3.3.5–8.6.6.1–2002. Гігієнічна класифікація праці за показниками шкідливості та небезпечності факторів виробничого середовища, важкості та напруженості трудового процесу.</w:t>
      </w:r>
    </w:p>
    <w:p w:rsidR="0039038D" w:rsidRDefault="008D4FA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Загальна характеристика виробничого приміщення, в якому виконувалась робота, приведена у таблиці 4.1.</w:t>
      </w:r>
    </w:p>
    <w:p w:rsidR="0039038D" w:rsidRDefault="008D4FA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таблиці 4.2 надано перелік потенційних небезпечних та шкідливих факторів на робочому місці користувача ЕОМ з монітором на рідинних кристалах.</w:t>
      </w:r>
    </w:p>
    <w:p w:rsidR="0039038D" w:rsidRDefault="0039038D">
      <w:pPr>
        <w:spacing w:after="0" w:line="360" w:lineRule="auto"/>
        <w:ind w:firstLine="567"/>
        <w:jc w:val="both"/>
        <w:rPr>
          <w:rFonts w:ascii="Times New Roman" w:eastAsia="Times New Roman" w:hAnsi="Times New Roman" w:cs="Times New Roman"/>
          <w:sz w:val="28"/>
          <w:szCs w:val="28"/>
          <w:lang w:eastAsia="ru-RU"/>
        </w:rPr>
      </w:pPr>
    </w:p>
    <w:p w:rsidR="0039038D" w:rsidRDefault="008D4FA6">
      <w:pPr>
        <w:keepNext/>
        <w:keepLines/>
        <w:spacing w:after="0" w:line="360" w:lineRule="auto"/>
        <w:ind w:left="1069" w:hanging="502"/>
        <w:jc w:val="both"/>
        <w:outlineLvl w:val="1"/>
        <w:rPr>
          <w:rFonts w:ascii="Times New Roman" w:eastAsia="Times New Roman" w:hAnsi="Times New Roman" w:cs="Times New Roman"/>
          <w:b/>
          <w:sz w:val="28"/>
          <w:szCs w:val="26"/>
        </w:rPr>
      </w:pPr>
      <w:bookmarkStart w:id="2" w:name="_Toc465709330"/>
      <w:r>
        <w:rPr>
          <w:rFonts w:ascii="Times New Roman" w:eastAsia="Times New Roman" w:hAnsi="Times New Roman" w:cs="Times New Roman"/>
          <w:b/>
          <w:sz w:val="28"/>
          <w:szCs w:val="26"/>
        </w:rPr>
        <w:t>4.2 Захист від шкідливого впливу факторів виробничого середовища</w:t>
      </w:r>
      <w:bookmarkEnd w:id="2"/>
    </w:p>
    <w:p w:rsidR="0039038D" w:rsidRDefault="008D4FA6">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Підтримка оптимальних параметрів мікроклімату в робочій зоні здійснюється відповідно вимог ДБН В.2.5–67:2013 за допомогою кондиціонеру, який регулює температуру повітря. </w:t>
      </w:r>
    </w:p>
    <w:p w:rsidR="0039038D" w:rsidRDefault="008D4FA6">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Передбачена можливість природнього провітрювання приміщення. У холодний період року проводиться опалення від центральної тепломережі. </w:t>
      </w:r>
    </w:p>
    <w:p w:rsidR="0039038D" w:rsidRDefault="008D4FA6">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Загальна харакетристика виробничого приміщення наведенна у табл. 4.1.</w:t>
      </w:r>
    </w:p>
    <w:p w:rsidR="0039038D" w:rsidRDefault="0039038D">
      <w:pPr>
        <w:shd w:val="clear" w:color="auto" w:fill="FFFFFF"/>
        <w:spacing w:after="0" w:line="360" w:lineRule="auto"/>
        <w:ind w:firstLine="708"/>
        <w:jc w:val="both"/>
        <w:rPr>
          <w:rFonts w:ascii="Times New Roman" w:eastAsia="Calibri" w:hAnsi="Times New Roman" w:cs="Times New Roman"/>
          <w:sz w:val="28"/>
        </w:rPr>
      </w:pPr>
    </w:p>
    <w:p w:rsidR="0039038D" w:rsidRDefault="008D4FA6">
      <w:pPr>
        <w:shd w:val="clear" w:color="auto" w:fill="FFFFFF"/>
        <w:spacing w:after="0" w:line="360" w:lineRule="auto"/>
        <w:ind w:firstLine="708"/>
        <w:jc w:val="both"/>
        <w:rPr>
          <w:rFonts w:ascii="Times New Roman" w:eastAsia="Calibri" w:hAnsi="Times New Roman" w:cs="Times New Roman"/>
          <w:sz w:val="28"/>
        </w:rPr>
      </w:pPr>
      <w:r>
        <w:rPr>
          <w:rFonts w:ascii="Times New Roman" w:eastAsia="Calibri" w:hAnsi="Times New Roman" w:cs="Times New Roman"/>
          <w:sz w:val="28"/>
        </w:rPr>
        <w:lastRenderedPageBreak/>
        <w:t xml:space="preserve">Таблиця 4.1 − Характеристика виробничого приміщення </w:t>
      </w:r>
    </w:p>
    <w:p w:rsidR="0039038D" w:rsidRDefault="0039038D">
      <w:pPr>
        <w:shd w:val="clear" w:color="auto" w:fill="FFFFFF"/>
        <w:spacing w:after="0" w:line="360" w:lineRule="auto"/>
        <w:ind w:firstLine="708"/>
        <w:jc w:val="both"/>
        <w:rPr>
          <w:rFonts w:ascii="Times New Roman" w:eastAsia="Calibri" w:hAnsi="Times New Roman" w:cs="Times New Roman"/>
          <w:sz w:val="28"/>
        </w:rPr>
      </w:pPr>
    </w:p>
    <w:tbl>
      <w:tblPr>
        <w:tblStyle w:val="1"/>
        <w:tblW w:w="9639" w:type="dxa"/>
        <w:tblInd w:w="108" w:type="dxa"/>
        <w:tblLook w:val="01E0" w:firstRow="1" w:lastRow="1" w:firstColumn="1" w:lastColumn="1" w:noHBand="0" w:noVBand="0"/>
      </w:tblPr>
      <w:tblGrid>
        <w:gridCol w:w="567"/>
        <w:gridCol w:w="1985"/>
        <w:gridCol w:w="1984"/>
        <w:gridCol w:w="1984"/>
        <w:gridCol w:w="1559"/>
        <w:gridCol w:w="1560"/>
      </w:tblGrid>
      <w:tr w:rsidR="0039038D">
        <w:trPr>
          <w:trHeight w:val="793"/>
          <w:tblHeader/>
        </w:trPr>
        <w:tc>
          <w:tcPr>
            <w:tcW w:w="566" w:type="dxa"/>
            <w:tcBorders>
              <w:top w:val="single" w:sz="8" w:space="0" w:color="000000"/>
              <w:left w:val="single" w:sz="8" w:space="0" w:color="000000"/>
              <w:bottom w:val="single" w:sz="8" w:space="0" w:color="000000"/>
              <w:right w:val="single" w:sz="8" w:space="0" w:color="000000"/>
            </w:tcBorders>
            <w:shd w:val="clear" w:color="auto" w:fill="auto"/>
          </w:tcPr>
          <w:p w:rsidR="0039038D" w:rsidRDefault="008D4FA6">
            <w:pPr>
              <w:spacing w:after="0"/>
              <w:ind w:firstLine="34"/>
              <w:jc w:val="center"/>
              <w:rPr>
                <w:rFonts w:ascii="Times New Roman" w:eastAsia="Calibri" w:hAnsi="Times New Roman" w:cs="Times New Roman"/>
                <w:sz w:val="24"/>
                <w:szCs w:val="24"/>
              </w:rPr>
            </w:pPr>
            <w:r>
              <w:rPr>
                <w:rFonts w:ascii="Times New Roman" w:eastAsia="Calibri" w:hAnsi="Times New Roman" w:cs="Times New Roman"/>
                <w:sz w:val="24"/>
                <w:szCs w:val="24"/>
              </w:rPr>
              <w:t>№ п/п</w:t>
            </w:r>
          </w:p>
        </w:tc>
        <w:tc>
          <w:tcPr>
            <w:tcW w:w="1985" w:type="dxa"/>
            <w:tcBorders>
              <w:top w:val="single" w:sz="8" w:space="0" w:color="000000"/>
              <w:left w:val="single" w:sz="8" w:space="0" w:color="000000"/>
              <w:bottom w:val="single" w:sz="8" w:space="0" w:color="000000"/>
              <w:right w:val="single" w:sz="8" w:space="0" w:color="000000"/>
            </w:tcBorders>
            <w:shd w:val="clear" w:color="auto" w:fill="auto"/>
          </w:tcPr>
          <w:p w:rsidR="0039038D" w:rsidRDefault="008D4FA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Найменування показника</w:t>
            </w:r>
          </w:p>
        </w:tc>
        <w:tc>
          <w:tcPr>
            <w:tcW w:w="1984" w:type="dxa"/>
            <w:tcBorders>
              <w:top w:val="single" w:sz="8" w:space="0" w:color="000000"/>
              <w:left w:val="single" w:sz="8" w:space="0" w:color="000000"/>
              <w:bottom w:val="single" w:sz="8" w:space="0" w:color="000000"/>
              <w:right w:val="single" w:sz="8" w:space="0" w:color="000000"/>
            </w:tcBorders>
            <w:shd w:val="clear" w:color="auto" w:fill="auto"/>
          </w:tcPr>
          <w:p w:rsidR="0039038D" w:rsidRDefault="008D4FA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Характеристика показника</w:t>
            </w:r>
          </w:p>
        </w:tc>
        <w:tc>
          <w:tcPr>
            <w:tcW w:w="1984" w:type="dxa"/>
            <w:tcBorders>
              <w:top w:val="single" w:sz="8" w:space="0" w:color="000000"/>
              <w:left w:val="single" w:sz="8" w:space="0" w:color="000000"/>
              <w:bottom w:val="single" w:sz="8" w:space="0" w:color="000000"/>
              <w:right w:val="single" w:sz="8" w:space="0" w:color="000000"/>
            </w:tcBorders>
            <w:shd w:val="clear" w:color="auto" w:fill="auto"/>
          </w:tcPr>
          <w:p w:rsidR="0039038D" w:rsidRDefault="008D4FA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Обґрунтування вибору значення показника</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39038D" w:rsidRDefault="008D4FA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Документ, що регламентує цій показник</w:t>
            </w: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39038D" w:rsidRDefault="008D4FA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Примітка</w:t>
            </w:r>
          </w:p>
        </w:tc>
      </w:tr>
      <w:tr w:rsidR="0039038D">
        <w:trPr>
          <w:trHeight w:val="210"/>
          <w:tblHeader/>
        </w:trPr>
        <w:tc>
          <w:tcPr>
            <w:tcW w:w="566" w:type="dxa"/>
            <w:tcBorders>
              <w:top w:val="single" w:sz="8" w:space="0" w:color="000000"/>
            </w:tcBorders>
            <w:shd w:val="clear" w:color="auto" w:fill="auto"/>
          </w:tcPr>
          <w:p w:rsidR="0039038D" w:rsidRDefault="008D4FA6">
            <w:pPr>
              <w:spacing w:after="0"/>
              <w:ind w:firstLine="34"/>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top w:val="single" w:sz="8" w:space="0" w:color="000000"/>
            </w:tcBorders>
            <w:shd w:val="clear" w:color="auto" w:fill="auto"/>
          </w:tcPr>
          <w:p w:rsidR="0039038D" w:rsidRDefault="008D4FA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984" w:type="dxa"/>
            <w:tcBorders>
              <w:top w:val="single" w:sz="8" w:space="0" w:color="000000"/>
            </w:tcBorders>
            <w:shd w:val="clear" w:color="auto" w:fill="auto"/>
          </w:tcPr>
          <w:p w:rsidR="0039038D" w:rsidRDefault="008D4FA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984" w:type="dxa"/>
            <w:tcBorders>
              <w:top w:val="single" w:sz="8" w:space="0" w:color="000000"/>
            </w:tcBorders>
            <w:shd w:val="clear" w:color="auto" w:fill="auto"/>
          </w:tcPr>
          <w:p w:rsidR="0039038D" w:rsidRDefault="008D4FA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559" w:type="dxa"/>
            <w:tcBorders>
              <w:top w:val="single" w:sz="8" w:space="0" w:color="000000"/>
            </w:tcBorders>
            <w:shd w:val="clear" w:color="auto" w:fill="auto"/>
          </w:tcPr>
          <w:p w:rsidR="0039038D" w:rsidRDefault="008D4FA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560" w:type="dxa"/>
            <w:tcBorders>
              <w:top w:val="single" w:sz="8" w:space="0" w:color="000000"/>
            </w:tcBorders>
            <w:shd w:val="clear" w:color="auto" w:fill="auto"/>
          </w:tcPr>
          <w:p w:rsidR="0039038D" w:rsidRDefault="008D4FA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39038D">
        <w:trPr>
          <w:trHeight w:val="540"/>
        </w:trPr>
        <w:tc>
          <w:tcPr>
            <w:tcW w:w="566" w:type="dxa"/>
            <w:vMerge w:val="restart"/>
            <w:shd w:val="clear" w:color="auto" w:fill="auto"/>
          </w:tcPr>
          <w:p w:rsidR="0039038D" w:rsidRDefault="008D4FA6">
            <w:pPr>
              <w:spacing w:after="0"/>
              <w:ind w:firstLine="34"/>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shd w:val="clear" w:color="auto" w:fill="auto"/>
            <w:vAlign w:val="center"/>
          </w:tcPr>
          <w:p w:rsidR="0039038D" w:rsidRDefault="008D4FA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Розміри приміщення (м); </w:t>
            </w:r>
          </w:p>
        </w:tc>
        <w:tc>
          <w:tcPr>
            <w:tcW w:w="1984" w:type="dxa"/>
            <w:shd w:val="clear" w:color="auto" w:fill="auto"/>
            <w:vAlign w:val="center"/>
          </w:tcPr>
          <w:p w:rsidR="0039038D" w:rsidRDefault="008D4FA6">
            <w:pPr>
              <w:spacing w:after="0"/>
              <w:jc w:val="center"/>
              <w:rPr>
                <w:rFonts w:ascii="Times New Roman" w:eastAsia="Calibri" w:hAnsi="Times New Roman" w:cs="Times New Roman"/>
                <w:color w:val="FF0000"/>
                <w:sz w:val="24"/>
                <w:szCs w:val="24"/>
              </w:rPr>
            </w:pPr>
            <w:r>
              <w:rPr>
                <w:rFonts w:ascii="Times New Roman" w:eastAsia="Calibri" w:hAnsi="Times New Roman" w:cs="Times New Roman"/>
                <w:sz w:val="24"/>
                <w:szCs w:val="24"/>
              </w:rPr>
              <w:t>8*5,2</w:t>
            </w:r>
          </w:p>
          <w:p w:rsidR="0039038D" w:rsidRDefault="0039038D">
            <w:pPr>
              <w:spacing w:after="0"/>
              <w:jc w:val="center"/>
              <w:rPr>
                <w:rFonts w:ascii="Times New Roman" w:eastAsia="Calibri" w:hAnsi="Times New Roman" w:cs="Times New Roman"/>
                <w:color w:val="FF0000"/>
                <w:sz w:val="24"/>
                <w:szCs w:val="24"/>
              </w:rPr>
            </w:pPr>
          </w:p>
        </w:tc>
        <w:tc>
          <w:tcPr>
            <w:tcW w:w="1984" w:type="dxa"/>
            <w:vMerge w:val="restart"/>
            <w:shd w:val="clear" w:color="auto" w:fill="auto"/>
            <w:vAlign w:val="center"/>
          </w:tcPr>
          <w:p w:rsidR="0039038D" w:rsidRDefault="008D4FA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На одне р.м. з ЕОМ не менше</w:t>
            </w:r>
          </w:p>
          <w:p w:rsidR="0039038D" w:rsidRDefault="008D4FA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6.0 м</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площі</w:t>
            </w:r>
          </w:p>
        </w:tc>
        <w:tc>
          <w:tcPr>
            <w:tcW w:w="1559" w:type="dxa"/>
            <w:vMerge w:val="restart"/>
            <w:shd w:val="clear" w:color="auto" w:fill="auto"/>
            <w:vAlign w:val="center"/>
          </w:tcPr>
          <w:p w:rsidR="0039038D" w:rsidRDefault="008D4FA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ДСанПіН 3.3.2–007–98</w:t>
            </w:r>
          </w:p>
        </w:tc>
        <w:tc>
          <w:tcPr>
            <w:tcW w:w="1560" w:type="dxa"/>
            <w:vMerge w:val="restart"/>
            <w:shd w:val="clear" w:color="auto" w:fill="auto"/>
          </w:tcPr>
          <w:p w:rsidR="0039038D" w:rsidRDefault="008D4FA6">
            <w:pPr>
              <w:spacing w:after="0"/>
              <w:jc w:val="both"/>
              <w:rPr>
                <w:rFonts w:ascii="Times New Roman" w:eastAsia="Calibri" w:hAnsi="Times New Roman" w:cs="Times New Roman"/>
                <w:color w:val="FF0000"/>
                <w:sz w:val="24"/>
                <w:szCs w:val="24"/>
                <w:vertAlign w:val="superscript"/>
              </w:rPr>
            </w:pPr>
            <w:r>
              <w:rPr>
                <w:rFonts w:ascii="Times New Roman" w:eastAsia="Calibri" w:hAnsi="Times New Roman" w:cs="Times New Roman"/>
                <w:color w:val="000000" w:themeColor="text1"/>
                <w:sz w:val="24"/>
                <w:szCs w:val="24"/>
              </w:rPr>
              <w:t>Фактично 7 м</w:t>
            </w:r>
            <w:r>
              <w:rPr>
                <w:rFonts w:ascii="Times New Roman" w:eastAsia="Calibri" w:hAnsi="Times New Roman" w:cs="Times New Roman"/>
                <w:color w:val="000000" w:themeColor="text1"/>
                <w:sz w:val="24"/>
                <w:szCs w:val="24"/>
                <w:vertAlign w:val="superscript"/>
              </w:rPr>
              <w:t xml:space="preserve">2 </w:t>
            </w:r>
            <w:r>
              <w:rPr>
                <w:rFonts w:ascii="Times New Roman" w:eastAsia="Calibri" w:hAnsi="Times New Roman" w:cs="Times New Roman"/>
                <w:color w:val="000000" w:themeColor="text1"/>
                <w:sz w:val="24"/>
                <w:szCs w:val="24"/>
              </w:rPr>
              <w:t>на одне р.м. з ЕОМ, що відпові–дає нормі</w:t>
            </w:r>
          </w:p>
        </w:tc>
      </w:tr>
      <w:tr w:rsidR="0039038D">
        <w:trPr>
          <w:trHeight w:val="1426"/>
        </w:trPr>
        <w:tc>
          <w:tcPr>
            <w:tcW w:w="566" w:type="dxa"/>
            <w:vMerge/>
            <w:shd w:val="clear" w:color="auto" w:fill="auto"/>
          </w:tcPr>
          <w:p w:rsidR="0039038D" w:rsidRDefault="0039038D">
            <w:pPr>
              <w:spacing w:after="0"/>
              <w:ind w:firstLine="34"/>
              <w:jc w:val="both"/>
              <w:rPr>
                <w:rFonts w:ascii="Times New Roman" w:eastAsia="Calibri" w:hAnsi="Times New Roman" w:cs="Times New Roman"/>
                <w:sz w:val="24"/>
                <w:szCs w:val="24"/>
              </w:rPr>
            </w:pPr>
          </w:p>
        </w:tc>
        <w:tc>
          <w:tcPr>
            <w:tcW w:w="1985" w:type="dxa"/>
            <w:shd w:val="clear" w:color="auto" w:fill="auto"/>
            <w:vAlign w:val="center"/>
          </w:tcPr>
          <w:p w:rsidR="0039038D" w:rsidRDefault="008D4FA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кількість робочих місць (р.м.)</w:t>
            </w:r>
          </w:p>
        </w:tc>
        <w:tc>
          <w:tcPr>
            <w:tcW w:w="1984" w:type="dxa"/>
            <w:shd w:val="clear" w:color="auto" w:fill="auto"/>
            <w:vAlign w:val="center"/>
          </w:tcPr>
          <w:p w:rsidR="0039038D" w:rsidRDefault="008D4FA6">
            <w:pPr>
              <w:spacing w:after="0"/>
              <w:jc w:val="center"/>
              <w:rPr>
                <w:rFonts w:ascii="Times New Roman" w:eastAsia="Calibri" w:hAnsi="Times New Roman" w:cs="Times New Roman"/>
                <w:color w:val="FF0000"/>
                <w:sz w:val="24"/>
                <w:szCs w:val="24"/>
              </w:rPr>
            </w:pPr>
            <w:r>
              <w:rPr>
                <w:rFonts w:ascii="Times New Roman" w:eastAsia="Calibri" w:hAnsi="Times New Roman" w:cs="Times New Roman"/>
                <w:sz w:val="24"/>
                <w:szCs w:val="24"/>
              </w:rPr>
              <w:t>6</w:t>
            </w:r>
          </w:p>
        </w:tc>
        <w:tc>
          <w:tcPr>
            <w:tcW w:w="1984" w:type="dxa"/>
            <w:vMerge/>
            <w:shd w:val="clear" w:color="auto" w:fill="auto"/>
          </w:tcPr>
          <w:p w:rsidR="0039038D" w:rsidRDefault="0039038D">
            <w:pPr>
              <w:spacing w:after="0"/>
              <w:jc w:val="both"/>
              <w:rPr>
                <w:rFonts w:ascii="Times New Roman" w:eastAsia="Calibri" w:hAnsi="Times New Roman" w:cs="Times New Roman"/>
                <w:sz w:val="24"/>
                <w:szCs w:val="24"/>
              </w:rPr>
            </w:pPr>
          </w:p>
        </w:tc>
        <w:tc>
          <w:tcPr>
            <w:tcW w:w="1559" w:type="dxa"/>
            <w:vMerge/>
            <w:shd w:val="clear" w:color="auto" w:fill="auto"/>
          </w:tcPr>
          <w:p w:rsidR="0039038D" w:rsidRDefault="0039038D">
            <w:pPr>
              <w:spacing w:after="0"/>
              <w:jc w:val="both"/>
              <w:rPr>
                <w:rFonts w:ascii="Times New Roman" w:eastAsia="Calibri" w:hAnsi="Times New Roman" w:cs="Times New Roman"/>
                <w:sz w:val="24"/>
                <w:szCs w:val="24"/>
              </w:rPr>
            </w:pPr>
          </w:p>
        </w:tc>
        <w:tc>
          <w:tcPr>
            <w:tcW w:w="1560" w:type="dxa"/>
            <w:vMerge/>
            <w:shd w:val="clear" w:color="auto" w:fill="auto"/>
          </w:tcPr>
          <w:p w:rsidR="0039038D" w:rsidRDefault="0039038D">
            <w:pPr>
              <w:spacing w:after="0"/>
              <w:jc w:val="both"/>
              <w:rPr>
                <w:rFonts w:ascii="Times New Roman" w:eastAsia="Calibri" w:hAnsi="Times New Roman" w:cs="Times New Roman"/>
                <w:sz w:val="24"/>
                <w:szCs w:val="24"/>
              </w:rPr>
            </w:pPr>
          </w:p>
        </w:tc>
      </w:tr>
      <w:tr w:rsidR="0039038D">
        <w:trPr>
          <w:trHeight w:val="482"/>
        </w:trPr>
        <w:tc>
          <w:tcPr>
            <w:tcW w:w="566" w:type="dxa"/>
            <w:vMerge w:val="restart"/>
            <w:shd w:val="clear" w:color="auto" w:fill="auto"/>
          </w:tcPr>
          <w:p w:rsidR="0039038D" w:rsidRDefault="008D4FA6">
            <w:pPr>
              <w:spacing w:after="0"/>
              <w:ind w:firstLine="34"/>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985" w:type="dxa"/>
            <w:vMerge w:val="restart"/>
            <w:shd w:val="clear" w:color="auto" w:fill="auto"/>
          </w:tcPr>
          <w:p w:rsidR="0039038D" w:rsidRDefault="008D4FA6">
            <w:pPr>
              <w:spacing w:after="0"/>
              <w:jc w:val="both"/>
              <w:rPr>
                <w:rFonts w:ascii="Times New Roman" w:eastAsia="Calibri" w:hAnsi="Times New Roman" w:cs="Times New Roman"/>
                <w:color w:val="FF0000"/>
                <w:sz w:val="24"/>
                <w:szCs w:val="24"/>
              </w:rPr>
            </w:pPr>
            <w:r>
              <w:rPr>
                <w:rFonts w:ascii="Times New Roman" w:eastAsia="Calibri" w:hAnsi="Times New Roman" w:cs="Times New Roman"/>
                <w:color w:val="000000" w:themeColor="text1"/>
                <w:sz w:val="24"/>
                <w:szCs w:val="24"/>
              </w:rPr>
              <w:t>Природне освітлення, вікна виходять на схід</w:t>
            </w:r>
          </w:p>
        </w:tc>
        <w:tc>
          <w:tcPr>
            <w:tcW w:w="1984" w:type="dxa"/>
            <w:vMerge w:val="restart"/>
            <w:shd w:val="clear" w:color="auto" w:fill="auto"/>
          </w:tcPr>
          <w:p w:rsidR="0039038D" w:rsidRDefault="008D4FA6">
            <w:pPr>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Бокове, одностороннє;</w:t>
            </w:r>
          </w:p>
          <w:p w:rsidR="0039038D" w:rsidRDefault="008D4FA6">
            <w:pPr>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азимут 135</w:t>
            </w:r>
            <w:r>
              <w:rPr>
                <w:rFonts w:ascii="Times New Roman" w:eastAsia="Calibri" w:hAnsi="Times New Roman" w:cs="Times New Roman"/>
                <w:color w:val="000000" w:themeColor="text1"/>
                <w:sz w:val="24"/>
                <w:szCs w:val="24"/>
                <w:vertAlign w:val="superscript"/>
              </w:rPr>
              <w:t>о</w:t>
            </w:r>
          </w:p>
        </w:tc>
        <w:tc>
          <w:tcPr>
            <w:tcW w:w="1984" w:type="dxa"/>
            <w:shd w:val="clear" w:color="auto" w:fill="auto"/>
          </w:tcPr>
          <w:p w:rsidR="0039038D" w:rsidRDefault="008D4FA6">
            <w:pPr>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Див. таблицю 5.2</w:t>
            </w:r>
          </w:p>
        </w:tc>
        <w:tc>
          <w:tcPr>
            <w:tcW w:w="1559" w:type="dxa"/>
            <w:shd w:val="clear" w:color="auto" w:fill="auto"/>
          </w:tcPr>
          <w:p w:rsidR="0039038D" w:rsidRDefault="008D4FA6">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ДБН</w:t>
            </w:r>
          </w:p>
          <w:p w:rsidR="0039038D" w:rsidRDefault="008D4FA6">
            <w:pPr>
              <w:spacing w:after="0"/>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В.2.5.–28–06</w:t>
            </w:r>
          </w:p>
          <w:p w:rsidR="0039038D" w:rsidRDefault="0039038D">
            <w:pPr>
              <w:spacing w:after="0"/>
              <w:jc w:val="both"/>
              <w:rPr>
                <w:rFonts w:ascii="Times New Roman" w:eastAsia="Calibri" w:hAnsi="Times New Roman" w:cs="Times New Roman"/>
                <w:sz w:val="24"/>
                <w:szCs w:val="24"/>
              </w:rPr>
            </w:pPr>
          </w:p>
        </w:tc>
        <w:tc>
          <w:tcPr>
            <w:tcW w:w="1560" w:type="dxa"/>
            <w:shd w:val="clear" w:color="auto" w:fill="auto"/>
          </w:tcPr>
          <w:p w:rsidR="0039038D" w:rsidRDefault="0039038D">
            <w:pPr>
              <w:spacing w:after="0"/>
              <w:jc w:val="both"/>
              <w:rPr>
                <w:rFonts w:ascii="Times New Roman" w:eastAsia="Calibri" w:hAnsi="Times New Roman" w:cs="Times New Roman"/>
                <w:sz w:val="24"/>
                <w:szCs w:val="24"/>
              </w:rPr>
            </w:pPr>
          </w:p>
        </w:tc>
      </w:tr>
      <w:tr w:rsidR="0039038D">
        <w:trPr>
          <w:trHeight w:val="1027"/>
        </w:trPr>
        <w:tc>
          <w:tcPr>
            <w:tcW w:w="566" w:type="dxa"/>
            <w:vMerge/>
            <w:shd w:val="clear" w:color="auto" w:fill="auto"/>
          </w:tcPr>
          <w:p w:rsidR="0039038D" w:rsidRDefault="0039038D">
            <w:pPr>
              <w:spacing w:after="0"/>
              <w:ind w:firstLine="34"/>
              <w:jc w:val="both"/>
              <w:rPr>
                <w:rFonts w:ascii="Times New Roman" w:eastAsia="Calibri" w:hAnsi="Times New Roman" w:cs="Times New Roman"/>
                <w:sz w:val="24"/>
                <w:szCs w:val="24"/>
              </w:rPr>
            </w:pPr>
          </w:p>
        </w:tc>
        <w:tc>
          <w:tcPr>
            <w:tcW w:w="1985" w:type="dxa"/>
            <w:vMerge/>
            <w:shd w:val="clear" w:color="auto" w:fill="auto"/>
          </w:tcPr>
          <w:p w:rsidR="0039038D" w:rsidRDefault="0039038D">
            <w:pPr>
              <w:spacing w:after="0"/>
              <w:jc w:val="both"/>
              <w:rPr>
                <w:rFonts w:ascii="Times New Roman" w:eastAsia="Calibri" w:hAnsi="Times New Roman" w:cs="Times New Roman"/>
                <w:sz w:val="24"/>
                <w:szCs w:val="24"/>
              </w:rPr>
            </w:pPr>
          </w:p>
        </w:tc>
        <w:tc>
          <w:tcPr>
            <w:tcW w:w="1984" w:type="dxa"/>
            <w:vMerge/>
            <w:shd w:val="clear" w:color="auto" w:fill="auto"/>
          </w:tcPr>
          <w:p w:rsidR="0039038D" w:rsidRDefault="0039038D">
            <w:pPr>
              <w:spacing w:after="0"/>
              <w:jc w:val="both"/>
              <w:rPr>
                <w:rFonts w:ascii="Times New Roman" w:eastAsia="Calibri" w:hAnsi="Times New Roman" w:cs="Times New Roman"/>
                <w:sz w:val="24"/>
                <w:szCs w:val="24"/>
              </w:rPr>
            </w:pPr>
          </w:p>
        </w:tc>
        <w:tc>
          <w:tcPr>
            <w:tcW w:w="1984" w:type="dxa"/>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КПО не нижче 1.5 %</w:t>
            </w:r>
          </w:p>
        </w:tc>
        <w:tc>
          <w:tcPr>
            <w:tcW w:w="1559" w:type="dxa"/>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ДСанПіН 3.3.2–007–98</w:t>
            </w:r>
          </w:p>
        </w:tc>
        <w:tc>
          <w:tcPr>
            <w:tcW w:w="1560" w:type="dxa"/>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для р.м. з ЕОМ</w:t>
            </w:r>
          </w:p>
        </w:tc>
      </w:tr>
      <w:tr w:rsidR="0039038D">
        <w:trPr>
          <w:trHeight w:val="622"/>
        </w:trPr>
        <w:tc>
          <w:tcPr>
            <w:tcW w:w="566" w:type="dxa"/>
            <w:vMerge w:val="restart"/>
            <w:shd w:val="clear" w:color="auto" w:fill="auto"/>
          </w:tcPr>
          <w:p w:rsidR="0039038D" w:rsidRDefault="008D4FA6">
            <w:pPr>
              <w:spacing w:after="0"/>
              <w:ind w:firstLine="34"/>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985" w:type="dxa"/>
            <w:vMerge w:val="restart"/>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Штучне освітлення, кількість світильників N; </w:t>
            </w:r>
          </w:p>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джерела світла </w:t>
            </w:r>
          </w:p>
        </w:tc>
        <w:tc>
          <w:tcPr>
            <w:tcW w:w="1984" w:type="dxa"/>
            <w:vMerge w:val="restart"/>
            <w:shd w:val="clear" w:color="auto" w:fill="auto"/>
          </w:tcPr>
          <w:p w:rsidR="0039038D" w:rsidRDefault="008D4FA6">
            <w:pPr>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Загальне рівномірне; N=10;</w:t>
            </w:r>
          </w:p>
          <w:p w:rsidR="0039038D" w:rsidRDefault="008D4FA6">
            <w:pPr>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люмінесцентні лампи</w:t>
            </w:r>
          </w:p>
        </w:tc>
        <w:tc>
          <w:tcPr>
            <w:tcW w:w="1984" w:type="dxa"/>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Див. таблицю 2.2</w:t>
            </w:r>
          </w:p>
        </w:tc>
        <w:tc>
          <w:tcPr>
            <w:tcW w:w="1559" w:type="dxa"/>
            <w:shd w:val="clear" w:color="auto" w:fill="auto"/>
          </w:tcPr>
          <w:p w:rsidR="0039038D" w:rsidRDefault="008D4FA6">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ДБН</w:t>
            </w:r>
          </w:p>
          <w:p w:rsidR="0039038D" w:rsidRDefault="008D4FA6">
            <w:pPr>
              <w:spacing w:after="0"/>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В.2.5.–28–06</w:t>
            </w:r>
          </w:p>
        </w:tc>
        <w:tc>
          <w:tcPr>
            <w:tcW w:w="1560" w:type="dxa"/>
            <w:shd w:val="clear" w:color="auto" w:fill="auto"/>
          </w:tcPr>
          <w:p w:rsidR="0039038D" w:rsidRDefault="0039038D">
            <w:pPr>
              <w:spacing w:after="0"/>
              <w:jc w:val="both"/>
              <w:rPr>
                <w:rFonts w:ascii="Times New Roman" w:eastAsia="Calibri" w:hAnsi="Times New Roman" w:cs="Times New Roman"/>
                <w:sz w:val="24"/>
                <w:szCs w:val="24"/>
              </w:rPr>
            </w:pPr>
          </w:p>
        </w:tc>
      </w:tr>
      <w:tr w:rsidR="0039038D">
        <w:trPr>
          <w:trHeight w:val="1243"/>
        </w:trPr>
        <w:tc>
          <w:tcPr>
            <w:tcW w:w="566" w:type="dxa"/>
            <w:vMerge/>
            <w:shd w:val="clear" w:color="auto" w:fill="auto"/>
          </w:tcPr>
          <w:p w:rsidR="0039038D" w:rsidRDefault="0039038D">
            <w:pPr>
              <w:spacing w:after="0"/>
              <w:ind w:firstLine="34"/>
              <w:jc w:val="both"/>
              <w:rPr>
                <w:rFonts w:ascii="Times New Roman" w:eastAsia="Calibri" w:hAnsi="Times New Roman" w:cs="Times New Roman"/>
                <w:sz w:val="24"/>
                <w:szCs w:val="24"/>
              </w:rPr>
            </w:pPr>
          </w:p>
        </w:tc>
        <w:tc>
          <w:tcPr>
            <w:tcW w:w="1985" w:type="dxa"/>
            <w:vMerge/>
            <w:shd w:val="clear" w:color="auto" w:fill="auto"/>
          </w:tcPr>
          <w:p w:rsidR="0039038D" w:rsidRDefault="0039038D">
            <w:pPr>
              <w:spacing w:after="0"/>
              <w:jc w:val="both"/>
              <w:rPr>
                <w:rFonts w:ascii="Times New Roman" w:eastAsia="Calibri" w:hAnsi="Times New Roman" w:cs="Times New Roman"/>
                <w:sz w:val="24"/>
                <w:szCs w:val="24"/>
              </w:rPr>
            </w:pPr>
          </w:p>
        </w:tc>
        <w:tc>
          <w:tcPr>
            <w:tcW w:w="1984" w:type="dxa"/>
            <w:vMerge/>
            <w:shd w:val="clear" w:color="auto" w:fill="auto"/>
          </w:tcPr>
          <w:p w:rsidR="0039038D" w:rsidRDefault="0039038D">
            <w:pPr>
              <w:spacing w:after="0"/>
              <w:jc w:val="both"/>
              <w:rPr>
                <w:rFonts w:ascii="Times New Roman" w:eastAsia="Calibri" w:hAnsi="Times New Roman" w:cs="Times New Roman"/>
                <w:sz w:val="24"/>
                <w:szCs w:val="24"/>
              </w:rPr>
            </w:pPr>
          </w:p>
        </w:tc>
        <w:tc>
          <w:tcPr>
            <w:tcW w:w="1984" w:type="dxa"/>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не нижче </w:t>
            </w:r>
          </w:p>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300–500 лк</w:t>
            </w:r>
          </w:p>
        </w:tc>
        <w:tc>
          <w:tcPr>
            <w:tcW w:w="1559" w:type="dxa"/>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ДСанПіН 3.3.2–007–98</w:t>
            </w:r>
          </w:p>
        </w:tc>
        <w:tc>
          <w:tcPr>
            <w:tcW w:w="1560" w:type="dxa"/>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для робочих місць з ЕОМ</w:t>
            </w:r>
          </w:p>
        </w:tc>
      </w:tr>
      <w:tr w:rsidR="0039038D">
        <w:trPr>
          <w:trHeight w:val="2091"/>
        </w:trPr>
        <w:tc>
          <w:tcPr>
            <w:tcW w:w="566" w:type="dxa"/>
            <w:shd w:val="clear" w:color="auto" w:fill="auto"/>
          </w:tcPr>
          <w:p w:rsidR="0039038D" w:rsidRDefault="008D4FA6">
            <w:pPr>
              <w:spacing w:after="0"/>
              <w:ind w:firstLine="34"/>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985" w:type="dxa"/>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Характеристика трифазної електричної мережі</w:t>
            </w:r>
          </w:p>
        </w:tc>
        <w:tc>
          <w:tcPr>
            <w:tcW w:w="1984" w:type="dxa"/>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Чотири провідна з глухо заземленою нейтраллю нап–ругою 380/220 В, частотою 50 Гц</w:t>
            </w:r>
          </w:p>
        </w:tc>
        <w:tc>
          <w:tcPr>
            <w:tcW w:w="1984" w:type="dxa"/>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Довгі кабельні мережі великої ємності</w:t>
            </w:r>
          </w:p>
        </w:tc>
        <w:tc>
          <w:tcPr>
            <w:tcW w:w="1559" w:type="dxa"/>
            <w:shd w:val="clear" w:color="auto" w:fill="auto"/>
            <w:vAlign w:val="center"/>
          </w:tcPr>
          <w:p w:rsidR="0039038D" w:rsidRDefault="008D4FA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ПУЕ</w:t>
            </w:r>
          </w:p>
        </w:tc>
        <w:tc>
          <w:tcPr>
            <w:tcW w:w="1560" w:type="dxa"/>
            <w:shd w:val="clear" w:color="auto" w:fill="auto"/>
          </w:tcPr>
          <w:p w:rsidR="0039038D" w:rsidRDefault="0039038D">
            <w:pPr>
              <w:spacing w:after="0"/>
              <w:jc w:val="both"/>
              <w:rPr>
                <w:rFonts w:ascii="Times New Roman" w:eastAsia="Calibri" w:hAnsi="Times New Roman" w:cs="Times New Roman"/>
                <w:sz w:val="24"/>
                <w:szCs w:val="24"/>
              </w:rPr>
            </w:pPr>
          </w:p>
        </w:tc>
      </w:tr>
      <w:tr w:rsidR="0039038D">
        <w:trPr>
          <w:trHeight w:val="4215"/>
        </w:trPr>
        <w:tc>
          <w:tcPr>
            <w:tcW w:w="566" w:type="dxa"/>
            <w:shd w:val="clear" w:color="auto" w:fill="auto"/>
          </w:tcPr>
          <w:p w:rsidR="0039038D" w:rsidRDefault="008D4FA6">
            <w:pPr>
              <w:spacing w:after="0"/>
              <w:ind w:firstLine="34"/>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985" w:type="dxa"/>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Клас приміщення за ступенем небезпеки ураження електрострумом</w:t>
            </w:r>
          </w:p>
        </w:tc>
        <w:tc>
          <w:tcPr>
            <w:tcW w:w="1984" w:type="dxa"/>
            <w:shd w:val="clear" w:color="auto" w:fill="auto"/>
          </w:tcPr>
          <w:p w:rsidR="0039038D" w:rsidRDefault="008D4FA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З підвищеною небезпекою </w:t>
            </w:r>
          </w:p>
        </w:tc>
        <w:tc>
          <w:tcPr>
            <w:tcW w:w="1984" w:type="dxa"/>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Є можливість одночасного до–тику до мета–локонструкцій будівлі, що мають з’єднання з землею, та до металевих корпусів ЕОМ</w:t>
            </w:r>
          </w:p>
        </w:tc>
        <w:tc>
          <w:tcPr>
            <w:tcW w:w="1559" w:type="dxa"/>
            <w:shd w:val="clear" w:color="auto" w:fill="auto"/>
            <w:vAlign w:val="center"/>
          </w:tcPr>
          <w:p w:rsidR="0039038D" w:rsidRDefault="008D4FA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ПУЕ</w:t>
            </w:r>
          </w:p>
        </w:tc>
        <w:tc>
          <w:tcPr>
            <w:tcW w:w="1560" w:type="dxa"/>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Необхідно передбачити заходи безпеки згідно вимог ПУЕ</w:t>
            </w:r>
          </w:p>
        </w:tc>
      </w:tr>
    </w:tbl>
    <w:p w:rsidR="0039038D" w:rsidRDefault="0039038D">
      <w:pPr>
        <w:tabs>
          <w:tab w:val="left" w:pos="1380"/>
        </w:tabs>
        <w:spacing w:after="0"/>
      </w:pPr>
    </w:p>
    <w:p w:rsidR="0039038D" w:rsidRDefault="0039038D">
      <w:pPr>
        <w:tabs>
          <w:tab w:val="left" w:pos="1380"/>
        </w:tabs>
        <w:spacing w:after="0"/>
        <w:rPr>
          <w:rFonts w:ascii="Times New Roman" w:hAnsi="Times New Roman" w:cs="Times New Roman"/>
          <w:sz w:val="28"/>
          <w:szCs w:val="28"/>
        </w:rPr>
      </w:pPr>
    </w:p>
    <w:p w:rsidR="0039038D" w:rsidRDefault="008D4FA6">
      <w:pPr>
        <w:tabs>
          <w:tab w:val="left" w:pos="1380"/>
        </w:tabs>
        <w:spacing w:after="0"/>
        <w:rPr>
          <w:rFonts w:ascii="Times New Roman" w:hAnsi="Times New Roman" w:cs="Times New Roman"/>
          <w:sz w:val="28"/>
          <w:szCs w:val="28"/>
        </w:rPr>
      </w:pPr>
      <w:r>
        <w:rPr>
          <w:rFonts w:ascii="Times New Roman" w:hAnsi="Times New Roman" w:cs="Times New Roman"/>
          <w:sz w:val="28"/>
          <w:szCs w:val="28"/>
        </w:rPr>
        <w:t>Кінець таблиці 4.1</w:t>
      </w:r>
    </w:p>
    <w:p w:rsidR="0039038D" w:rsidRDefault="008D4FA6">
      <w:pPr>
        <w:tabs>
          <w:tab w:val="left" w:pos="1380"/>
        </w:tabs>
        <w:spacing w:after="0"/>
        <w:rPr>
          <w:rFonts w:ascii="Times New Roman" w:hAnsi="Times New Roman" w:cs="Times New Roman"/>
          <w:sz w:val="28"/>
          <w:szCs w:val="28"/>
        </w:rPr>
      </w:pPr>
      <w:r>
        <w:rPr>
          <w:rFonts w:ascii="Times New Roman" w:hAnsi="Times New Roman" w:cs="Times New Roman"/>
          <w:sz w:val="28"/>
          <w:szCs w:val="28"/>
        </w:rPr>
        <w:tab/>
      </w:r>
    </w:p>
    <w:tbl>
      <w:tblPr>
        <w:tblStyle w:val="1"/>
        <w:tblW w:w="9639" w:type="dxa"/>
        <w:tblInd w:w="113" w:type="dxa"/>
        <w:tblLook w:val="01E0" w:firstRow="1" w:lastRow="1" w:firstColumn="1" w:lastColumn="1" w:noHBand="0" w:noVBand="0"/>
      </w:tblPr>
      <w:tblGrid>
        <w:gridCol w:w="567"/>
        <w:gridCol w:w="1985"/>
        <w:gridCol w:w="1984"/>
        <w:gridCol w:w="1984"/>
        <w:gridCol w:w="1559"/>
        <w:gridCol w:w="1560"/>
      </w:tblGrid>
      <w:tr w:rsidR="0039038D">
        <w:tc>
          <w:tcPr>
            <w:tcW w:w="566" w:type="dxa"/>
            <w:shd w:val="clear" w:color="auto" w:fill="auto"/>
          </w:tcPr>
          <w:p w:rsidR="0039038D" w:rsidRDefault="008D4FA6">
            <w:pPr>
              <w:spacing w:after="0"/>
              <w:ind w:firstLine="34"/>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985" w:type="dxa"/>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Категорія приміщення з вибухо – пожежа небезпеки </w:t>
            </w:r>
          </w:p>
        </w:tc>
        <w:tc>
          <w:tcPr>
            <w:tcW w:w="1984" w:type="dxa"/>
            <w:shd w:val="clear" w:color="auto" w:fill="auto"/>
            <w:vAlign w:val="center"/>
          </w:tcPr>
          <w:p w:rsidR="0039038D" w:rsidRDefault="008D4FA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В </w:t>
            </w:r>
          </w:p>
        </w:tc>
        <w:tc>
          <w:tcPr>
            <w:tcW w:w="1984" w:type="dxa"/>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Є тверді спаленні матері–али: папір, деревина тощо</w:t>
            </w:r>
          </w:p>
        </w:tc>
        <w:tc>
          <w:tcPr>
            <w:tcW w:w="1559" w:type="dxa"/>
            <w:shd w:val="clear" w:color="auto" w:fill="auto"/>
            <w:vAlign w:val="center"/>
          </w:tcPr>
          <w:p w:rsidR="0039038D" w:rsidRDefault="008D4FA6">
            <w:pPr>
              <w:spacing w:after="0"/>
              <w:jc w:val="center"/>
              <w:rPr>
                <w:rFonts w:ascii="Times New Roman" w:eastAsia="Calibri" w:hAnsi="Times New Roman" w:cs="Times New Roman"/>
                <w:sz w:val="24"/>
                <w:szCs w:val="24"/>
              </w:rPr>
            </w:pPr>
            <w:r>
              <w:rPr>
                <w:rFonts w:ascii="Times New Roman" w:hAnsi="Times New Roman" w:cs="Times New Roman"/>
                <w:sz w:val="24"/>
                <w:szCs w:val="24"/>
              </w:rPr>
              <w:t>ДСТУ Б В.1.1–36:2016</w:t>
            </w:r>
          </w:p>
        </w:tc>
        <w:tc>
          <w:tcPr>
            <w:tcW w:w="1560" w:type="dxa"/>
            <w:shd w:val="clear" w:color="auto" w:fill="auto"/>
          </w:tcPr>
          <w:p w:rsidR="0039038D" w:rsidRDefault="0039038D">
            <w:pPr>
              <w:spacing w:after="0"/>
              <w:jc w:val="both"/>
              <w:rPr>
                <w:rFonts w:ascii="Times New Roman" w:eastAsia="Calibri" w:hAnsi="Times New Roman" w:cs="Times New Roman"/>
                <w:sz w:val="24"/>
                <w:szCs w:val="24"/>
              </w:rPr>
            </w:pPr>
          </w:p>
        </w:tc>
      </w:tr>
      <w:tr w:rsidR="0039038D">
        <w:trPr>
          <w:trHeight w:val="790"/>
        </w:trPr>
        <w:tc>
          <w:tcPr>
            <w:tcW w:w="566" w:type="dxa"/>
            <w:vMerge w:val="restart"/>
            <w:shd w:val="clear" w:color="auto" w:fill="auto"/>
          </w:tcPr>
          <w:p w:rsidR="0039038D" w:rsidRDefault="008D4FA6">
            <w:pPr>
              <w:spacing w:after="0"/>
              <w:ind w:firstLine="34"/>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985" w:type="dxa"/>
            <w:vMerge w:val="restart"/>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Ступінь вогнестійкості будівельних конструкцій</w:t>
            </w:r>
          </w:p>
        </w:tc>
        <w:tc>
          <w:tcPr>
            <w:tcW w:w="1984" w:type="dxa"/>
            <w:vMerge w:val="restart"/>
            <w:shd w:val="clear" w:color="auto" w:fill="auto"/>
            <w:vAlign w:val="center"/>
          </w:tcPr>
          <w:p w:rsidR="0039038D" w:rsidRDefault="008D4FA6">
            <w:pPr>
              <w:spacing w:after="0"/>
              <w:jc w:val="center"/>
              <w:rPr>
                <w:rFonts w:ascii="Times New Roman" w:eastAsia="Calibri" w:hAnsi="Times New Roman" w:cs="Times New Roman"/>
                <w:color w:val="FF0000"/>
                <w:sz w:val="24"/>
                <w:szCs w:val="24"/>
                <w:lang w:val="en-US"/>
              </w:rPr>
            </w:pPr>
            <w:r>
              <w:rPr>
                <w:rFonts w:ascii="Times New Roman" w:eastAsia="Calibri" w:hAnsi="Times New Roman" w:cs="Times New Roman"/>
                <w:sz w:val="24"/>
                <w:szCs w:val="24"/>
                <w:lang w:val="en-US"/>
              </w:rPr>
              <w:t>I</w:t>
            </w:r>
          </w:p>
        </w:tc>
        <w:tc>
          <w:tcPr>
            <w:tcW w:w="1984" w:type="dxa"/>
            <w:shd w:val="clear" w:color="auto" w:fill="auto"/>
          </w:tcPr>
          <w:p w:rsidR="0039038D" w:rsidRDefault="008D4FA6">
            <w:pPr>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5–и поверхова</w:t>
            </w:r>
          </w:p>
          <w:p w:rsidR="0039038D" w:rsidRDefault="008D4FA6">
            <w:pPr>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будівля;</w:t>
            </w:r>
          </w:p>
          <w:p w:rsidR="0039038D" w:rsidRDefault="008D4FA6">
            <w:pPr>
              <w:spacing w:after="0"/>
              <w:jc w:val="both"/>
              <w:rPr>
                <w:rFonts w:ascii="Times New Roman" w:eastAsia="Calibri" w:hAnsi="Times New Roman" w:cs="Times New Roman"/>
                <w:color w:val="FF0000"/>
                <w:sz w:val="24"/>
                <w:szCs w:val="24"/>
              </w:rPr>
            </w:pPr>
            <w:r>
              <w:rPr>
                <w:rFonts w:ascii="Times New Roman" w:eastAsia="Calibri" w:hAnsi="Times New Roman" w:cs="Times New Roman"/>
                <w:color w:val="000000" w:themeColor="text1"/>
                <w:sz w:val="24"/>
                <w:szCs w:val="24"/>
              </w:rPr>
              <w:t>категорія В</w:t>
            </w:r>
          </w:p>
        </w:tc>
        <w:tc>
          <w:tcPr>
            <w:tcW w:w="1559" w:type="dxa"/>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ДБН В.1.1.7−2016</w:t>
            </w:r>
          </w:p>
        </w:tc>
        <w:tc>
          <w:tcPr>
            <w:tcW w:w="1560" w:type="dxa"/>
            <w:shd w:val="clear" w:color="auto" w:fill="auto"/>
          </w:tcPr>
          <w:p w:rsidR="0039038D" w:rsidRDefault="0039038D">
            <w:pPr>
              <w:spacing w:after="0"/>
              <w:jc w:val="both"/>
              <w:rPr>
                <w:rFonts w:ascii="Times New Roman" w:eastAsia="Calibri" w:hAnsi="Times New Roman" w:cs="Times New Roman"/>
                <w:sz w:val="24"/>
                <w:szCs w:val="24"/>
              </w:rPr>
            </w:pPr>
          </w:p>
        </w:tc>
      </w:tr>
      <w:tr w:rsidR="0039038D">
        <w:trPr>
          <w:trHeight w:val="170"/>
        </w:trPr>
        <w:tc>
          <w:tcPr>
            <w:tcW w:w="566" w:type="dxa"/>
            <w:vMerge/>
            <w:shd w:val="clear" w:color="auto" w:fill="auto"/>
          </w:tcPr>
          <w:p w:rsidR="0039038D" w:rsidRDefault="0039038D">
            <w:pPr>
              <w:spacing w:after="0"/>
              <w:ind w:firstLine="34"/>
              <w:jc w:val="both"/>
              <w:rPr>
                <w:rFonts w:ascii="Times New Roman" w:eastAsia="Calibri" w:hAnsi="Times New Roman" w:cs="Times New Roman"/>
                <w:sz w:val="24"/>
                <w:szCs w:val="24"/>
              </w:rPr>
            </w:pPr>
          </w:p>
        </w:tc>
        <w:tc>
          <w:tcPr>
            <w:tcW w:w="1985" w:type="dxa"/>
            <w:vMerge/>
            <w:shd w:val="clear" w:color="auto" w:fill="auto"/>
          </w:tcPr>
          <w:p w:rsidR="0039038D" w:rsidRDefault="0039038D">
            <w:pPr>
              <w:spacing w:after="0"/>
              <w:jc w:val="both"/>
              <w:rPr>
                <w:rFonts w:ascii="Times New Roman" w:eastAsia="Calibri" w:hAnsi="Times New Roman" w:cs="Times New Roman"/>
                <w:sz w:val="24"/>
                <w:szCs w:val="24"/>
              </w:rPr>
            </w:pPr>
          </w:p>
        </w:tc>
        <w:tc>
          <w:tcPr>
            <w:tcW w:w="1984" w:type="dxa"/>
            <w:vMerge/>
            <w:shd w:val="clear" w:color="auto" w:fill="auto"/>
          </w:tcPr>
          <w:p w:rsidR="0039038D" w:rsidRDefault="0039038D">
            <w:pPr>
              <w:spacing w:after="0"/>
              <w:jc w:val="both"/>
              <w:rPr>
                <w:rFonts w:ascii="Times New Roman" w:eastAsia="Calibri" w:hAnsi="Times New Roman" w:cs="Times New Roman"/>
                <w:sz w:val="24"/>
                <w:szCs w:val="24"/>
              </w:rPr>
            </w:pPr>
          </w:p>
        </w:tc>
        <w:tc>
          <w:tcPr>
            <w:tcW w:w="1984" w:type="dxa"/>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Не нижче ІІ ступеню </w:t>
            </w:r>
          </w:p>
        </w:tc>
        <w:tc>
          <w:tcPr>
            <w:tcW w:w="1559" w:type="dxa"/>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НПАОП </w:t>
            </w:r>
          </w:p>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0.00–1.28–10</w:t>
            </w:r>
          </w:p>
        </w:tc>
        <w:tc>
          <w:tcPr>
            <w:tcW w:w="1560" w:type="dxa"/>
            <w:shd w:val="clear" w:color="auto" w:fill="auto"/>
          </w:tcPr>
          <w:p w:rsidR="0039038D" w:rsidRDefault="008D4FA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для будівель з ЕОМ</w:t>
            </w:r>
          </w:p>
        </w:tc>
      </w:tr>
    </w:tbl>
    <w:p w:rsidR="0039038D" w:rsidRDefault="0039038D">
      <w:pPr>
        <w:spacing w:after="0" w:line="360" w:lineRule="auto"/>
        <w:ind w:firstLine="708"/>
        <w:jc w:val="both"/>
        <w:rPr>
          <w:rFonts w:ascii="Times New Roman" w:eastAsia="Times New Roman" w:hAnsi="Times New Roman" w:cs="Times New Roman"/>
          <w:sz w:val="28"/>
          <w:szCs w:val="28"/>
          <w:lang w:eastAsia="ru-RU"/>
        </w:rPr>
      </w:pPr>
    </w:p>
    <w:p w:rsidR="0039038D" w:rsidRDefault="008D4FA6">
      <w:pPr>
        <w:keepNext/>
        <w:keepLines/>
        <w:suppressAutoHyphens/>
        <w:spacing w:after="0" w:line="360" w:lineRule="auto"/>
        <w:ind w:left="1418" w:hanging="1418"/>
        <w:jc w:val="both"/>
        <w:rPr>
          <w:rFonts w:ascii="Times New Roman" w:eastAsia="Arial Unicode MS" w:hAnsi="Times New Roman" w:cs="Times New Roman"/>
          <w:sz w:val="28"/>
          <w:szCs w:val="20"/>
          <w:lang w:eastAsia="ru-RU"/>
        </w:rPr>
      </w:pPr>
      <w:r>
        <w:rPr>
          <w:rFonts w:ascii="Times New Roman" w:eastAsia="Arial Unicode MS" w:hAnsi="Times New Roman" w:cs="Times New Roman"/>
          <w:sz w:val="28"/>
          <w:szCs w:val="20"/>
          <w:lang w:eastAsia="ru-RU"/>
        </w:rPr>
        <w:t>Таблиця 4.2 − Перелік потенційних шкідливих та небезпечних факторів на робочому місці користувача ЕОМ з ЖК монітором</w:t>
      </w:r>
    </w:p>
    <w:p w:rsidR="00192DBE" w:rsidRDefault="00192DBE">
      <w:pPr>
        <w:keepNext/>
        <w:keepLines/>
        <w:suppressAutoHyphens/>
        <w:spacing w:after="0" w:line="360" w:lineRule="auto"/>
        <w:ind w:left="1418" w:hanging="1418"/>
        <w:jc w:val="both"/>
        <w:rPr>
          <w:rFonts w:ascii="Times New Roman" w:eastAsia="Arial Unicode MS" w:hAnsi="Times New Roman" w:cs="Times New Roman"/>
          <w:sz w:val="28"/>
          <w:szCs w:val="20"/>
          <w:lang w:eastAsia="ru-RU"/>
        </w:rPr>
      </w:pPr>
    </w:p>
    <w:tbl>
      <w:tblPr>
        <w:tblW w:w="9747" w:type="dxa"/>
        <w:tblLook w:val="0000" w:firstRow="0" w:lastRow="0" w:firstColumn="0" w:lastColumn="0" w:noHBand="0" w:noVBand="0"/>
      </w:tblPr>
      <w:tblGrid>
        <w:gridCol w:w="445"/>
        <w:gridCol w:w="1978"/>
        <w:gridCol w:w="1696"/>
        <w:gridCol w:w="2104"/>
        <w:gridCol w:w="1828"/>
        <w:gridCol w:w="1696"/>
      </w:tblGrid>
      <w:tr w:rsidR="0039038D">
        <w:trPr>
          <w:trHeight w:val="1148"/>
        </w:trPr>
        <w:tc>
          <w:tcPr>
            <w:tcW w:w="39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038D" w:rsidRDefault="008D4FA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1984" w:type="dxa"/>
            <w:tcBorders>
              <w:top w:val="single" w:sz="8" w:space="0" w:color="000000"/>
              <w:left w:val="single" w:sz="8" w:space="0" w:color="000000"/>
              <w:bottom w:val="single" w:sz="8" w:space="0" w:color="000000"/>
              <w:right w:val="single" w:sz="8" w:space="0" w:color="000000"/>
            </w:tcBorders>
            <w:shd w:val="clear" w:color="auto" w:fill="auto"/>
          </w:tcPr>
          <w:p w:rsidR="0039038D" w:rsidRDefault="008D4FA6">
            <w:pPr>
              <w:spacing w:after="0" w:line="240" w:lineRule="auto"/>
              <w:ind w:firstLine="33"/>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Назва фактора</w:t>
            </w:r>
          </w:p>
        </w:tc>
        <w:tc>
          <w:tcPr>
            <w:tcW w:w="1700" w:type="dxa"/>
            <w:tcBorders>
              <w:top w:val="single" w:sz="8" w:space="0" w:color="000000"/>
              <w:left w:val="single" w:sz="8" w:space="0" w:color="000000"/>
              <w:bottom w:val="single" w:sz="8" w:space="0" w:color="000000"/>
              <w:right w:val="single" w:sz="8" w:space="0" w:color="000000"/>
            </w:tcBorders>
            <w:shd w:val="clear" w:color="auto" w:fill="auto"/>
          </w:tcPr>
          <w:p w:rsidR="0039038D" w:rsidRDefault="008D4FA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Джерела</w:t>
            </w:r>
          </w:p>
          <w:p w:rsidR="0039038D" w:rsidRDefault="008D4FA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виникнення</w:t>
            </w:r>
          </w:p>
        </w:tc>
        <w:tc>
          <w:tcPr>
            <w:tcW w:w="2127" w:type="dxa"/>
            <w:tcBorders>
              <w:top w:val="single" w:sz="8" w:space="0" w:color="000000"/>
              <w:left w:val="single" w:sz="8" w:space="0" w:color="000000"/>
              <w:bottom w:val="single" w:sz="8" w:space="0" w:color="000000"/>
              <w:right w:val="single" w:sz="8" w:space="0" w:color="000000"/>
            </w:tcBorders>
            <w:shd w:val="clear" w:color="auto" w:fill="auto"/>
          </w:tcPr>
          <w:p w:rsidR="0039038D" w:rsidRDefault="008D4FA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Умови</w:t>
            </w:r>
          </w:p>
          <w:p w:rsidR="0039038D" w:rsidRDefault="008D4FA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Роботи</w:t>
            </w:r>
          </w:p>
        </w:tc>
        <w:tc>
          <w:tcPr>
            <w:tcW w:w="1841" w:type="dxa"/>
            <w:tcBorders>
              <w:top w:val="single" w:sz="8" w:space="0" w:color="000000"/>
              <w:left w:val="single" w:sz="8" w:space="0" w:color="000000"/>
              <w:bottom w:val="single" w:sz="8" w:space="0" w:color="000000"/>
              <w:right w:val="single" w:sz="8" w:space="0" w:color="000000"/>
            </w:tcBorders>
            <w:shd w:val="clear" w:color="auto" w:fill="auto"/>
          </w:tcPr>
          <w:p w:rsidR="0039038D" w:rsidRDefault="008D4FA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Нормативні параметри, їх значення</w:t>
            </w:r>
          </w:p>
        </w:tc>
        <w:tc>
          <w:tcPr>
            <w:tcW w:w="1704" w:type="dxa"/>
            <w:tcBorders>
              <w:top w:val="single" w:sz="8" w:space="0" w:color="000000"/>
              <w:left w:val="single" w:sz="8" w:space="0" w:color="000000"/>
              <w:bottom w:val="single" w:sz="8" w:space="0" w:color="000000"/>
              <w:right w:val="single" w:sz="8" w:space="0" w:color="000000"/>
            </w:tcBorders>
            <w:shd w:val="clear" w:color="auto" w:fill="auto"/>
          </w:tcPr>
          <w:p w:rsidR="0039038D" w:rsidRDefault="008D4FA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Документ, що регламентує показник</w:t>
            </w:r>
          </w:p>
        </w:tc>
      </w:tr>
      <w:tr w:rsidR="0039038D">
        <w:trPr>
          <w:trHeight w:val="825"/>
        </w:trPr>
        <w:tc>
          <w:tcPr>
            <w:tcW w:w="390" w:type="dxa"/>
            <w:tcBorders>
              <w:top w:val="single" w:sz="8"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984" w:type="dxa"/>
            <w:tcBorders>
              <w:top w:val="single" w:sz="8"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ind w:firstLine="33"/>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700" w:type="dxa"/>
            <w:tcBorders>
              <w:top w:val="single" w:sz="8"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2127" w:type="dxa"/>
            <w:tcBorders>
              <w:top w:val="single" w:sz="8"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841" w:type="dxa"/>
            <w:tcBorders>
              <w:top w:val="single" w:sz="8"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1704" w:type="dxa"/>
            <w:tcBorders>
              <w:top w:val="single" w:sz="8"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r>
      <w:tr w:rsidR="0039038D">
        <w:trPr>
          <w:trHeight w:val="358"/>
        </w:trPr>
        <w:tc>
          <w:tcPr>
            <w:tcW w:w="974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9038D" w:rsidRDefault="008D4F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І. Небезпечні фактори</w:t>
            </w:r>
          </w:p>
        </w:tc>
      </w:tr>
      <w:tr w:rsidR="0039038D">
        <w:trPr>
          <w:trHeight w:val="1408"/>
        </w:trPr>
        <w:tc>
          <w:tcPr>
            <w:tcW w:w="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38D" w:rsidRDefault="008D4F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38D" w:rsidRDefault="008D4FA6">
            <w:pPr>
              <w:spacing w:after="0" w:line="240" w:lineRule="auto"/>
              <w:ind w:firstLine="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Висока електрична напруга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Мережа живлення устаткування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Нормальний режим роботи</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Струм</w:t>
            </w:r>
          </w:p>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І</w:t>
            </w:r>
            <w:r>
              <w:rPr>
                <w:rFonts w:ascii="Times New Roman" w:eastAsia="Times New Roman" w:hAnsi="Times New Roman" w:cs="Times New Roman"/>
                <w:sz w:val="24"/>
                <w:szCs w:val="24"/>
                <w:vertAlign w:val="subscript"/>
                <w:lang w:eastAsia="ru-RU"/>
              </w:rPr>
              <w:t xml:space="preserve">h </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vertAlign w:val="subscript"/>
                <w:lang w:eastAsia="ru-RU"/>
              </w:rPr>
              <w:t xml:space="preserve"> </w:t>
            </w:r>
            <w:r>
              <w:rPr>
                <w:rFonts w:ascii="Times New Roman" w:eastAsia="Times New Roman" w:hAnsi="Times New Roman" w:cs="Times New Roman"/>
                <w:sz w:val="24"/>
                <w:szCs w:val="24"/>
                <w:lang w:eastAsia="ru-RU"/>
              </w:rPr>
              <w:t>0,3</w:t>
            </w:r>
            <w:r>
              <w:rPr>
                <w:rFonts w:ascii="Times New Roman" w:eastAsia="Times New Roman" w:hAnsi="Times New Roman" w:cs="Times New Roman"/>
                <w:sz w:val="24"/>
                <w:szCs w:val="24"/>
                <w:vertAlign w:val="subscript"/>
                <w:lang w:eastAsia="ru-RU"/>
              </w:rPr>
              <w:t xml:space="preserve"> </w:t>
            </w:r>
            <w:r>
              <w:rPr>
                <w:rFonts w:ascii="Times New Roman" w:eastAsia="Times New Roman" w:hAnsi="Times New Roman" w:cs="Times New Roman"/>
                <w:sz w:val="24"/>
                <w:szCs w:val="24"/>
                <w:lang w:eastAsia="ru-RU"/>
              </w:rPr>
              <w:t>мА;</w:t>
            </w:r>
          </w:p>
          <w:p w:rsidR="0039038D" w:rsidRDefault="008D4F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Напруга </w:t>
            </w:r>
            <w:r>
              <w:rPr>
                <w:rFonts w:ascii="Times New Roman" w:eastAsia="Times New Roman" w:hAnsi="Times New Roman" w:cs="Times New Roman"/>
                <w:sz w:val="24"/>
                <w:szCs w:val="24"/>
                <w:lang w:val="en-US" w:eastAsia="ru-RU"/>
              </w:rPr>
              <w:t>U</w:t>
            </w:r>
            <w:r>
              <w:rPr>
                <w:rFonts w:ascii="Times New Roman" w:eastAsia="Times New Roman" w:hAnsi="Times New Roman" w:cs="Times New Roman"/>
                <w:sz w:val="24"/>
                <w:szCs w:val="24"/>
                <w:vertAlign w:val="subscript"/>
                <w:lang w:eastAsia="ru-RU"/>
              </w:rPr>
              <w:t xml:space="preserve">дот </w:t>
            </w:r>
            <w:r>
              <w:rPr>
                <w:rFonts w:ascii="Times New Roman" w:eastAsia="Times New Roman" w:hAnsi="Times New Roman" w:cs="Times New Roman"/>
                <w:sz w:val="24"/>
                <w:szCs w:val="24"/>
                <w:lang w:eastAsia="ru-RU"/>
              </w:rPr>
              <w:t>&lt; 2 В</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ДСТУ ГОСТ 12.1.038:08</w:t>
            </w:r>
          </w:p>
        </w:tc>
      </w:tr>
      <w:tr w:rsidR="0039038D">
        <w:trPr>
          <w:trHeight w:val="1155"/>
        </w:trPr>
        <w:tc>
          <w:tcPr>
            <w:tcW w:w="974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9038D" w:rsidRDefault="008D4F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ІІ. Шкідливі фізичні фактори</w:t>
            </w:r>
          </w:p>
        </w:tc>
      </w:tr>
      <w:tr w:rsidR="0039038D">
        <w:trPr>
          <w:trHeight w:val="2249"/>
        </w:trPr>
        <w:tc>
          <w:tcPr>
            <w:tcW w:w="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38D" w:rsidRDefault="008D4F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38D" w:rsidRDefault="008D4FA6">
            <w:pPr>
              <w:spacing w:after="0" w:line="240" w:lineRule="auto"/>
              <w:ind w:firstLine="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Несприятливе освітлення</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Стан систем природного та штучного освітлення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МРОР 0,3–0.5 мм; розряд ІІІ; підрозряд «в», фон середній, контраст середній</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КПО</w:t>
            </w:r>
          </w:p>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vertAlign w:val="subscript"/>
                <w:lang w:val="en-US" w:eastAsia="ru-RU"/>
              </w:rPr>
              <w:t>N</w:t>
            </w:r>
            <w:r>
              <w:rPr>
                <w:rFonts w:ascii="Times New Roman" w:eastAsia="Times New Roman" w:hAnsi="Times New Roman" w:cs="Times New Roman"/>
                <w:sz w:val="24"/>
                <w:szCs w:val="24"/>
                <w:vertAlign w:val="subscript"/>
                <w:lang w:eastAsia="ru-RU"/>
              </w:rPr>
              <w:t xml:space="preserve"> </w:t>
            </w:r>
            <w:r>
              <w:rPr>
                <w:rFonts w:ascii="Times New Roman" w:eastAsia="Times New Roman" w:hAnsi="Times New Roman" w:cs="Times New Roman"/>
                <w:sz w:val="24"/>
                <w:szCs w:val="24"/>
                <w:lang w:eastAsia="ru-RU"/>
              </w:rPr>
              <w:t>= 2 %;</w:t>
            </w:r>
          </w:p>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освітленість</w:t>
            </w:r>
          </w:p>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vertAlign w:val="subscript"/>
                <w:lang w:eastAsia="ru-RU"/>
              </w:rPr>
              <w:t>мін</w:t>
            </w:r>
            <w:r>
              <w:rPr>
                <w:rFonts w:ascii="Times New Roman" w:eastAsia="Times New Roman" w:hAnsi="Times New Roman" w:cs="Times New Roman"/>
                <w:sz w:val="24"/>
                <w:szCs w:val="24"/>
                <w:lang w:eastAsia="ru-RU"/>
              </w:rPr>
              <w:t xml:space="preserve"> = 300 лк</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ДБН</w:t>
            </w:r>
          </w:p>
          <w:p w:rsidR="0039038D" w:rsidRDefault="008D4F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В.2.5.–28–06</w:t>
            </w:r>
          </w:p>
        </w:tc>
      </w:tr>
      <w:tr w:rsidR="0039038D" w:rsidTr="00192DBE">
        <w:trPr>
          <w:trHeight w:val="1964"/>
        </w:trPr>
        <w:tc>
          <w:tcPr>
            <w:tcW w:w="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38D" w:rsidRDefault="008D4F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38D" w:rsidRDefault="008D4FA6">
            <w:pPr>
              <w:spacing w:after="0" w:line="240" w:lineRule="auto"/>
              <w:ind w:firstLine="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Несприятливий мікроклімат: те–мпература (t), відносна воло–гість (φ), швид–кість руху (v)</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Стан систем опалення та вентиляції</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Категорія</w:t>
            </w:r>
          </w:p>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важкості </w:t>
            </w:r>
          </w:p>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робіт Іа;</w:t>
            </w:r>
          </w:p>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холодний період</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Оптимальні: </w:t>
            </w:r>
          </w:p>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t − 22–24 </w:t>
            </w:r>
            <w:r>
              <w:rPr>
                <w:rFonts w:ascii="Times New Roman" w:eastAsia="Times New Roman" w:hAnsi="Times New Roman" w:cs="Times New Roman"/>
                <w:sz w:val="24"/>
                <w:szCs w:val="24"/>
                <w:vertAlign w:val="superscript"/>
                <w:lang w:eastAsia="ru-RU"/>
              </w:rPr>
              <w:t>0</w:t>
            </w:r>
            <w:r>
              <w:rPr>
                <w:rFonts w:ascii="Times New Roman" w:eastAsia="Times New Roman" w:hAnsi="Times New Roman" w:cs="Times New Roman"/>
                <w:sz w:val="24"/>
                <w:szCs w:val="24"/>
                <w:lang w:eastAsia="ru-RU"/>
              </w:rPr>
              <w:t>C;</w:t>
            </w:r>
          </w:p>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φ − 40–60 %;</w:t>
            </w:r>
          </w:p>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v − не більше 0,1м/с</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center"/>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ДСН</w:t>
            </w:r>
          </w:p>
          <w:p w:rsidR="0039038D" w:rsidRDefault="008D4F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3.3.6.042–99</w:t>
            </w:r>
          </w:p>
        </w:tc>
      </w:tr>
    </w:tbl>
    <w:p w:rsidR="0039038D" w:rsidRDefault="0039038D">
      <w:pPr>
        <w:spacing w:after="0"/>
      </w:pPr>
    </w:p>
    <w:p w:rsidR="0039038D" w:rsidRDefault="0039038D">
      <w:pPr>
        <w:spacing w:after="0"/>
        <w:rPr>
          <w:rFonts w:ascii="Times New Roman" w:hAnsi="Times New Roman" w:cs="Times New Roman"/>
          <w:sz w:val="28"/>
          <w:szCs w:val="28"/>
          <w:lang w:val="ru-RU"/>
        </w:rPr>
      </w:pPr>
    </w:p>
    <w:p w:rsidR="0039038D" w:rsidRDefault="008D4FA6">
      <w:pPr>
        <w:spacing w:after="0"/>
        <w:rPr>
          <w:rFonts w:ascii="Times New Roman" w:hAnsi="Times New Roman" w:cs="Times New Roman"/>
          <w:sz w:val="28"/>
          <w:szCs w:val="28"/>
        </w:rPr>
      </w:pPr>
      <w:r>
        <w:rPr>
          <w:rFonts w:ascii="Times New Roman" w:hAnsi="Times New Roman" w:cs="Times New Roman"/>
          <w:sz w:val="28"/>
          <w:szCs w:val="28"/>
          <w:lang w:val="ru-RU"/>
        </w:rPr>
        <w:t>Кінець таблиц</w:t>
      </w:r>
      <w:r w:rsidR="00192DBE">
        <w:rPr>
          <w:rFonts w:ascii="Times New Roman" w:hAnsi="Times New Roman" w:cs="Times New Roman"/>
          <w:sz w:val="28"/>
          <w:szCs w:val="28"/>
        </w:rPr>
        <w:t>і 4.2</w:t>
      </w:r>
      <w:r>
        <w:rPr>
          <w:rFonts w:ascii="Times New Roman" w:hAnsi="Times New Roman" w:cs="Times New Roman"/>
          <w:sz w:val="28"/>
          <w:szCs w:val="28"/>
        </w:rPr>
        <w:t>.</w:t>
      </w:r>
    </w:p>
    <w:p w:rsidR="0039038D" w:rsidRDefault="0039038D">
      <w:pPr>
        <w:spacing w:after="0"/>
        <w:rPr>
          <w:rFonts w:ascii="Times New Roman" w:hAnsi="Times New Roman" w:cs="Times New Roman"/>
          <w:sz w:val="28"/>
          <w:szCs w:val="28"/>
        </w:rPr>
      </w:pPr>
    </w:p>
    <w:tbl>
      <w:tblPr>
        <w:tblW w:w="9747" w:type="dxa"/>
        <w:tblInd w:w="5" w:type="dxa"/>
        <w:tblLook w:val="0000" w:firstRow="0" w:lastRow="0" w:firstColumn="0" w:lastColumn="0" w:noHBand="0" w:noVBand="0"/>
      </w:tblPr>
      <w:tblGrid>
        <w:gridCol w:w="391"/>
        <w:gridCol w:w="1984"/>
        <w:gridCol w:w="1700"/>
        <w:gridCol w:w="2127"/>
        <w:gridCol w:w="1841"/>
        <w:gridCol w:w="1704"/>
      </w:tblGrid>
      <w:tr w:rsidR="0039038D">
        <w:trPr>
          <w:trHeight w:val="1485"/>
        </w:trPr>
        <w:tc>
          <w:tcPr>
            <w:tcW w:w="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38D" w:rsidRDefault="008D4F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38D" w:rsidRDefault="008D4FA6">
            <w:pPr>
              <w:spacing w:after="0" w:line="240" w:lineRule="auto"/>
              <w:ind w:firstLine="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Підвищений рівень шуму,</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Кондиціонери кулери, </w:t>
            </w:r>
          </w:p>
          <w:p w:rsidR="0039038D" w:rsidRDefault="008D4F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системи освітлювання, перетворю–вачі напруги, принтери</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Творча діяльність, програмування</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Рівень звуку</w:t>
            </w:r>
          </w:p>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L</w:t>
            </w:r>
            <w:r>
              <w:rPr>
                <w:rFonts w:ascii="Times New Roman" w:eastAsia="Times New Roman" w:hAnsi="Times New Roman" w:cs="Times New Roman"/>
                <w:sz w:val="24"/>
                <w:szCs w:val="24"/>
                <w:vertAlign w:val="subscript"/>
                <w:lang w:val="en-US" w:eastAsia="ru-RU"/>
              </w:rPr>
              <w:t xml:space="preserve">A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vertAlign w:val="subscript"/>
                <w:lang w:val="en-US" w:eastAsia="ru-RU"/>
              </w:rPr>
              <w:t xml:space="preserve"> </w:t>
            </w:r>
            <w:r>
              <w:rPr>
                <w:rFonts w:ascii="Times New Roman" w:eastAsia="Times New Roman" w:hAnsi="Times New Roman" w:cs="Times New Roman"/>
                <w:sz w:val="24"/>
                <w:szCs w:val="24"/>
                <w:lang w:eastAsia="ru-RU"/>
              </w:rPr>
              <w:t>50 дБА</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ДСН </w:t>
            </w:r>
          </w:p>
          <w:p w:rsidR="0039038D" w:rsidRDefault="008D4FA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3.3.6.037–99</w:t>
            </w:r>
          </w:p>
        </w:tc>
      </w:tr>
      <w:tr w:rsidR="0039038D">
        <w:trPr>
          <w:trHeight w:val="435"/>
        </w:trPr>
        <w:tc>
          <w:tcPr>
            <w:tcW w:w="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38D" w:rsidRDefault="008D4F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38D" w:rsidRDefault="008D4FA6">
            <w:pPr>
              <w:spacing w:after="0" w:line="240" w:lineRule="auto"/>
              <w:ind w:firstLine="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Вібрація</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39038D">
            <w:pPr>
              <w:spacing w:after="0" w:line="240" w:lineRule="auto"/>
              <w:jc w:val="center"/>
              <w:rPr>
                <w:rFonts w:ascii="Times New Roman" w:eastAsia="Times New Roman" w:hAnsi="Times New Roman" w:cs="Times New Roman"/>
                <w:sz w:val="24"/>
                <w:szCs w:val="24"/>
                <w:lang w:eastAsia="ru-RU"/>
              </w:rPr>
            </w:pPr>
          </w:p>
          <w:p w:rsidR="0039038D" w:rsidRDefault="0039038D">
            <w:pPr>
              <w:spacing w:after="0" w:line="240" w:lineRule="auto"/>
              <w:jc w:val="center"/>
              <w:rPr>
                <w:rFonts w:ascii="Times New Roman" w:eastAsia="Times New Roman" w:hAnsi="Times New Roman" w:cs="Times New Roman"/>
                <w:sz w:val="24"/>
                <w:szCs w:val="24"/>
                <w:lang w:eastAsia="ru-RU"/>
              </w:rPr>
            </w:pPr>
          </w:p>
          <w:p w:rsidR="0039038D" w:rsidRDefault="008D4F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Загальна технологічна, категорія 3, тип «в», умови комфорту</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Рівень віброшвидкості </w:t>
            </w:r>
          </w:p>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L</w:t>
            </w:r>
            <w:r>
              <w:rPr>
                <w:rFonts w:ascii="Times New Roman" w:eastAsia="Times New Roman" w:hAnsi="Times New Roman" w:cs="Times New Roman"/>
                <w:sz w:val="24"/>
                <w:szCs w:val="24"/>
                <w:vertAlign w:val="subscript"/>
                <w:lang w:val="en-US" w:eastAsia="ru-RU"/>
              </w:rPr>
              <w:t>V</w:t>
            </w:r>
            <w:r>
              <w:rPr>
                <w:rFonts w:ascii="Times New Roman" w:eastAsia="Times New Roman" w:hAnsi="Times New Roman" w:cs="Times New Roman"/>
                <w:sz w:val="24"/>
                <w:szCs w:val="24"/>
                <w:vertAlign w:val="subscript"/>
                <w:lang w:eastAsia="ru-RU"/>
              </w:rPr>
              <w:t xml:space="preserve"> = </w:t>
            </w:r>
            <w:r>
              <w:rPr>
                <w:rFonts w:ascii="Times New Roman" w:eastAsia="Times New Roman" w:hAnsi="Times New Roman" w:cs="Times New Roman"/>
                <w:sz w:val="24"/>
                <w:szCs w:val="24"/>
                <w:lang w:eastAsia="ru-RU"/>
              </w:rPr>
              <w:t>75 дБ</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ДСТУ ГОСТ 12.1.012:08</w:t>
            </w:r>
          </w:p>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ДСН </w:t>
            </w:r>
          </w:p>
          <w:p w:rsidR="0039038D" w:rsidRDefault="008D4F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3.3.6.039–99</w:t>
            </w:r>
          </w:p>
        </w:tc>
      </w:tr>
      <w:tr w:rsidR="0039038D">
        <w:trPr>
          <w:trHeight w:val="225"/>
        </w:trPr>
        <w:tc>
          <w:tcPr>
            <w:tcW w:w="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38D" w:rsidRDefault="008D4FA6">
            <w:pPr>
              <w:widowControl w:val="0"/>
              <w:snapToGrid w:val="0"/>
              <w:spacing w:after="0" w:line="240" w:lineRule="auto"/>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6</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widowControl w:val="0"/>
              <w:snapToGrid w:val="0"/>
              <w:spacing w:after="0" w:line="240" w:lineRule="auto"/>
              <w:ind w:firstLine="33"/>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Психо–фізіологічна перенапруга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widowControl w:val="0"/>
              <w:snapToGrid w:val="0"/>
              <w:spacing w:after="0" w:line="240" w:lineRule="auto"/>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Монотонність праці, розумова напруга, статичність і незручність пози</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39038D">
            <w:pPr>
              <w:widowControl w:val="0"/>
              <w:snapToGrid w:val="0"/>
              <w:spacing w:after="0" w:line="240" w:lineRule="auto"/>
              <w:jc w:val="center"/>
              <w:rPr>
                <w:rFonts w:ascii="Times New Roman" w:eastAsia="MS Mincho" w:hAnsi="Times New Roman" w:cs="Times New Roman"/>
                <w:sz w:val="24"/>
                <w:szCs w:val="24"/>
                <w:lang w:eastAsia="ru-RU"/>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widowControl w:val="0"/>
              <w:snapToGrid w:val="0"/>
              <w:spacing w:after="0" w:line="240" w:lineRule="auto"/>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 та 2 клас умов праці для напруженості і важкості трудового процесу</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39038D" w:rsidRDefault="008D4FA6">
            <w:pPr>
              <w:widowControl w:val="0"/>
              <w:snapToGrid w:val="0"/>
              <w:spacing w:after="0" w:line="240" w:lineRule="auto"/>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ГН</w:t>
            </w:r>
          </w:p>
          <w:p w:rsidR="0039038D" w:rsidRDefault="008D4FA6">
            <w:pPr>
              <w:widowControl w:val="0"/>
              <w:snapToGrid w:val="0"/>
              <w:spacing w:after="0" w:line="240" w:lineRule="auto"/>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3.3.5–8.6.6.1–2002</w:t>
            </w:r>
          </w:p>
        </w:tc>
      </w:tr>
    </w:tbl>
    <w:p w:rsidR="0039038D" w:rsidRDefault="0039038D">
      <w:pPr>
        <w:shd w:val="clear" w:color="auto" w:fill="FFFFFF"/>
        <w:spacing w:after="0" w:line="360" w:lineRule="auto"/>
        <w:jc w:val="both"/>
        <w:rPr>
          <w:rFonts w:ascii="Times New Roman" w:eastAsia="Times New Roman" w:hAnsi="Times New Roman" w:cs="Times New Roman"/>
          <w:sz w:val="28"/>
          <w:szCs w:val="24"/>
          <w:lang w:eastAsia="ru-RU"/>
        </w:rPr>
      </w:pPr>
    </w:p>
    <w:p w:rsidR="0039038D" w:rsidRDefault="008D4FA6">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ДСН 3.3.6.042–99, у приміщеннях із значними площами засклених поверхонь передбачаються заходи щодо захисту:</w:t>
      </w:r>
    </w:p>
    <w:p w:rsidR="0039038D" w:rsidRDefault="008D4FA6">
      <w:pPr>
        <w:spacing w:after="0" w:line="360" w:lineRule="auto"/>
        <w:ind w:firstLine="567"/>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а) від перегрівання при попаданні прямих сонячних променів в теплий період року (орієнтація віконних прорізів схід – захід, улаштування лоджій, жалюзі, сонцезахисних плівок та інше);</w:t>
      </w:r>
    </w:p>
    <w:p w:rsidR="0039038D" w:rsidRDefault="008D4FA6">
      <w:pPr>
        <w:spacing w:after="0" w:line="360" w:lineRule="auto"/>
        <w:ind w:firstLine="567"/>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б) від радіаційного охолодження – в зимовий (використання стін певної товщини, подвійних стекол). </w:t>
      </w:r>
    </w:p>
    <w:p w:rsidR="0039038D" w:rsidRDefault="008D4FA6">
      <w:pPr>
        <w:widowControl w:val="0"/>
        <w:snapToGrid w:val="0"/>
        <w:spacing w:after="0" w:line="360" w:lineRule="auto"/>
        <w:ind w:firstLine="567"/>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Робочі місця повинні бути віддалені від стін на відстань не менше 1 м. </w:t>
      </w:r>
    </w:p>
    <w:p w:rsidR="0039038D" w:rsidRDefault="008D4FA6">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Визначений в таблиці 5.2 коефіцієнт природного освітлення реалізується через вікна визначеної площини, яка розраховується при проектуванні будівлі, а нормований показник штучного освітлення (Е</w:t>
      </w:r>
      <w:r>
        <w:rPr>
          <w:rFonts w:ascii="Times New Roman" w:eastAsia="Times New Roman" w:hAnsi="Times New Roman" w:cs="Times New Roman"/>
          <w:sz w:val="28"/>
          <w:szCs w:val="28"/>
          <w:vertAlign w:val="subscript"/>
          <w:lang w:eastAsia="ru-RU"/>
        </w:rPr>
        <w:t>мін</w:t>
      </w:r>
      <w:r>
        <w:rPr>
          <w:rFonts w:ascii="Times New Roman" w:eastAsia="Times New Roman" w:hAnsi="Times New Roman" w:cs="Times New Roman"/>
          <w:sz w:val="28"/>
          <w:szCs w:val="28"/>
          <w:lang w:eastAsia="ru-RU"/>
        </w:rPr>
        <w:t>) реалізується шляхом встановлення визначеної кількості світильників і вибором потужності ламп в них.</w:t>
      </w:r>
    </w:p>
    <w:p w:rsidR="0039038D" w:rsidRDefault="008D4FA6">
      <w:pPr>
        <w:widowControl w:val="0"/>
        <w:snapToGri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Згідно вимог ДСанПіН </w:t>
      </w:r>
      <w:r>
        <w:rPr>
          <w:rFonts w:ascii="Times New Roman" w:eastAsia="Arial Unicode MS" w:hAnsi="Times New Roman" w:cs="Times New Roman"/>
          <w:sz w:val="28"/>
          <w:szCs w:val="28"/>
          <w:lang w:eastAsia="ru-RU"/>
        </w:rPr>
        <w:t xml:space="preserve">3.3.2.007–98, </w:t>
      </w:r>
      <w:r>
        <w:rPr>
          <w:rFonts w:ascii="Times New Roman" w:eastAsia="Times New Roman" w:hAnsi="Times New Roman" w:cs="Times New Roman"/>
          <w:sz w:val="28"/>
          <w:szCs w:val="28"/>
          <w:lang w:eastAsia="ru-RU"/>
        </w:rPr>
        <w:t xml:space="preserve">в разі штучного освітлення як джерела світла мають застосовуватись переважно люмінісцентні лампи типу ЛБ і світильники серії ЛПО3б із дзеркальними гратами, укомплектовані </w:t>
      </w:r>
      <w:r>
        <w:rPr>
          <w:rFonts w:ascii="Times New Roman" w:eastAsia="Times New Roman" w:hAnsi="Times New Roman" w:cs="Times New Roman"/>
          <w:sz w:val="28"/>
          <w:szCs w:val="28"/>
          <w:lang w:eastAsia="ru-RU"/>
        </w:rPr>
        <w:lastRenderedPageBreak/>
        <w:t>високочастотними пускорегулювальними апаратами (ВЧ ПРА).</w:t>
      </w:r>
    </w:p>
    <w:p w:rsidR="0039038D" w:rsidRDefault="008D4FA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Система загального освітлення має становити суцільні або преривчасті лінії світильників, розташовані збоку від робочих місць (переважно ліворуч), паралельно лінії зору працюючих. Слід передбачити обмеження прямої блискості від джерел природного та штучного освітлення та обмежувати відбиту блискість на робочих поверхнях. Необхідно чистити вікна і світильники не менше двох разів на рік та вчасно заміняти перегорілі лампи.</w:t>
      </w:r>
    </w:p>
    <w:p w:rsidR="0039038D" w:rsidRDefault="008D4FA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Заходи захисту від шуму та вібрації повинні відповідати вимогам ГОСТ 12.1.029–80 і </w:t>
      </w:r>
      <w:r>
        <w:rPr>
          <w:rFonts w:ascii="Times New Roman" w:eastAsia="Times New Roman" w:hAnsi="Times New Roman" w:cs="Times New Roman"/>
          <w:spacing w:val="-5"/>
          <w:sz w:val="28"/>
          <w:szCs w:val="28"/>
          <w:lang w:eastAsia="ru-RU"/>
        </w:rPr>
        <w:t xml:space="preserve">ДСТУ ГОСТ 2656885:2009. </w:t>
      </w:r>
      <w:r>
        <w:rPr>
          <w:rFonts w:ascii="Times New Roman" w:eastAsia="Times New Roman" w:hAnsi="Times New Roman" w:cs="Times New Roman"/>
          <w:sz w:val="28"/>
          <w:szCs w:val="28"/>
          <w:lang w:eastAsia="ru-RU"/>
        </w:rPr>
        <w:t>Устаткування, що є джерелом шуму, слід розташовувати поза приміщенням для роботи з ЕОМ. Для забезпечення допустимих рівнів шуму у виробничих приміщеннях слід застосовувати засоби звукопоглинання, наприклад, перфоровані плити, панелі, підвісні стелі.</w:t>
      </w:r>
    </w:p>
    <w:p w:rsidR="0039038D" w:rsidRDefault="008D4FA6">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Як захист від шуму, який створюється вентиляторами системних блоків, використовується звукоізоляційний корпус. Вентилятор можна замінити на більш якісний або на мідні радіатори з водяним охолодженням. Крім того встановлюють перехідник з регулятором напруги і швидкості обертання процесорного кулеру, а при монтажі кулерів металеві гвинти заміняють гумовими пробками, що дозволяють ізолювати вентилятор від корпусу. Якщо принтер розташований на твердій поверхні, то для зменшення вібрації потрібно підстелити під нього щільний прогумований килимок. </w:t>
      </w:r>
    </w:p>
    <w:p w:rsidR="0039038D" w:rsidRDefault="0039038D">
      <w:pPr>
        <w:shd w:val="clear" w:color="auto" w:fill="FFFFFF"/>
        <w:spacing w:after="0" w:line="360" w:lineRule="auto"/>
        <w:ind w:firstLine="708"/>
        <w:jc w:val="both"/>
        <w:rPr>
          <w:rFonts w:ascii="Times New Roman" w:eastAsia="Times New Roman" w:hAnsi="Times New Roman" w:cs="Times New Roman"/>
          <w:sz w:val="28"/>
          <w:szCs w:val="28"/>
          <w:lang w:eastAsia="ru-RU"/>
        </w:rPr>
      </w:pPr>
    </w:p>
    <w:p w:rsidR="0039038D" w:rsidRDefault="008D4FA6">
      <w:pPr>
        <w:keepNext/>
        <w:keepLines/>
        <w:spacing w:after="0" w:line="360" w:lineRule="auto"/>
        <w:ind w:left="1069"/>
        <w:outlineLvl w:val="1"/>
        <w:rPr>
          <w:rFonts w:ascii="Times New Roman" w:eastAsia="Times New Roman" w:hAnsi="Times New Roman" w:cs="Times New Roman"/>
          <w:b/>
          <w:sz w:val="28"/>
          <w:szCs w:val="26"/>
        </w:rPr>
      </w:pPr>
      <w:bookmarkStart w:id="3" w:name="_Toc465709331"/>
      <w:r>
        <w:rPr>
          <w:rFonts w:ascii="Times New Roman" w:eastAsia="Times New Roman" w:hAnsi="Times New Roman" w:cs="Times New Roman"/>
          <w:b/>
          <w:sz w:val="28"/>
          <w:szCs w:val="26"/>
          <w:lang w:val="ru-RU"/>
        </w:rPr>
        <w:t>4.</w:t>
      </w:r>
      <w:r>
        <w:rPr>
          <w:rFonts w:ascii="Times New Roman" w:eastAsia="Times New Roman" w:hAnsi="Times New Roman" w:cs="Times New Roman"/>
          <w:b/>
          <w:sz w:val="28"/>
          <w:szCs w:val="26"/>
        </w:rPr>
        <w:t>3 Електробезпека</w:t>
      </w:r>
      <w:bookmarkEnd w:id="3"/>
    </w:p>
    <w:p w:rsidR="0039038D" w:rsidRDefault="008D4FA6">
      <w:pPr>
        <w:tabs>
          <w:tab w:val="left" w:pos="615"/>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Персональна ЕОМ є однофазним споживачем електроенергії, який живиться від трифазної чотирьох провідної мережі перемінного струму напругою 380/220 В частотою 50 Гц з глухо заземленою нейтраллю.</w:t>
      </w:r>
    </w:p>
    <w:p w:rsidR="0039038D" w:rsidRDefault="008D4FA6">
      <w:pPr>
        <w:tabs>
          <w:tab w:val="left" w:pos="615"/>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У разі випадкового дотику до струмопровідних частин, що знаходяться під напругою, або появі напруги дотику на металевих кожухах електроустаткування, наприклад, при пошкодженні ізоляції можливі нещасні випадки в результаті дії електричного струму</w:t>
      </w:r>
    </w:p>
    <w:p w:rsidR="0039038D" w:rsidRDefault="008D4FA6">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Клас пожежа небезпечної зони приміщення, згідно ПУЕ та НПАОП 40.1–1.32–01, − П–ІІа, бо у приміщенні знаходяться тверді спаленні матеріали. </w:t>
      </w:r>
    </w:p>
    <w:p w:rsidR="0039038D" w:rsidRDefault="008D4FA6">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приміщень з підвищеною небезпекою поразки людини електричним струмом ПУЕ передбачені конструктивні, схемно–конструктивні й експлуатаційні міри електробезпеки (</w:t>
      </w:r>
      <w:r>
        <w:rPr>
          <w:rFonts w:ascii="Times New Roman" w:eastAsia="Calibri" w:hAnsi="Times New Roman" w:cs="Times New Roman"/>
          <w:spacing w:val="-5"/>
          <w:sz w:val="28"/>
        </w:rPr>
        <w:t>ДСТУ </w:t>
      </w:r>
      <w:r>
        <w:rPr>
          <w:rFonts w:ascii="Times New Roman" w:eastAsia="Calibri" w:hAnsi="Times New Roman" w:cs="Times New Roman"/>
          <w:sz w:val="28"/>
        </w:rPr>
        <w:t>ГОСТ 7237</w:t>
      </w:r>
      <w:r>
        <w:rPr>
          <w:rFonts w:ascii="Times New Roman" w:eastAsia="Calibri" w:hAnsi="Times New Roman" w:cs="Times New Roman"/>
          <w:spacing w:val="-5"/>
          <w:sz w:val="28"/>
        </w:rPr>
        <w:t>:2011</w:t>
      </w:r>
      <w:r>
        <w:rPr>
          <w:rFonts w:ascii="Times New Roman" w:eastAsia="Times New Roman" w:hAnsi="Times New Roman" w:cs="Times New Roman"/>
          <w:sz w:val="28"/>
          <w:szCs w:val="28"/>
          <w:lang w:eastAsia="ru-RU"/>
        </w:rPr>
        <w:t>).</w:t>
      </w:r>
    </w:p>
    <w:p w:rsidR="0039038D" w:rsidRDefault="008D4FA6">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Експлуатаційні міри. Необхідно дотримуватися правил безпеки при роботі з високою напругою і використовувати наступні запобіжні заходи, що передбачені НПАОП 0.00–1.28–10: не підключати і не відключати кабелю, якщо обладнання знаходиться під напругою; технічне обслуговування і ремонтні роботи виконувати тільки при вимкнутому живленні в мережі; встановлювати у приміщенні загальний вимикач для відключення електроустаткування. Забороняється залишати працюючу апаратуру без нагляду.</w:t>
      </w:r>
    </w:p>
    <w:p w:rsidR="0039038D" w:rsidRDefault="008D4FA6">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Конструктивні заходи. ЕОМ відноситься до електроустановок до 1000 В закритого виконання, усі струмоведучі частини знаходяться в кожухах. Вибираємо ступінь захисту оболонки від зіткнення персоналу із струмоведучими частинами усередині захисного корпуса і від потрапляння води усередину корпусу ІP–44, де перша "4" – захист від твердих тіл, розміром більш 1.0 мм, друга "4"–захист від бризків води (ГОСТ 14254–96).</w:t>
      </w:r>
    </w:p>
    <w:p w:rsidR="0039038D" w:rsidRDefault="008D4FA6">
      <w:pPr>
        <w:shd w:val="clear" w:color="auto" w:fill="FFFFFF"/>
        <w:spacing w:after="0" w:line="360"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3) Як схемно–конструктивна міра безпеки застосовується подвійна ізоляція (для монітору), малі напруги до 42 В, занулення (так як мережа живлення до 1000 В з глухо заземленою нейтраллю). Відповідно</w:t>
      </w:r>
      <w:r>
        <w:rPr>
          <w:rFonts w:ascii="Times New Roman" w:eastAsia="Calibri" w:hAnsi="Times New Roman" w:cs="Times New Roman"/>
          <w:spacing w:val="-5"/>
          <w:sz w:val="28"/>
        </w:rPr>
        <w:t xml:space="preserve"> ДСТУ </w:t>
      </w:r>
      <w:r>
        <w:rPr>
          <w:rFonts w:ascii="Times New Roman" w:eastAsia="Calibri" w:hAnsi="Times New Roman" w:cs="Times New Roman"/>
          <w:sz w:val="28"/>
        </w:rPr>
        <w:t>ГОСТ 7237</w:t>
      </w:r>
      <w:r>
        <w:rPr>
          <w:rFonts w:ascii="Times New Roman" w:eastAsia="Calibri" w:hAnsi="Times New Roman" w:cs="Times New Roman"/>
          <w:spacing w:val="-5"/>
          <w:sz w:val="28"/>
        </w:rPr>
        <w:t>:2011</w:t>
      </w:r>
      <w:r>
        <w:rPr>
          <w:rFonts w:ascii="Times New Roman" w:eastAsia="Times New Roman" w:hAnsi="Times New Roman" w:cs="Times New Roman"/>
          <w:sz w:val="28"/>
          <w:szCs w:val="28"/>
          <w:lang w:eastAsia="ru-RU"/>
        </w:rPr>
        <w:t>, занулення − це навмисне електричне з'єднання металевих неструмоведучих частин комп'ютера, які у випадку аварії можуть виявитися під напругою, з нульовим захисним провідником</w:t>
      </w:r>
      <w:r>
        <w:rPr>
          <w:rFonts w:ascii="Times New Roman" w:eastAsia="Times New Roman" w:hAnsi="Times New Roman" w:cs="Times New Roman"/>
          <w:color w:val="FF0000"/>
          <w:sz w:val="28"/>
          <w:szCs w:val="28"/>
          <w:lang w:eastAsia="ru-RU"/>
        </w:rPr>
        <w:t>.</w:t>
      </w:r>
    </w:p>
    <w:p w:rsidR="0039038D" w:rsidRDefault="0039038D">
      <w:pPr>
        <w:shd w:val="clear" w:color="auto" w:fill="FFFFFF"/>
        <w:spacing w:after="0" w:line="360" w:lineRule="auto"/>
        <w:jc w:val="both"/>
        <w:rPr>
          <w:rFonts w:ascii="Times New Roman" w:eastAsia="Times New Roman" w:hAnsi="Times New Roman" w:cs="Times New Roman"/>
          <w:color w:val="FF0000"/>
          <w:sz w:val="28"/>
          <w:szCs w:val="28"/>
          <w:lang w:eastAsia="ru-RU"/>
        </w:rPr>
      </w:pPr>
    </w:p>
    <w:p w:rsidR="0039038D" w:rsidRDefault="008D4FA6">
      <w:pPr>
        <w:keepNext/>
        <w:keepLines/>
        <w:spacing w:after="0" w:line="360" w:lineRule="auto"/>
        <w:ind w:left="1565"/>
        <w:outlineLvl w:val="1"/>
        <w:rPr>
          <w:rFonts w:ascii="Times New Roman" w:eastAsia="Times New Roman" w:hAnsi="Times New Roman" w:cs="Times New Roman"/>
          <w:b/>
          <w:sz w:val="28"/>
          <w:szCs w:val="26"/>
        </w:rPr>
      </w:pPr>
      <w:bookmarkStart w:id="4" w:name="_Toc465709332"/>
      <w:r>
        <w:rPr>
          <w:rFonts w:ascii="Times New Roman" w:eastAsia="Times New Roman" w:hAnsi="Times New Roman" w:cs="Times New Roman"/>
          <w:b/>
          <w:sz w:val="28"/>
          <w:szCs w:val="26"/>
          <w:lang w:val="ru-RU"/>
        </w:rPr>
        <w:t>4.</w:t>
      </w:r>
      <w:r>
        <w:rPr>
          <w:rFonts w:ascii="Times New Roman" w:eastAsia="Times New Roman" w:hAnsi="Times New Roman" w:cs="Times New Roman"/>
          <w:b/>
          <w:sz w:val="28"/>
          <w:szCs w:val="26"/>
        </w:rPr>
        <w:t>4</w:t>
      </w:r>
      <w:r>
        <w:rPr>
          <w:rFonts w:ascii="Times New Roman" w:eastAsia="Times New Roman" w:hAnsi="Times New Roman" w:cs="Times New Roman"/>
          <w:b/>
          <w:sz w:val="28"/>
          <w:szCs w:val="26"/>
        </w:rPr>
        <w:tab/>
        <w:t>Пожежна безпека</w:t>
      </w:r>
      <w:bookmarkEnd w:id="4"/>
    </w:p>
    <w:p w:rsidR="0039038D" w:rsidRDefault="008D4FA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зв’язку з поширенням комп’ютерної техніки, що може привести до загоряння, треба передбачати можливі наслідки і розробляти заходи щодо їх попередження. Причинами загоряння стають: несправність електричного обладнання, пошкодження ізоляції, коротке замикання кола струму, перегрів </w:t>
      </w:r>
      <w:r>
        <w:rPr>
          <w:rFonts w:ascii="Times New Roman" w:eastAsia="Times New Roman" w:hAnsi="Times New Roman" w:cs="Times New Roman"/>
          <w:sz w:val="28"/>
          <w:szCs w:val="28"/>
          <w:lang w:eastAsia="ru-RU"/>
        </w:rPr>
        <w:lastRenderedPageBreak/>
        <w:t>проводів, поганий контакт в місцях з’єднання; розряди статичної електрики, які особливо небезпечні в вибухонебезпечних приміщеннях, блискавка.</w:t>
      </w:r>
    </w:p>
    <w:p w:rsidR="0039038D" w:rsidRDefault="008D4FA6">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Пожежна безпека забезпечується наступними мірами:</w:t>
      </w:r>
    </w:p>
    <w:p w:rsidR="0039038D" w:rsidRDefault="008D4FA6">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системою запобігання пожеж;</w:t>
      </w:r>
    </w:p>
    <w:p w:rsidR="0039038D" w:rsidRDefault="008D4FA6">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системою пожежного захисту;</w:t>
      </w:r>
    </w:p>
    <w:p w:rsidR="0039038D" w:rsidRDefault="008D4FA6">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організаційними заходами щодо пожежної безпеки;</w:t>
      </w:r>
    </w:p>
    <w:p w:rsidR="0039038D" w:rsidRDefault="008D4FA6">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Система запобігання пожеж передбачає запобігання утворенню пального середовища і запобігання утворенню в пальному середовищі джерел запалювання.</w:t>
      </w:r>
    </w:p>
    <w:p w:rsidR="0039038D" w:rsidRDefault="008D4FA6">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зменшення небезпеки утворення в пальному середовищі джерел запалювання передбачено:</w:t>
      </w:r>
    </w:p>
    <w:p w:rsidR="0039038D" w:rsidRDefault="008D4FA6">
      <w:pPr>
        <w:numPr>
          <w:ilvl w:val="2"/>
          <w:numId w:val="9"/>
        </w:num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використання електроустаткування, що відповідає класу пожежа небезпечної зони приміщення П–ІІа за ПУЕ та НПАОП 40.1–1.32–01: ступінь захисту електроапаратури не менш ІP–44, ступінь захисту світильників ІР–2Х;</w:t>
      </w:r>
    </w:p>
    <w:p w:rsidR="0039038D" w:rsidRDefault="008D4FA6">
      <w:pPr>
        <w:numPr>
          <w:ilvl w:val="2"/>
          <w:numId w:val="9"/>
        </w:num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забезпечення захисту від короткого замикання (контроль і профілактика ізоляції, використання запобіжників);</w:t>
      </w:r>
    </w:p>
    <w:p w:rsidR="0039038D" w:rsidRDefault="008D4FA6">
      <w:pPr>
        <w:numPr>
          <w:ilvl w:val="2"/>
          <w:numId w:val="9"/>
        </w:num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вибір перетину провідників по максимально допустимому нагріванню.</w:t>
      </w:r>
    </w:p>
    <w:p w:rsidR="0039038D" w:rsidRDefault="008D4FA6">
      <w:pPr>
        <w:numPr>
          <w:ilvl w:val="2"/>
          <w:numId w:val="9"/>
        </w:num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будівлі, в яких встановлено обладнання інформаційних технологій чи будь–яке інше електронне обладнання, чутливе до атмосферних перешкод, незалежно від кількості уражень об’єктів за рік потребує І або ІІ рівня блискавка захисту (</w:t>
      </w:r>
      <w:r>
        <w:rPr>
          <w:rFonts w:ascii="Times New Roman" w:eastAsia="Times New Roman" w:hAnsi="Times New Roman" w:cs="Times New Roman"/>
          <w:sz w:val="28"/>
          <w:szCs w:val="28"/>
          <w:lang w:eastAsia="ru-RU"/>
        </w:rPr>
        <w:t>ДСТУ БВ.2.5–38:2008</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ru-RU"/>
        </w:rPr>
        <w:t>.</w:t>
      </w:r>
    </w:p>
    <w:p w:rsidR="0039038D" w:rsidRDefault="008D4FA6">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Система протипожежного захисту призначена для локалізації та гасіння пожежі. При виборі засобів гасіння пожежі для забезпечення безпеки людини від можливості поразки електричним струмом у приміщенні відповідно вимог</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8"/>
          <w:szCs w:val="28"/>
          <w:lang w:eastAsia="ru-RU"/>
        </w:rPr>
        <w:t>НАПБ А.01.001–2014 передбачено використання вуглекислотних вогнегасник</w:t>
      </w:r>
      <w:r>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 xml:space="preserve">в ВВК–5. Вогнегасник знаходиться на видному і легко доступному місці. При виникненні пожежі передбачені можливості аварійного відключення апаратури і комунікацій та повідомлення в пожежну охорону по телефону. У якості сповіщувачів використовуються система автоматичної пожежної сигналізації відповідно вимог НАПБ Б.06.004–2005. Ступінь вогнестійкості будинку ІІ, що </w:t>
      </w:r>
      <w:r>
        <w:rPr>
          <w:rFonts w:ascii="Times New Roman" w:eastAsia="Times New Roman" w:hAnsi="Times New Roman" w:cs="Times New Roman"/>
          <w:sz w:val="28"/>
          <w:szCs w:val="28"/>
          <w:lang w:eastAsia="ru-RU"/>
        </w:rPr>
        <w:lastRenderedPageBreak/>
        <w:t>відповідає вимогам НПАОП 0.00–1.28–2010, згідно яких комп’ютери повинно розташовувати в будівлях не нижче ІІ ступеню (ДБН В.1.1–7–2016). У приміщенні є два незалежних виходи для евакуації людей під час пожежі.</w:t>
      </w:r>
    </w:p>
    <w:p w:rsidR="0039038D" w:rsidRDefault="008D4FA6">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Організаційними заходами протипожежної профілактики є вступний інструктаж при надходженні на роботу, навчання виробничого персоналу протипожежним правилам, видання необхідних інструкцій і плакатів, засобів наочної агітації, наявність плану евакуації.</w:t>
      </w:r>
    </w:p>
    <w:p w:rsidR="0039038D" w:rsidRDefault="0039038D">
      <w:pPr>
        <w:shd w:val="clear" w:color="auto" w:fill="FFFFFF"/>
        <w:spacing w:after="0" w:line="360" w:lineRule="auto"/>
        <w:ind w:firstLine="567"/>
        <w:jc w:val="both"/>
        <w:rPr>
          <w:rFonts w:ascii="Times New Roman" w:eastAsia="Times New Roman" w:hAnsi="Times New Roman" w:cs="Times New Roman"/>
          <w:sz w:val="28"/>
          <w:szCs w:val="28"/>
          <w:lang w:eastAsia="ru-RU"/>
        </w:rPr>
      </w:pPr>
    </w:p>
    <w:p w:rsidR="0039038D" w:rsidRDefault="008D4FA6">
      <w:pPr>
        <w:keepNext/>
        <w:keepLines/>
        <w:spacing w:after="0" w:line="360" w:lineRule="auto"/>
        <w:ind w:left="1069"/>
        <w:outlineLvl w:val="1"/>
        <w:rPr>
          <w:rFonts w:ascii="Times New Roman" w:eastAsia="Times New Roman" w:hAnsi="Times New Roman" w:cs="Times New Roman"/>
          <w:b/>
          <w:sz w:val="28"/>
          <w:szCs w:val="26"/>
        </w:rPr>
      </w:pPr>
      <w:bookmarkStart w:id="5" w:name="_Toc465709333"/>
      <w:r>
        <w:rPr>
          <w:rFonts w:ascii="Times New Roman" w:eastAsia="Times New Roman" w:hAnsi="Times New Roman" w:cs="Times New Roman"/>
          <w:b/>
          <w:sz w:val="28"/>
          <w:szCs w:val="26"/>
        </w:rPr>
        <w:t>4.5 Охорона навколишнього середовища</w:t>
      </w:r>
      <w:bookmarkEnd w:id="5"/>
    </w:p>
    <w:p w:rsidR="0039038D" w:rsidRDefault="008D4FA6">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Ще однією важливою функцією державного регулювання є захист навколишнього середовища.</w:t>
      </w:r>
    </w:p>
    <w:p w:rsidR="0039038D" w:rsidRDefault="008D4FA6">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Охорона навколишнього середовища являє собою форму відносин між суспільством і природою. Вона здійснюється різними засобами: економічними, правовими, науково–технічними, санітарно–гігієнічними, біологічними та іншими.</w:t>
      </w:r>
    </w:p>
    <w:p w:rsidR="0039038D" w:rsidRDefault="0039038D">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p>
    <w:p w:rsidR="0039038D" w:rsidRDefault="008D4FA6">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загальному випадку проблема охорони навколишнього середовища зводиться до вирішення двох завдань:</w:t>
      </w:r>
    </w:p>
    <w:p w:rsidR="0039038D" w:rsidRDefault="008D4FA6">
      <w:pPr>
        <w:pStyle w:val="ac"/>
        <w:numPr>
          <w:ilvl w:val="0"/>
          <w:numId w:val="33"/>
        </w:numPr>
        <w:shd w:val="clear" w:color="auto" w:fill="FFFFFF"/>
        <w:spacing w:after="0" w:line="360" w:lineRule="auto"/>
        <w:ind w:left="567"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організації раціонального природокористування;</w:t>
      </w:r>
    </w:p>
    <w:p w:rsidR="0039038D" w:rsidRDefault="008D4FA6">
      <w:pPr>
        <w:pStyle w:val="ac"/>
        <w:numPr>
          <w:ilvl w:val="0"/>
          <w:numId w:val="33"/>
        </w:numPr>
        <w:shd w:val="clear" w:color="auto" w:fill="FFFFFF"/>
        <w:spacing w:after="0" w:line="360" w:lineRule="auto"/>
        <w:ind w:left="567"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забезпечення чистоти природних (екологічних) систем. При здійсненні різних видів економічної діяльності суб'єкти господарювання використовують різноманітні природні ресурси: землю, воду, корисні копалини тощо. Проте ресурси ці обмежені. Обмеженість природних ресурсів була і залишається головною і дуже жорсткою умовою, що накладається на розвиток економіки і відповідно зростання суспільного добробуту.</w:t>
      </w:r>
    </w:p>
    <w:p w:rsidR="0039038D" w:rsidRDefault="008D4FA6">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Наслідком обмеженості природних ресурсів є конкуренція за їх застосування, тобто суперництво між альтернативними цілями використання ресурсів. Адже майже всі ресурси можуть використовуватися для задоволення найрізноманітніших потреб.</w:t>
      </w:r>
    </w:p>
    <w:p w:rsidR="0039038D" w:rsidRDefault="008D4FA6">
      <w:pPr>
        <w:shd w:val="clear" w:color="auto" w:fill="FFFFFF"/>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Закон України «Про охорону навколишнього природного середовища» — закон України, що визначає правові, економічні та соціальні основи організації охорони природи навколишнього природного середовища в інтересах нинішнього і майбутніх поколінь.</w:t>
      </w:r>
    </w:p>
    <w:p w:rsidR="0039038D" w:rsidRDefault="008D4FA6">
      <w:pPr>
        <w:shd w:val="clear" w:color="auto" w:fill="FFFFFF"/>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Закон встановлює, що завданням законодавства про охорону навколишнього природного середовища є регулювання відносин у галузі охорони, використання і відтворення природних ресурсів, забезпечення екологічної безпеки, запобігання і ліквідації негативного впливу господарської та іншої діяльності на навколишнє природне середовище, збереження природних ресурсів, генетичного фонду живої природи, ландшафтів та інших природних комплексів, унікальних територій та природних об'єктів, пов'язаних з історико–культурною спадщиною. Прийнятий 25 червня 1991 року, N 1264–XII.</w:t>
      </w:r>
    </w:p>
    <w:p w:rsidR="0039038D" w:rsidRDefault="008D4FA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масовому використанні моніторів та комп’ютерів не можна не враховувати їхній вплив на навколишнє середовище на всіх стадіях – при виготовленні, експлуатації та після закінчення терміну служби.</w:t>
      </w:r>
    </w:p>
    <w:p w:rsidR="0039038D" w:rsidRDefault="008D4FA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Міжнародні екологічні стандарти, що діють на сьогоднішній день в усьому світі, визначають набір обмежень до технологій виробництва та матеріалів, які можуть використовуватися в конструкціях пристроїв. Так, за стандартом ТСО–95, вони не повинні містити фреонів (турбота про озоновий шар), полівінілхлориді, бромідів (як засобів захисту від загоряння).</w:t>
      </w:r>
    </w:p>
    <w:p w:rsidR="0039038D" w:rsidRDefault="008D4FA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стандарті ТСО–99 закладене обмеження за кадмієм у світлочутливому шарі екрана дисплея та ртуті в батарейках; э чіткі вказівки відносно пластмас, лаків та покриттів, що використовуються. Поверхня кнопок не повинна містити хром, нікель та інші матеріали, які визивають алергічну реакцію. ГДК пилу дорівнює 0,15 мг/м</w:t>
      </w:r>
      <w:r>
        <w:rPr>
          <w:rFonts w:ascii="Times New Roman" w:eastAsia="Times New Roman" w:hAnsi="Times New Roman" w:cs="Times New Roman"/>
          <w:sz w:val="28"/>
          <w:szCs w:val="28"/>
          <w:vertAlign w:val="superscript"/>
          <w:lang w:eastAsia="ru-RU"/>
        </w:rPr>
        <w:t>3</w:t>
      </w:r>
      <w:r>
        <w:rPr>
          <w:rFonts w:ascii="Times New Roman" w:eastAsia="Times New Roman" w:hAnsi="Times New Roman" w:cs="Times New Roman"/>
          <w:sz w:val="28"/>
          <w:szCs w:val="28"/>
          <w:lang w:eastAsia="ru-RU"/>
        </w:rPr>
        <w:t>, рекомендовано 0,075 мг/м</w:t>
      </w:r>
      <w:r>
        <w:rPr>
          <w:rFonts w:ascii="Times New Roman" w:eastAsia="Times New Roman" w:hAnsi="Times New Roman" w:cs="Times New Roman"/>
          <w:sz w:val="28"/>
          <w:szCs w:val="28"/>
          <w:vertAlign w:val="superscript"/>
          <w:lang w:eastAsia="ru-RU"/>
        </w:rPr>
        <w:t>3</w:t>
      </w:r>
      <w:r>
        <w:rPr>
          <w:rFonts w:ascii="Times New Roman" w:eastAsia="Times New Roman" w:hAnsi="Times New Roman" w:cs="Times New Roman"/>
          <w:sz w:val="28"/>
          <w:szCs w:val="28"/>
          <w:lang w:eastAsia="ru-RU"/>
        </w:rPr>
        <w:t>; ГДК озону під час роботи лазерного принтеру − 0,02 мг/м</w:t>
      </w:r>
      <w:r>
        <w:rPr>
          <w:rFonts w:ascii="Times New Roman" w:eastAsia="Times New Roman" w:hAnsi="Times New Roman" w:cs="Times New Roman"/>
          <w:sz w:val="28"/>
          <w:szCs w:val="28"/>
          <w:vertAlign w:val="superscript"/>
          <w:lang w:eastAsia="ru-RU"/>
        </w:rPr>
        <w:t>3</w:t>
      </w:r>
      <w:r>
        <w:rPr>
          <w:rFonts w:ascii="Times New Roman" w:eastAsia="Times New Roman" w:hAnsi="Times New Roman" w:cs="Times New Roman"/>
          <w:sz w:val="28"/>
          <w:szCs w:val="28"/>
          <w:lang w:eastAsia="ru-RU"/>
        </w:rPr>
        <w:t xml:space="preserve">. Особливо жорсткі вимоги до повторно використовуваних матеріалів. </w:t>
      </w:r>
    </w:p>
    <w:p w:rsidR="0039038D" w:rsidRDefault="008D4FA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Міжнародні стандарти, починаючи з ТСО–92, включають вимоги зниженого енергоспоживання та обмеження припустимих рівнів потужності, що споживаються у неактивних режимах.</w:t>
      </w:r>
    </w:p>
    <w:p w:rsidR="0039038D" w:rsidRDefault="008D4FA6">
      <w:pPr>
        <w:shd w:val="clear" w:color="auto" w:fill="FFFFFF"/>
        <w:spacing w:after="0" w:line="36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Дотримання приведених нормативних параметрів небезпечних і шкідливих виробничих факторів дозволить забезпечити більш здорові і безпечні умови роботи користувача ЕОМ.</w:t>
      </w:r>
    </w:p>
    <w:p w:rsidR="0039038D" w:rsidRDefault="0039038D">
      <w:pPr>
        <w:shd w:val="clear" w:color="auto" w:fill="FFFFFF"/>
        <w:spacing w:after="0" w:line="360" w:lineRule="auto"/>
        <w:ind w:firstLine="709"/>
        <w:contextualSpacing/>
        <w:jc w:val="both"/>
        <w:rPr>
          <w:rFonts w:ascii="Times New Roman" w:hAnsi="Times New Roman" w:cs="Times New Roman"/>
          <w:sz w:val="24"/>
          <w:szCs w:val="24"/>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8D4FA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5 ЦИВІЛЬНИЙ ЗАХИСТ</w:t>
      </w:r>
    </w:p>
    <w:p w:rsidR="0039038D" w:rsidRDefault="0039038D">
      <w:pPr>
        <w:spacing w:after="0" w:line="360" w:lineRule="auto"/>
        <w:rPr>
          <w:rFonts w:ascii="Times New Roman" w:hAnsi="Times New Roman" w:cs="Times New Roman"/>
          <w:sz w:val="28"/>
          <w:szCs w:val="28"/>
        </w:rPr>
      </w:pP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Цивільний захист — функція держави, спрямована на захист населення, територій, навколишнього природного середовища та майна від надзвичайних ситуацій шляхом запобігання таким ситуаціям, ліквідації їх наслідків і надання допомоги постраждалим у мирний час та в особливий період [38].</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даному розділі дипломної роботи розглядається питання: «Навчання персоналу діям цивільного захисту на об’єкті господарювання».</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Питання цивільного захисту в рамках підприємств є актуальними, тому що за кожну дію, виконану співробітниками, відповідає безпосереднє керівництво, яке повинно створити систему формування у підлеглих компетентностей з питань цивільної безпеки, які дадуть змогу вчасно визначати небезпеки та адекватно реагувати на них, а також створювати безпечне середовище для роботи.</w:t>
      </w:r>
    </w:p>
    <w:p w:rsidR="0039038D" w:rsidRDefault="008D4FA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На підприємствах, в установах та організаціях незалежно від форм власності і господарювання у сфері ЦЗ проводять такі заходи:</w:t>
      </w:r>
    </w:p>
    <w:p w:rsidR="0039038D" w:rsidRDefault="008D4FA6">
      <w:pPr>
        <w:pStyle w:val="ac"/>
        <w:numPr>
          <w:ilvl w:val="0"/>
          <w:numId w:val="56"/>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планування і здійснення заходів щодо безпеки і захисту працівників від НС, зниження ризиків аварій, забезпечення сталого функціонування об’єкта в НС;</w:t>
      </w:r>
    </w:p>
    <w:p w:rsidR="0039038D" w:rsidRDefault="008D4FA6">
      <w:pPr>
        <w:pStyle w:val="ac"/>
        <w:numPr>
          <w:ilvl w:val="0"/>
          <w:numId w:val="56"/>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розроблення планів локалізації і ліквідації аварій (катастроф);</w:t>
      </w:r>
    </w:p>
    <w:p w:rsidR="0039038D" w:rsidRDefault="008D4FA6">
      <w:pPr>
        <w:pStyle w:val="ac"/>
        <w:numPr>
          <w:ilvl w:val="0"/>
          <w:numId w:val="56"/>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підтримування у готовності до застосування сил і засобів із запобігання та ліквідації наслідків НС;</w:t>
      </w:r>
    </w:p>
    <w:p w:rsidR="0039038D" w:rsidRDefault="008D4FA6">
      <w:pPr>
        <w:pStyle w:val="ac"/>
        <w:numPr>
          <w:ilvl w:val="0"/>
          <w:numId w:val="56"/>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створення матеріальних резервів на випадок НС;</w:t>
      </w:r>
    </w:p>
    <w:p w:rsidR="0039038D" w:rsidRDefault="008D4FA6">
      <w:pPr>
        <w:pStyle w:val="ac"/>
        <w:numPr>
          <w:ilvl w:val="0"/>
          <w:numId w:val="56"/>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 xml:space="preserve">забезпечення своєчасного оповіщення працівників про загрозу або виникнення НС </w:t>
      </w:r>
      <w:r>
        <w:rPr>
          <w:rFonts w:ascii="Times New Roman" w:hAnsi="Times New Roman" w:cs="Times New Roman"/>
          <w:sz w:val="28"/>
          <w:szCs w:val="28"/>
          <w:lang w:val="ru-RU"/>
        </w:rPr>
        <w:t>[39]</w:t>
      </w:r>
      <w:r>
        <w:rPr>
          <w:rFonts w:ascii="Times New Roman" w:hAnsi="Times New Roman" w:cs="Times New Roman"/>
          <w:sz w:val="28"/>
          <w:szCs w:val="28"/>
        </w:rPr>
        <w:t>.</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об’єкті господарювання розроблюють «План дій» – мотивоване рішення керівника (начальника ЦЗ об’єкта) щодо організації і здійснення цивільного захисту об’єкта. Основне завдання «Плану дій» – збереження життя і здоров’я людей, мінімізація матеріальних втрат.</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«План дій» з планом реагування (якщо він розроблений окремо) та додатками, що забезпечують організоване та чітке виконання заходів ЦЗ щодо запобігання та реагування на НС, є «Планом цивільного захисту об’єкта».</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Кабмін постановою від 26 липня 2018 р. № 592 вніс зміни до Порядку № 444. Згідно з новими вимогами працівники будуть щороку за місцем роботи проходити інструктаж з питань цивільного захисту, пожежної безпеки та дій у надзвичайних ситуаціях </w:t>
      </w:r>
      <w:r>
        <w:rPr>
          <w:rFonts w:ascii="Times New Roman" w:hAnsi="Times New Roman" w:cs="Times New Roman"/>
          <w:sz w:val="28"/>
          <w:szCs w:val="28"/>
          <w:lang w:val="ru-RU"/>
        </w:rPr>
        <w:t>[40]</w:t>
      </w:r>
      <w:r>
        <w:rPr>
          <w:rFonts w:ascii="Times New Roman" w:hAnsi="Times New Roman" w:cs="Times New Roman"/>
          <w:sz w:val="28"/>
          <w:szCs w:val="28"/>
        </w:rPr>
        <w:t xml:space="preserve">.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Посадові особи до початку виконання своїх обов’язків і періодично (один раз на три роки) мають проходити навчання та перевірку знань з питань пожежної безпеки.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Однак тепер посадовим особам не потрібно більше проходити таке навчання саме на територіальних курсах, у навчально–методичних центрах цивільного захисту та безпеки життєдіяльності або на інших підприємствах, в установах та організаціях, що мають затверджені програми навчання з питань пожежної безпеки.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Особи, яких приймають на роботу, пов’язану з підвищеною пожежною небезпекою, мають попередньо пройти спеціальне навчання (пожежно–технічний мінімум). Працівники, зайняті на роботах з підвищеною пожежною небезпекою, зобов’язані один раз на рік проходити перевірку знань нормативних актів з пожежної безпеки</w:t>
      </w:r>
      <w:r>
        <w:rPr>
          <w:rFonts w:ascii="Times New Roman" w:hAnsi="Times New Roman" w:cs="Times New Roman"/>
          <w:sz w:val="28"/>
          <w:szCs w:val="28"/>
          <w:lang w:val="ru-RU"/>
        </w:rPr>
        <w:t xml:space="preserve"> [39]</w:t>
      </w:r>
      <w:r>
        <w:rPr>
          <w:rFonts w:ascii="Times New Roman" w:hAnsi="Times New Roman" w:cs="Times New Roman"/>
          <w:sz w:val="28"/>
          <w:szCs w:val="28"/>
        </w:rPr>
        <w:t>.</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Освітні групи складаються із співробітників, що входять до складу спеціалізованих служб і формувань ЦЗ.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належної організації навчання в організаціях створюють і ведуть планувальну, облікову та звітну документацію.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Особи, яких залучають організації (в т. ч. по договору) до викладання інструктажів, навчання і перевірки знань з ЦЗ, ПБ та техногенної безпеки, повинні пройти спецпідготовку в місцевих курсах, у навчально–методичних центрах ЦЗ та безпеки життєдіяльності.</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Програми підготовки співробітників до дій у НС розробляють та затверджують організації на основі програм та організаційно–методичних вказівок з підготовки населення до дій у НС, що розробляють та затверджують </w:t>
      </w:r>
      <w:r>
        <w:rPr>
          <w:rFonts w:ascii="Times New Roman" w:hAnsi="Times New Roman" w:cs="Times New Roman"/>
          <w:sz w:val="28"/>
          <w:szCs w:val="28"/>
        </w:rPr>
        <w:lastRenderedPageBreak/>
        <w:t>ДСНС, Рада міністрів АРК, територіальні держадміністрації, органи місцевого самоврядування.</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Програми підготовки працівників до дій у НС класифікуються за 5–ма видами </w:t>
      </w:r>
      <w:r>
        <w:rPr>
          <w:rFonts w:ascii="Times New Roman" w:hAnsi="Times New Roman" w:cs="Times New Roman"/>
          <w:sz w:val="28"/>
          <w:szCs w:val="28"/>
          <w:lang w:val="ru-RU"/>
        </w:rPr>
        <w:t>[41]</w:t>
      </w:r>
      <w:r>
        <w:rPr>
          <w:rFonts w:ascii="Times New Roman" w:hAnsi="Times New Roman" w:cs="Times New Roman"/>
          <w:sz w:val="28"/>
          <w:szCs w:val="28"/>
        </w:rPr>
        <w:t xml:space="preserve">: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Програма загальної підготовки співробітників організацій передбачає вивчення матеріалів, які знаходяться у планах реагування на НС, про дії в умовах загрози і виникнення НС, а також оволодіння навичками надання першої домедичної допомоги постраждалим, використання ЗІЗ.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Програма спецпідготовки співробітників, що входять до складу спеціалізованих служб і формувань ЦЗ, вбачає ознайомлення з обов’язками, навичками користування та матчастиною техніки, приладів і табельного майна таких служб і формувань, ЗІЗ, вивчення порядку приведення їх у готовність, проведення рятівних та інших невідкладних робіт.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Програма додаткової підготовки з техногенної безпеки співробітників об’єктів ‘що потенційно небезпечні та можуть викликати НС на об’єкті підвищеної небезпеки, та шкідливих речовин, що виготовляються, переробляються, зберігаються чи перевозяться на його території.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Програма пожежно–технічного мінімуму для співробітників, зайнятих на роботах з підвищеною пожежною небезпекою, передбачає підвищення рівня загальних пожежно–технічних знань, вивчення правил ПБ з врахуванням тонкощів виробництва, ознайомлення з протипожежними заходами та діями у разі виникнення пожежі, оволодіння навичками використання засобів пожежогасіння.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 Програма прискореної підготовки працівників до дій в особливий період передбачає навчання способам захисту від наслідків НС, спричинених застосуванням засобів ураження в особливий період, що здійснюється підприємствами, які продовжують роботу у воєнний час, і розпочинається одночасно з введенням в дію планів цивільного захисту на особливий період [41].</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Керівництво об'єкту господарювання (організації, підприємства, установи) незалежно від форм власності й підпорядкування повинно забезпечувати своїх підлеглих засобами колективного та індивідуального захисту, а також </w:t>
      </w:r>
      <w:r>
        <w:rPr>
          <w:rFonts w:ascii="Times New Roman" w:hAnsi="Times New Roman" w:cs="Times New Roman"/>
          <w:sz w:val="28"/>
          <w:szCs w:val="28"/>
        </w:rPr>
        <w:lastRenderedPageBreak/>
        <w:t>організовувати здійснення евакозаходів та створення груп на підприємстві для ліквідації наслідків надзвичайних ситуацій та забезпечує готовність особового складу до практичних дій, а також виконує інші практичні дії [2].</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проведення перевірки засвоєння працівниками змісту Програми загальної підготовки наказом керівника створюється комісія з перевірки загальної підготовки працівників до дій у НС. До складу комісії обов’язково має входити фахівець, діяльність якого пов’язана з організацією та здійсненням заходів із питань цивільного захисту ЦООВ (суб’єкта господарювання). </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Перелік питань для перевірки знань із питань цивільного захисту розробляється комісією з перевірки загальної підготовки працівників до дій у НС і затверджується керівником. Перевірка знань за змістом Програми проводиться шляхом тестування або заліку в усній або письмовій формі та оформлюється протоколом комісії з перевірки загальної підготовки працівників до дій у НС.</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 метою організації заходів цивільного захисту суб'єктом господарювання, віднесеним до відповідної категорії цивільного захисту, його керівником утворюється підрозділ з питань цивільного захисту. Такий підрозділ має бути самостійною структурною одиницею суб'єкта господарювання. У випадках, передбачених Кодексом цивільного захисту України, призначається уповноважена особа з питань цивільного захисту. При цьому підрозділ утримується за рахунок коштів суб'єкта господарювання.</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Такий підрозділ має очолювати керівник, який призначається на посаду та звільняється з посади керівником суб'єкта господарювання відповідно до законодавства. Керівник підрозділу повинен мати повну вищу освіту та стаж роботи у сфері цивільного захисту не менше двох років.</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Підрозділ з питань цивільного захисту повинен бути підпорядкований і підзвітний безпосередньо керівникові суб'єкта господарювання. По суті ж він повинен бути об'єктовим постійно діючим органом управління цивільного захисту, до повноважень якого належать питання організації, здійснення та контролю заходів цивільного захисту [42].</w:t>
      </w:r>
    </w:p>
    <w:p w:rsidR="0039038D" w:rsidRDefault="008D4F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Таким чином, навчання питанням Цивільного Захисту на об’єктах господарювання є важливою складовою його ефективного функціонування. </w:t>
      </w:r>
      <w:r>
        <w:rPr>
          <w:rFonts w:ascii="Times New Roman" w:hAnsi="Times New Roman" w:cs="Times New Roman"/>
          <w:sz w:val="28"/>
          <w:szCs w:val="28"/>
        </w:rPr>
        <w:lastRenderedPageBreak/>
        <w:t>Чинне Законодавство та створення, належним чином, власної концепції навчання на підприємстві сприяє отриманню практичних навичок, які допоможуть діяти  в умовах надзвичайних ситуаціях.</w:t>
      </w:r>
    </w:p>
    <w:p w:rsidR="0039038D" w:rsidRDefault="0039038D">
      <w:pPr>
        <w:spacing w:after="0"/>
      </w:pPr>
    </w:p>
    <w:p w:rsidR="0039038D" w:rsidRDefault="0039038D">
      <w:pPr>
        <w:spacing w:after="0"/>
      </w:pPr>
    </w:p>
    <w:p w:rsidR="0039038D" w:rsidRDefault="0039038D">
      <w:pPr>
        <w:spacing w:after="0"/>
      </w:pPr>
    </w:p>
    <w:p w:rsidR="0039038D" w:rsidRDefault="0039038D">
      <w:pPr>
        <w:spacing w:after="0"/>
      </w:pPr>
    </w:p>
    <w:p w:rsidR="0039038D" w:rsidRDefault="0039038D">
      <w:pPr>
        <w:spacing w:after="0"/>
      </w:pPr>
    </w:p>
    <w:p w:rsidR="0039038D" w:rsidRDefault="0039038D">
      <w:pPr>
        <w:spacing w:after="0"/>
      </w:pPr>
    </w:p>
    <w:p w:rsidR="0039038D" w:rsidRDefault="0039038D">
      <w:pPr>
        <w:spacing w:after="0"/>
      </w:pPr>
    </w:p>
    <w:p w:rsidR="0039038D" w:rsidRDefault="0039038D">
      <w:pPr>
        <w:spacing w:after="0"/>
      </w:pPr>
    </w:p>
    <w:p w:rsidR="0039038D" w:rsidRDefault="0039038D">
      <w:pPr>
        <w:spacing w:after="0"/>
      </w:pPr>
    </w:p>
    <w:p w:rsidR="0039038D" w:rsidRDefault="0039038D">
      <w:pPr>
        <w:spacing w:after="0"/>
        <w:jc w:val="center"/>
      </w:pPr>
    </w:p>
    <w:p w:rsidR="0039038D" w:rsidRDefault="0039038D">
      <w:pPr>
        <w:spacing w:after="0" w:line="360" w:lineRule="auto"/>
        <w:ind w:firstLine="567"/>
        <w:jc w:val="both"/>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39038D">
      <w:pPr>
        <w:spacing w:after="0" w:line="360" w:lineRule="auto"/>
        <w:rPr>
          <w:rFonts w:ascii="Times New Roman" w:hAnsi="Times New Roman" w:cs="Times New Roman"/>
          <w:sz w:val="28"/>
          <w:szCs w:val="28"/>
        </w:rPr>
      </w:pPr>
    </w:p>
    <w:p w:rsidR="0039038D" w:rsidRDefault="008D4FA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w:t>
      </w:r>
    </w:p>
    <w:p w:rsidR="0039038D" w:rsidRDefault="0039038D">
      <w:pPr>
        <w:spacing w:after="0" w:line="360" w:lineRule="auto"/>
        <w:jc w:val="center"/>
        <w:rPr>
          <w:rFonts w:ascii="Times New Roman" w:hAnsi="Times New Roman" w:cs="Times New Roman"/>
          <w:sz w:val="28"/>
          <w:szCs w:val="28"/>
        </w:rPr>
      </w:pPr>
    </w:p>
    <w:p w:rsidR="0039038D" w:rsidRPr="00B10124" w:rsidRDefault="008D4FA6">
      <w:pPr>
        <w:spacing w:after="0" w:line="360" w:lineRule="auto"/>
        <w:ind w:firstLine="567"/>
        <w:jc w:val="both"/>
      </w:pPr>
      <w:r w:rsidRPr="00B10124">
        <w:rPr>
          <w:rFonts w:ascii="Times New Roman" w:hAnsi="Times New Roman" w:cs="Times New Roman"/>
          <w:sz w:val="28"/>
          <w:szCs w:val="28"/>
        </w:rPr>
        <w:t xml:space="preserve">Проведене в дипломній роботі дослідження  дає можливість зробити наступні висновки. </w:t>
      </w:r>
    </w:p>
    <w:p w:rsidR="0039038D" w:rsidRPr="00B10124" w:rsidRDefault="008D4FA6" w:rsidP="00B10124">
      <w:pPr>
        <w:spacing w:after="0" w:line="360" w:lineRule="auto"/>
        <w:ind w:firstLine="567"/>
        <w:jc w:val="both"/>
      </w:pPr>
      <w:r w:rsidRPr="00B10124">
        <w:rPr>
          <w:rFonts w:ascii="Times New Roman" w:hAnsi="Times New Roman" w:cs="Times New Roman"/>
          <w:sz w:val="28"/>
          <w:szCs w:val="28"/>
        </w:rPr>
        <w:t xml:space="preserve">1. </w:t>
      </w:r>
      <w:r>
        <w:rPr>
          <w:rFonts w:ascii="Times New Roman" w:hAnsi="Times New Roman" w:cs="Times New Roman"/>
          <w:sz w:val="28"/>
          <w:szCs w:val="28"/>
        </w:rPr>
        <w:t xml:space="preserve">Необхідність прискореної комерціалізації найбільш перспективних інноваційних технологій викликана загостренням конкуренції на світових ринках в умовах бурхливого розвитку науки і техніки, що супроводжується величезною кількістю нових ідей, винаходів і відкриттів. Процес комерціалізації інновацій вимагає залучення значних інвестицій, ефективність вкладення яких схильна до безлічі ризиків (фінансових, технічних, організаційних, ринкових та ін.). </w:t>
      </w:r>
      <w:r w:rsidRPr="00B10124">
        <w:rPr>
          <w:rFonts w:ascii="Times New Roman" w:hAnsi="Times New Roman" w:cs="Times New Roman"/>
          <w:sz w:val="28"/>
          <w:szCs w:val="28"/>
        </w:rPr>
        <w:t xml:space="preserve">Основні прибутки багатьох компаній та наукових установ сьогодні приносять технології. Давно відомі форми та механізми комерціалізації технологій, але використання нових можливостей та інструментарію дозволяє отримувати деякі переваги розробникам та правоволодільцям. </w:t>
      </w:r>
    </w:p>
    <w:p w:rsidR="0039038D" w:rsidRPr="00B10124" w:rsidRDefault="008D4FA6">
      <w:pPr>
        <w:spacing w:after="0" w:line="360" w:lineRule="auto"/>
        <w:ind w:firstLine="567"/>
        <w:jc w:val="both"/>
      </w:pPr>
      <w:r w:rsidRPr="00B10124">
        <w:rPr>
          <w:rFonts w:ascii="Times New Roman" w:hAnsi="Times New Roman" w:cs="Times New Roman"/>
          <w:sz w:val="28"/>
          <w:szCs w:val="28"/>
        </w:rPr>
        <w:t>В рамках дипломної роботи була досліджена загальна методологія побудови патентних ландшафтів</w:t>
      </w:r>
      <w:r w:rsidR="00B10124" w:rsidRPr="00B10124">
        <w:rPr>
          <w:rFonts w:ascii="Times New Roman" w:hAnsi="Times New Roman" w:cs="Times New Roman"/>
          <w:sz w:val="28"/>
          <w:szCs w:val="28"/>
        </w:rPr>
        <w:t xml:space="preserve">, </w:t>
      </w:r>
      <w:r w:rsidRPr="00B10124">
        <w:rPr>
          <w:rFonts w:ascii="Times New Roman" w:hAnsi="Times New Roman" w:cs="Times New Roman"/>
          <w:sz w:val="28"/>
          <w:szCs w:val="28"/>
        </w:rPr>
        <w:t>яка включає наступні етапи:</w:t>
      </w:r>
    </w:p>
    <w:p w:rsidR="0039038D" w:rsidRDefault="008D4FA6">
      <w:pPr>
        <w:spacing w:after="0" w:line="360" w:lineRule="auto"/>
        <w:ind w:left="567" w:firstLine="426"/>
        <w:jc w:val="both"/>
        <w:rPr>
          <w:rFonts w:ascii="Times New Roman" w:hAnsi="Times New Roman" w:cs="Times New Roman"/>
          <w:sz w:val="28"/>
          <w:szCs w:val="28"/>
        </w:rPr>
      </w:pPr>
      <w:r>
        <w:rPr>
          <w:rFonts w:ascii="Times New Roman" w:hAnsi="Times New Roman" w:cs="Times New Roman"/>
          <w:sz w:val="28"/>
          <w:szCs w:val="28"/>
        </w:rPr>
        <w:t xml:space="preserve"> •  1 етап. Визначення головної мети дослідження і аналіз визначеної інформації по даній темі.  </w:t>
      </w:r>
    </w:p>
    <w:p w:rsidR="0039038D" w:rsidRDefault="008D4FA6">
      <w:pPr>
        <w:spacing w:after="0" w:line="360" w:lineRule="auto"/>
        <w:ind w:left="567" w:firstLine="426"/>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2 етап: Проведення патентного пошуку та створення ландшафту.</w:t>
      </w:r>
    </w:p>
    <w:p w:rsidR="0039038D" w:rsidRDefault="008D4FA6">
      <w:pPr>
        <w:spacing w:after="0" w:line="360" w:lineRule="auto"/>
        <w:ind w:left="567" w:firstLine="426"/>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3 етап: доопрацювання отриманих даних.</w:t>
      </w:r>
    </w:p>
    <w:p w:rsidR="0039038D" w:rsidRDefault="008D4FA6">
      <w:pPr>
        <w:spacing w:after="0" w:line="360" w:lineRule="auto"/>
        <w:ind w:left="567" w:firstLine="426"/>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4 етап: дослідження патентної колекції.</w:t>
      </w:r>
    </w:p>
    <w:p w:rsidR="0039038D" w:rsidRDefault="008D4FA6">
      <w:pPr>
        <w:spacing w:after="0" w:line="360" w:lineRule="auto"/>
        <w:ind w:left="567" w:firstLine="426"/>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5 етап: візуалізація результатів аналізу.</w:t>
      </w:r>
    </w:p>
    <w:p w:rsidR="0039038D" w:rsidRDefault="008D4FA6">
      <w:pPr>
        <w:spacing w:after="0" w:line="360" w:lineRule="auto"/>
        <w:ind w:left="567" w:firstLine="426"/>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6 етап: фінальний – створення звіту патентного ландшафту.</w:t>
      </w:r>
    </w:p>
    <w:p w:rsidR="0039038D" w:rsidRPr="00B10124" w:rsidRDefault="008D4FA6">
      <w:pPr>
        <w:spacing w:after="0" w:line="360" w:lineRule="auto"/>
        <w:ind w:firstLine="567"/>
        <w:jc w:val="both"/>
      </w:pPr>
      <w:r w:rsidRPr="00B10124">
        <w:rPr>
          <w:rFonts w:ascii="Times New Roman" w:hAnsi="Times New Roman" w:cs="Times New Roman"/>
          <w:sz w:val="28"/>
          <w:szCs w:val="28"/>
        </w:rPr>
        <w:t xml:space="preserve">В роботі розглянуті сучасні аналітичні інструменти щодо створення патентних ландшафтів. Було проведено детальний аналіз, як патентних баз даних з відкритим доступом (Lens, Patentscope, Еspacenet, сайт Укрпатенту), так і комерційної (Patstat і Clarivate Innovation). На жаль, через обмежений доступ до демоверсій до платних баз даних, в нашому дослідженні  акцент в побудові патентного ландшафту, було зроблено на ресурсах з відкритим кодом. Представлені вище продукти мають непогану різноманітність способів </w:t>
      </w:r>
      <w:r w:rsidRPr="00B10124">
        <w:rPr>
          <w:rFonts w:ascii="Times New Roman" w:hAnsi="Times New Roman" w:cs="Times New Roman"/>
          <w:sz w:val="28"/>
          <w:szCs w:val="28"/>
        </w:rPr>
        <w:lastRenderedPageBreak/>
        <w:t>візуалізації результатів патентного пошуку, а тому у дослідника є можливість заглибитися в питання і зробити якісний аналіз отриманих даних.</w:t>
      </w:r>
    </w:p>
    <w:p w:rsidR="0039038D" w:rsidRDefault="008D4FA6">
      <w:pPr>
        <w:spacing w:after="0" w:line="360" w:lineRule="auto"/>
        <w:ind w:firstLine="567"/>
        <w:jc w:val="both"/>
      </w:pPr>
      <w:r w:rsidRPr="00B10124">
        <w:rPr>
          <w:rFonts w:ascii="Times New Roman" w:hAnsi="Times New Roman" w:cs="Times New Roman"/>
          <w:sz w:val="28"/>
          <w:szCs w:val="28"/>
        </w:rPr>
        <w:t xml:space="preserve">З метою практичного закріплення теоретичних досліджень було проведено інформаційно–аналітичне дослідження щодо технології Blockchain з використанням методологій візуалізації даних та  побудовано патентний ландшафт. </w:t>
      </w:r>
      <w:r>
        <w:rPr>
          <w:rFonts w:ascii="Times New Roman" w:hAnsi="Times New Roman" w:cs="Times New Roman"/>
          <w:sz w:val="28"/>
          <w:szCs w:val="28"/>
        </w:rPr>
        <w:t>Серед іншого, за результатами побудови патентного ландшафту, були зроблені наступні висновки:</w:t>
      </w:r>
      <w:r>
        <w:rPr>
          <w:rFonts w:ascii="Times New Roman" w:hAnsi="Times New Roman" w:cs="Times New Roman"/>
          <w:sz w:val="28"/>
          <w:szCs w:val="28"/>
        </w:rPr>
        <w:tab/>
      </w:r>
    </w:p>
    <w:p w:rsidR="0039038D" w:rsidRDefault="008D4FA6">
      <w:pPr>
        <w:pStyle w:val="ac"/>
        <w:numPr>
          <w:ilvl w:val="0"/>
          <w:numId w:val="23"/>
        </w:numPr>
        <w:spacing w:after="0" w:line="360" w:lineRule="auto"/>
        <w:ind w:left="57" w:firstLine="397"/>
        <w:jc w:val="both"/>
      </w:pPr>
      <w:r>
        <w:rPr>
          <w:rFonts w:ascii="Times New Roman" w:hAnsi="Times New Roman" w:cs="Times New Roman"/>
          <w:sz w:val="28"/>
          <w:szCs w:val="28"/>
        </w:rPr>
        <w:t>Технологія Blockchain, незважаючи на свою "популярність" і використання по всьому світу, до сих пір є технологією, що має усі перспективи до подальшого розвитку. Про це свідчить інтенсивність патентування нових розробок. Якщо брати за основу дані бази даних Lens, то з 2014 року, коли був доданий єдиний патентний документ в цьому напрямку, їх загальна кількість виросла (в період за один рік) зросла більш, ніж у дві тисячі разів (у 2019 році, станом на 01.12.19).</w:t>
      </w:r>
    </w:p>
    <w:p w:rsidR="0039038D" w:rsidRDefault="008D4FA6">
      <w:pPr>
        <w:pStyle w:val="ac"/>
        <w:numPr>
          <w:ilvl w:val="0"/>
          <w:numId w:val="23"/>
        </w:numPr>
        <w:spacing w:after="0" w:line="360" w:lineRule="auto"/>
        <w:ind w:left="0" w:firstLine="397"/>
        <w:jc w:val="both"/>
      </w:pPr>
      <w:r w:rsidRPr="00B10124">
        <w:rPr>
          <w:rFonts w:ascii="Times New Roman" w:hAnsi="Times New Roman" w:cs="Times New Roman"/>
          <w:sz w:val="28"/>
          <w:szCs w:val="28"/>
        </w:rPr>
        <w:t xml:space="preserve">Лідерами щодо набуття прав в цьому напрямку </w:t>
      </w:r>
      <w:r>
        <w:rPr>
          <w:rFonts w:ascii="Times New Roman" w:hAnsi="Times New Roman" w:cs="Times New Roman"/>
          <w:color w:val="C9211E"/>
          <w:sz w:val="28"/>
          <w:szCs w:val="28"/>
        </w:rPr>
        <w:t>є</w:t>
      </w:r>
      <w:r>
        <w:rPr>
          <w:rFonts w:ascii="Times New Roman" w:hAnsi="Times New Roman" w:cs="Times New Roman"/>
          <w:sz w:val="28"/>
          <w:szCs w:val="28"/>
        </w:rPr>
        <w:t xml:space="preserve"> передові ІТ держави світу, а саме Китай і США. </w:t>
      </w:r>
    </w:p>
    <w:p w:rsidR="0039038D" w:rsidRDefault="008D4FA6">
      <w:pPr>
        <w:pStyle w:val="ac"/>
        <w:numPr>
          <w:ilvl w:val="0"/>
          <w:numId w:val="23"/>
        </w:numPr>
        <w:spacing w:after="0" w:line="360" w:lineRule="auto"/>
        <w:ind w:left="0" w:firstLine="397"/>
        <w:jc w:val="both"/>
      </w:pPr>
      <w:r>
        <w:rPr>
          <w:rFonts w:ascii="Times New Roman" w:hAnsi="Times New Roman" w:cs="Times New Roman"/>
          <w:sz w:val="28"/>
          <w:szCs w:val="28"/>
        </w:rPr>
        <w:t>Аналізуючи МПК варто виділити два основних напрямки, а саме розробки шифрування і кодування (лідер США), використовуючи технологію Blockchain, а також системи і методи проведення транзакцій і інших операцій всередині платіжних систем (лідер Китай).</w:t>
      </w:r>
    </w:p>
    <w:p w:rsidR="0039038D" w:rsidRDefault="008D4FA6">
      <w:pPr>
        <w:pStyle w:val="ac"/>
        <w:numPr>
          <w:ilvl w:val="0"/>
          <w:numId w:val="23"/>
        </w:numPr>
        <w:spacing w:after="0" w:line="360" w:lineRule="auto"/>
        <w:ind w:left="0" w:firstLine="397"/>
        <w:jc w:val="both"/>
      </w:pPr>
      <w:r>
        <w:rPr>
          <w:rFonts w:ascii="Times New Roman" w:hAnsi="Times New Roman" w:cs="Times New Roman"/>
          <w:sz w:val="28"/>
          <w:szCs w:val="28"/>
        </w:rPr>
        <w:t>У контексті таксономії, найбільшу популярність мають розробки додатків, пов'язаних безпосередньо з технологією, а також способів аутентифікації в системі. На ці два напрямки припадають 53% від загальної кількості патентних документів.</w:t>
      </w:r>
    </w:p>
    <w:p w:rsidR="0039038D" w:rsidRPr="00B10124" w:rsidRDefault="008D4FA6">
      <w:pPr>
        <w:pStyle w:val="ac"/>
        <w:numPr>
          <w:ilvl w:val="0"/>
          <w:numId w:val="23"/>
        </w:numPr>
        <w:spacing w:after="0" w:line="360" w:lineRule="auto"/>
        <w:ind w:left="0" w:firstLine="397"/>
        <w:jc w:val="both"/>
      </w:pPr>
      <w:r w:rsidRPr="00B10124">
        <w:rPr>
          <w:rFonts w:ascii="Times New Roman" w:hAnsi="Times New Roman" w:cs="Times New Roman"/>
          <w:sz w:val="28"/>
          <w:szCs w:val="28"/>
        </w:rPr>
        <w:t xml:space="preserve">Про "перспективність" технології  свідчить кількість вже поданих заявок. Наприклад, в США кількість заявок досягає 85% (або 870). </w:t>
      </w:r>
    </w:p>
    <w:p w:rsidR="0039038D" w:rsidRPr="00B10124" w:rsidRDefault="008D4FA6">
      <w:pPr>
        <w:pStyle w:val="ac"/>
        <w:numPr>
          <w:ilvl w:val="0"/>
          <w:numId w:val="23"/>
        </w:numPr>
        <w:spacing w:after="0" w:line="360" w:lineRule="auto"/>
        <w:ind w:left="0" w:firstLine="397"/>
        <w:jc w:val="both"/>
      </w:pPr>
      <w:r w:rsidRPr="00B10124">
        <w:rPr>
          <w:rFonts w:ascii="Times New Roman" w:hAnsi="Times New Roman" w:cs="Times New Roman"/>
          <w:sz w:val="28"/>
          <w:szCs w:val="28"/>
        </w:rPr>
        <w:t xml:space="preserve">Серед компаній–лідерів варто виділити ІBM, Alibaba, Nchain і Mastercard. Кожна компанія демонструє позитивну динаміку інтенсивності патентування, що вказує на подальше зростання розвитку технології. </w:t>
      </w:r>
    </w:p>
    <w:p w:rsidR="0039038D" w:rsidRPr="00B10124" w:rsidRDefault="008D4FA6">
      <w:pPr>
        <w:pStyle w:val="ac"/>
        <w:numPr>
          <w:ilvl w:val="0"/>
          <w:numId w:val="23"/>
        </w:numPr>
        <w:spacing w:after="0" w:line="360" w:lineRule="auto"/>
        <w:ind w:left="0" w:firstLine="397"/>
        <w:jc w:val="both"/>
      </w:pPr>
      <w:r>
        <w:rPr>
          <w:rFonts w:ascii="Times New Roman" w:hAnsi="Times New Roman" w:cs="Times New Roman"/>
          <w:sz w:val="28"/>
          <w:szCs w:val="28"/>
        </w:rPr>
        <w:t xml:space="preserve">Про популярність певного патенту можна судити за кількістю цитувань в інших документах. Однак, є один нюанс. Нові заявки малоймовірно, що </w:t>
      </w:r>
      <w:r>
        <w:rPr>
          <w:rFonts w:ascii="Times New Roman" w:hAnsi="Times New Roman" w:cs="Times New Roman"/>
          <w:sz w:val="28"/>
          <w:szCs w:val="28"/>
        </w:rPr>
        <w:lastRenderedPageBreak/>
        <w:t xml:space="preserve">матимуть безліч цитувань, а тому в цьому контексті потрібно розглядати лише ті </w:t>
      </w:r>
      <w:r w:rsidRPr="00B10124">
        <w:rPr>
          <w:rFonts w:ascii="Times New Roman" w:hAnsi="Times New Roman" w:cs="Times New Roman"/>
          <w:sz w:val="28"/>
          <w:szCs w:val="28"/>
        </w:rPr>
        <w:t xml:space="preserve">документи, що опубліковані на протязі довгого часу (2–3 роки). </w:t>
      </w:r>
    </w:p>
    <w:p w:rsidR="0039038D" w:rsidRPr="00B10124" w:rsidRDefault="008D4FA6">
      <w:pPr>
        <w:pStyle w:val="ac"/>
        <w:numPr>
          <w:ilvl w:val="0"/>
          <w:numId w:val="23"/>
        </w:numPr>
        <w:spacing w:after="0" w:line="360" w:lineRule="auto"/>
        <w:ind w:left="0" w:firstLine="397"/>
        <w:jc w:val="both"/>
      </w:pPr>
      <w:r w:rsidRPr="00B10124">
        <w:rPr>
          <w:rFonts w:ascii="Times New Roman" w:hAnsi="Times New Roman" w:cs="Times New Roman"/>
          <w:sz w:val="28"/>
          <w:szCs w:val="28"/>
        </w:rPr>
        <w:t>На жаль в Україні на сайті Укрпатенту знайдено лише один патент на досліджувані технології. Але подібний факт не говорить про те, що технологія не є перспективною в рамках України, так як на сьогоднішній день в країні працює більше сотні компаній, безпосередньо пов'язаних з даною технологією. Багато організацій і банківських підприємств мають угоди з великими компаніями, в тому числі і IBM.</w:t>
      </w:r>
    </w:p>
    <w:p w:rsidR="0039038D" w:rsidRPr="00B10124" w:rsidRDefault="008D4FA6">
      <w:pPr>
        <w:spacing w:after="0" w:line="360" w:lineRule="auto"/>
        <w:ind w:firstLine="567"/>
        <w:jc w:val="both"/>
      </w:pPr>
      <w:r w:rsidRPr="00B10124">
        <w:rPr>
          <w:rFonts w:ascii="Times New Roman" w:hAnsi="Times New Roman" w:cs="Times New Roman"/>
          <w:sz w:val="28"/>
          <w:szCs w:val="28"/>
        </w:rPr>
        <w:t>Економічна частина роботи присвячена аналізу доцільності використання технології Blockchain в контексті гіпотетичної організації, яка планує використовувати програмні продукти щодо технології від компанії ІВМ. Можливість комерціалізації діяльності проаналізовано в контексті отримання потенційного прибутку в період за перші п'ять років.</w:t>
      </w:r>
    </w:p>
    <w:p w:rsidR="0039038D" w:rsidRPr="00B10124" w:rsidRDefault="008D4FA6">
      <w:pPr>
        <w:spacing w:after="0" w:line="360" w:lineRule="auto"/>
        <w:ind w:firstLine="567"/>
        <w:jc w:val="both"/>
      </w:pPr>
      <w:r w:rsidRPr="00B10124">
        <w:rPr>
          <w:rFonts w:ascii="Times New Roman" w:hAnsi="Times New Roman" w:cs="Times New Roman"/>
          <w:sz w:val="28"/>
          <w:szCs w:val="28"/>
        </w:rPr>
        <w:t>Дипломна робота також містить  розділи  з охорони праці та цивільного захисту.</w:t>
      </w:r>
    </w:p>
    <w:p w:rsidR="0039038D" w:rsidRDefault="0039038D">
      <w:pPr>
        <w:spacing w:after="0" w:line="360" w:lineRule="auto"/>
        <w:ind w:firstLine="567"/>
        <w:jc w:val="both"/>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39038D" w:rsidRDefault="0039038D">
      <w:pPr>
        <w:spacing w:after="0" w:line="360" w:lineRule="auto"/>
        <w:ind w:firstLine="567"/>
        <w:jc w:val="center"/>
        <w:rPr>
          <w:rFonts w:ascii="Times New Roman" w:hAnsi="Times New Roman" w:cs="Times New Roman"/>
          <w:sz w:val="28"/>
          <w:szCs w:val="28"/>
        </w:rPr>
      </w:pPr>
    </w:p>
    <w:p w:rsidR="00B10124" w:rsidRDefault="00B10124">
      <w:pPr>
        <w:spacing w:after="0" w:line="360" w:lineRule="auto"/>
        <w:ind w:firstLine="567"/>
        <w:jc w:val="center"/>
        <w:rPr>
          <w:rFonts w:ascii="Times New Roman" w:hAnsi="Times New Roman" w:cs="Times New Roman"/>
          <w:sz w:val="28"/>
          <w:szCs w:val="28"/>
        </w:rPr>
      </w:pPr>
    </w:p>
    <w:p w:rsidR="00B10124" w:rsidRDefault="00B10124">
      <w:pPr>
        <w:spacing w:after="0" w:line="360" w:lineRule="auto"/>
        <w:ind w:firstLine="567"/>
        <w:jc w:val="center"/>
        <w:rPr>
          <w:rFonts w:ascii="Times New Roman" w:hAnsi="Times New Roman" w:cs="Times New Roman"/>
          <w:sz w:val="28"/>
          <w:szCs w:val="28"/>
        </w:rPr>
      </w:pPr>
    </w:p>
    <w:p w:rsidR="00B10124" w:rsidRDefault="00B10124">
      <w:pPr>
        <w:spacing w:after="0" w:line="360" w:lineRule="auto"/>
        <w:ind w:firstLine="567"/>
        <w:jc w:val="center"/>
        <w:rPr>
          <w:rFonts w:ascii="Times New Roman" w:hAnsi="Times New Roman" w:cs="Times New Roman"/>
          <w:sz w:val="28"/>
          <w:szCs w:val="28"/>
        </w:rPr>
      </w:pPr>
    </w:p>
    <w:p w:rsidR="00B10124" w:rsidRDefault="00B10124">
      <w:pPr>
        <w:spacing w:after="0" w:line="360" w:lineRule="auto"/>
        <w:ind w:firstLine="567"/>
        <w:jc w:val="center"/>
        <w:rPr>
          <w:rFonts w:ascii="Times New Roman" w:hAnsi="Times New Roman" w:cs="Times New Roman"/>
          <w:sz w:val="28"/>
          <w:szCs w:val="28"/>
        </w:rPr>
      </w:pPr>
    </w:p>
    <w:p w:rsidR="00B10124" w:rsidRDefault="00B10124">
      <w:pPr>
        <w:spacing w:after="0" w:line="360" w:lineRule="auto"/>
        <w:ind w:firstLine="567"/>
        <w:jc w:val="center"/>
        <w:rPr>
          <w:rFonts w:ascii="Times New Roman" w:hAnsi="Times New Roman" w:cs="Times New Roman"/>
          <w:sz w:val="28"/>
          <w:szCs w:val="28"/>
        </w:rPr>
      </w:pPr>
    </w:p>
    <w:p w:rsidR="00B10124" w:rsidRDefault="00B10124">
      <w:pPr>
        <w:spacing w:after="0" w:line="360" w:lineRule="auto"/>
        <w:ind w:firstLine="567"/>
        <w:jc w:val="center"/>
        <w:rPr>
          <w:rFonts w:ascii="Times New Roman" w:hAnsi="Times New Roman" w:cs="Times New Roman"/>
          <w:sz w:val="28"/>
          <w:szCs w:val="28"/>
        </w:rPr>
      </w:pPr>
    </w:p>
    <w:p w:rsidR="00B10124" w:rsidRDefault="00B10124">
      <w:pPr>
        <w:spacing w:after="0" w:line="360" w:lineRule="auto"/>
        <w:ind w:firstLine="567"/>
        <w:jc w:val="center"/>
        <w:rPr>
          <w:rFonts w:ascii="Times New Roman" w:hAnsi="Times New Roman" w:cs="Times New Roman"/>
          <w:sz w:val="28"/>
          <w:szCs w:val="28"/>
        </w:rPr>
      </w:pPr>
    </w:p>
    <w:p w:rsidR="00B10124" w:rsidRDefault="00B10124">
      <w:pPr>
        <w:spacing w:after="0" w:line="360" w:lineRule="auto"/>
        <w:ind w:firstLine="567"/>
        <w:jc w:val="center"/>
        <w:rPr>
          <w:rFonts w:ascii="Times New Roman" w:hAnsi="Times New Roman" w:cs="Times New Roman"/>
          <w:sz w:val="28"/>
          <w:szCs w:val="28"/>
        </w:rPr>
      </w:pPr>
    </w:p>
    <w:p w:rsidR="00B10124" w:rsidRDefault="00B10124">
      <w:pPr>
        <w:spacing w:after="0" w:line="360" w:lineRule="auto"/>
        <w:ind w:firstLine="567"/>
        <w:jc w:val="center"/>
        <w:rPr>
          <w:rFonts w:ascii="Times New Roman" w:hAnsi="Times New Roman" w:cs="Times New Roman"/>
          <w:sz w:val="28"/>
          <w:szCs w:val="28"/>
        </w:rPr>
      </w:pPr>
    </w:p>
    <w:p w:rsidR="00B10124" w:rsidRDefault="00B10124">
      <w:pPr>
        <w:spacing w:after="0" w:line="360" w:lineRule="auto"/>
        <w:ind w:firstLine="567"/>
        <w:jc w:val="center"/>
        <w:rPr>
          <w:rFonts w:ascii="Times New Roman" w:hAnsi="Times New Roman" w:cs="Times New Roman"/>
          <w:sz w:val="28"/>
          <w:szCs w:val="28"/>
        </w:rPr>
      </w:pPr>
    </w:p>
    <w:p w:rsidR="00B10124" w:rsidRDefault="00B10124">
      <w:pPr>
        <w:spacing w:after="0" w:line="360" w:lineRule="auto"/>
        <w:ind w:firstLine="567"/>
        <w:jc w:val="center"/>
        <w:rPr>
          <w:rFonts w:ascii="Times New Roman" w:hAnsi="Times New Roman" w:cs="Times New Roman"/>
          <w:sz w:val="28"/>
          <w:szCs w:val="28"/>
        </w:rPr>
      </w:pPr>
    </w:p>
    <w:p w:rsidR="00B10124" w:rsidRDefault="00B10124">
      <w:pPr>
        <w:spacing w:after="0" w:line="360" w:lineRule="auto"/>
        <w:ind w:firstLine="567"/>
        <w:jc w:val="center"/>
        <w:rPr>
          <w:rFonts w:ascii="Times New Roman" w:hAnsi="Times New Roman" w:cs="Times New Roman"/>
          <w:sz w:val="28"/>
          <w:szCs w:val="28"/>
        </w:rPr>
      </w:pPr>
    </w:p>
    <w:p w:rsidR="00B10124" w:rsidRDefault="00B10124">
      <w:pPr>
        <w:spacing w:after="0" w:line="360" w:lineRule="auto"/>
        <w:ind w:firstLine="567"/>
        <w:jc w:val="center"/>
        <w:rPr>
          <w:rFonts w:ascii="Times New Roman" w:hAnsi="Times New Roman" w:cs="Times New Roman"/>
          <w:sz w:val="28"/>
          <w:szCs w:val="28"/>
        </w:rPr>
      </w:pPr>
    </w:p>
    <w:p w:rsidR="00B10124" w:rsidRDefault="00B10124">
      <w:pPr>
        <w:spacing w:after="0" w:line="360" w:lineRule="auto"/>
        <w:ind w:firstLine="567"/>
        <w:jc w:val="center"/>
        <w:rPr>
          <w:rFonts w:ascii="Times New Roman" w:hAnsi="Times New Roman" w:cs="Times New Roman"/>
          <w:sz w:val="28"/>
          <w:szCs w:val="28"/>
        </w:rPr>
      </w:pPr>
    </w:p>
    <w:p w:rsidR="0039038D" w:rsidRDefault="008D4FA6">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СПИСОК ВИКОРИСТАНОЇ ЛІТЕРАТУРИ</w:t>
      </w:r>
    </w:p>
    <w:p w:rsidR="0039038D" w:rsidRDefault="0039038D">
      <w:pPr>
        <w:spacing w:after="0" w:line="360" w:lineRule="auto"/>
        <w:ind w:firstLine="567"/>
        <w:jc w:val="center"/>
        <w:rPr>
          <w:rFonts w:ascii="Times New Roman" w:hAnsi="Times New Roman" w:cs="Times New Roman"/>
          <w:sz w:val="28"/>
          <w:szCs w:val="28"/>
        </w:rPr>
      </w:pP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Костенко В.І. Комерціалізація технологій як напрям підвищення ефективності винахідницької та інноваційної діяльності підприємства // Національний університет "Львівська політехніка", 2016 - c.4-6.</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Комерціалізація технологій. Дані ресурсу patent.ua // http://www.patent.net.ua/technology, 10.11.19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Комерціалізація інтелектуальних продуктів // https://pidruchniki.com, 17.11.19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 xml:space="preserve">Патентний ландшафт. Інформація ресурсу ipstyle.ua // https://ipstyle.ua/ua/services/patents/the-patent-landscape/, 20.11.19 </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Patent Landascape Repot. Дані ВОІВ // https://www.wipo.int/patentscope/en/programs/patent_landscapes/, 25.11.19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t>What Is Patent Landscaping? // https://info.legalzoom.com/patent-landscaping-20459.html, 20.11.19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t>Г.О. Андрощук Патентний ландшафт – стратегічний інструмент інноваційного розвитку, 2016 - c.4-9.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rPr>
        <w:tab/>
        <w:t>Questel Orbit // https://www.questel.com, 25.11.19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sz w:val="28"/>
          <w:szCs w:val="28"/>
        </w:rPr>
        <w:tab/>
        <w:t xml:space="preserve">ClarivateAnalytics // https://clarivate.com, 25.11.19 </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10.</w:t>
      </w:r>
      <w:r>
        <w:rPr>
          <w:rFonts w:ascii="Times New Roman" w:hAnsi="Times New Roman" w:cs="Times New Roman"/>
          <w:sz w:val="28"/>
          <w:szCs w:val="28"/>
        </w:rPr>
        <w:tab/>
        <w:t>Frost and Sallivan // https://ww2.frost.com, 25.11.19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t>Патентна база даних Patentscope // patentscope.wipo.int, 04.12.19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t>Патентна база даних Espacenet // https://worldwide.espacenet.com, 04.12.19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rPr>
        <w:tab/>
        <w:t>Патентна база даних Lens // https:// lens.org, 04.12.19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rPr>
        <w:tab/>
        <w:t>Інформація УкрПатенту // https://ukrpatent.org/uk, 01.12.19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rPr>
        <w:tab/>
        <w:t>Патентна база даних Pastat // https:// data.epo.org, 01.12.19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rPr>
        <w:tab/>
        <w:t>Сайт УкрІНТЕІ // http://www.uintei.kiev.ua/page/informaciyni-poslugy, 01.12.19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rPr>
        <w:tab/>
        <w:t>Сайт Tisc // http://tisc.org.ua, 01.12.19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18.</w:t>
      </w:r>
      <w:r>
        <w:rPr>
          <w:rFonts w:ascii="Times New Roman" w:hAnsi="Times New Roman" w:cs="Times New Roman"/>
          <w:sz w:val="28"/>
          <w:szCs w:val="28"/>
        </w:rPr>
        <w:tab/>
        <w:t>Обзор Blockchain индустрии Украины 2019. Інтернет–стаття // https://inventure.com.ua/2019, 20.10.19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19.</w:t>
      </w:r>
      <w:r>
        <w:rPr>
          <w:rFonts w:ascii="Times New Roman" w:hAnsi="Times New Roman" w:cs="Times New Roman"/>
          <w:sz w:val="28"/>
          <w:szCs w:val="28"/>
        </w:rPr>
        <w:tab/>
        <w:t>Дані ресурсу Blockchain.com // https://www.blockchain.com/ru/, 20.11.19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rPr>
        <w:tab/>
        <w:t>Melanie Swan. Blockchain: Blueprint for a New Economy. — 2015. — 152 p. — ISBN 978–1–4919–2047–3.</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rPr>
        <w:tab/>
        <w:t>Чому ми все частіше чуємо про Blockchain // https://dou.ua/lenta/articles/why–is–blockchain–in–trends/, 10.10.19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22.</w:t>
      </w:r>
      <w:r>
        <w:rPr>
          <w:rFonts w:ascii="Times New Roman" w:hAnsi="Times New Roman" w:cs="Times New Roman"/>
          <w:sz w:val="28"/>
          <w:szCs w:val="28"/>
        </w:rPr>
        <w:tab/>
        <w:t>Patent Landscape Report on Blockchain Technology // https://www.wipo.int/meetings/en/, 21.10.19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23.</w:t>
      </w:r>
      <w:r>
        <w:rPr>
          <w:rFonts w:ascii="Times New Roman" w:hAnsi="Times New Roman" w:cs="Times New Roman"/>
          <w:sz w:val="28"/>
          <w:szCs w:val="28"/>
        </w:rPr>
        <w:tab/>
        <w:t>Офіційний сайт компанії IBM // https://www.ibm.com/ua-en, 01.12.19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24.</w:t>
      </w:r>
      <w:r>
        <w:rPr>
          <w:rFonts w:ascii="Times New Roman" w:hAnsi="Times New Roman" w:cs="Times New Roman"/>
          <w:sz w:val="28"/>
          <w:szCs w:val="28"/>
        </w:rPr>
        <w:tab/>
        <w:t>Офіційний сайт компанії Alibaba // https://www.alibaba.com/, 01.12.19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25.</w:t>
      </w:r>
      <w:r>
        <w:rPr>
          <w:rFonts w:ascii="Times New Roman" w:hAnsi="Times New Roman" w:cs="Times New Roman"/>
          <w:sz w:val="28"/>
          <w:szCs w:val="28"/>
        </w:rPr>
        <w:tab/>
        <w:t>Офіційний сайт компанії Nchain // https://nchain.com‎, 01.12.19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Офіційний сайт компанії Mastercard // https://www.mastercard.ua </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27.</w:t>
      </w:r>
      <w:r>
        <w:rPr>
          <w:rFonts w:ascii="Times New Roman" w:hAnsi="Times New Roman" w:cs="Times New Roman"/>
          <w:sz w:val="28"/>
          <w:szCs w:val="28"/>
        </w:rPr>
        <w:tab/>
        <w:t>Звіт з Blockchain компанії Deloitte90 // https://www2.deloitte.com/content/dam/Deloitte/us/Documents/financial-services/us-fsi-2018-global-blockchain-survey-report.pdf, 20.11.19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Forrester report: the Total Economic Impact of IBM Blockchain // https://https://www.themsphub.com/content/forrester-report-the-total-economic-impact-of-ibm-blockchain/, 20.11.19 </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29.</w:t>
      </w:r>
      <w:r>
        <w:rPr>
          <w:rFonts w:ascii="Times New Roman" w:hAnsi="Times New Roman" w:cs="Times New Roman"/>
          <w:sz w:val="28"/>
          <w:szCs w:val="28"/>
        </w:rPr>
        <w:tab/>
        <w:t>Валюх А. М. Інтелектуальна власність: навч. посіб. / А. М. Валюх, С. Гвожьджєвіч. – Варшава, МІІ «Освіта–наука–Розвиток», 2016. – 182 с.</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30.</w:t>
      </w:r>
      <w:r>
        <w:rPr>
          <w:rFonts w:ascii="Times New Roman" w:hAnsi="Times New Roman" w:cs="Times New Roman"/>
          <w:sz w:val="28"/>
          <w:szCs w:val="28"/>
        </w:rPr>
        <w:tab/>
        <w:t>Бази даних Укрпатенту //http://www.uipv.org, 01.12.19</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31.</w:t>
      </w:r>
      <w:r>
        <w:rPr>
          <w:rFonts w:ascii="Times New Roman" w:hAnsi="Times New Roman" w:cs="Times New Roman"/>
          <w:sz w:val="28"/>
          <w:szCs w:val="28"/>
        </w:rPr>
        <w:tab/>
        <w:t>Капінос М. М. Інтелектуальна власність : підручник / М. М. Капінос, Е. Т. Лерантович, М. М. Солощук ; Нац. техн. ун–т "Харків. політехн. ін–т". – Харків : Друкарня Мадрид, 2016. – 396 с.</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32.</w:t>
      </w:r>
      <w:r>
        <w:rPr>
          <w:rFonts w:ascii="Times New Roman" w:hAnsi="Times New Roman" w:cs="Times New Roman"/>
          <w:sz w:val="28"/>
          <w:szCs w:val="28"/>
        </w:rPr>
        <w:tab/>
        <w:t>Костенко В.І. Комерціалізація технологій як напрям підвищення ефективності винахідницької та інноваційної діяльності підприємства // Національний університет "Львівська політехніка", 2016.</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33.</w:t>
      </w:r>
      <w:r>
        <w:rPr>
          <w:rFonts w:ascii="Times New Roman" w:hAnsi="Times New Roman" w:cs="Times New Roman"/>
          <w:sz w:val="28"/>
          <w:szCs w:val="28"/>
        </w:rPr>
        <w:tab/>
        <w:t>Підопригора О.А. Проблеми кодифікації законодавства про інтелектуальну власність // Українське право. — 1997. — Число 1. — С.61–80.</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34.</w:t>
      </w:r>
      <w:r>
        <w:rPr>
          <w:rFonts w:ascii="Times New Roman" w:hAnsi="Times New Roman" w:cs="Times New Roman"/>
          <w:sz w:val="28"/>
          <w:szCs w:val="28"/>
        </w:rPr>
        <w:tab/>
        <w:t>Підопригора О. Проблеми системи законодавства України про інтелектуальну власність // Інтелектуальна власність. –– 2000. — №3. – С.3–.</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35.</w:t>
      </w:r>
      <w:r>
        <w:rPr>
          <w:rFonts w:ascii="Times New Roman" w:hAnsi="Times New Roman" w:cs="Times New Roman"/>
          <w:sz w:val="28"/>
          <w:szCs w:val="28"/>
        </w:rPr>
        <w:tab/>
        <w:t>Закон України "Про авторське право і суміжні права" від 04.11.18 №3792–XII</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36.</w:t>
      </w:r>
      <w:r>
        <w:rPr>
          <w:rFonts w:ascii="Times New Roman" w:hAnsi="Times New Roman" w:cs="Times New Roman"/>
          <w:sz w:val="28"/>
          <w:szCs w:val="28"/>
        </w:rPr>
        <w:tab/>
        <w:t>Закон України “Про пріоритетні напрямки інноваційної діяльності в України” від 16 січня 2003 р. No 493 – ІV</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37.</w:t>
      </w:r>
      <w:r>
        <w:rPr>
          <w:rFonts w:ascii="Times New Roman" w:hAnsi="Times New Roman" w:cs="Times New Roman"/>
          <w:sz w:val="28"/>
          <w:szCs w:val="28"/>
        </w:rPr>
        <w:tab/>
        <w:t>Цивільний кодекс України від 28 листопада 2001 р. // Голос України. – 2003. – № 45–46. – 12 березня. – № 47–48. – 13 березня.</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38.</w:t>
      </w:r>
      <w:r>
        <w:rPr>
          <w:rFonts w:ascii="Times New Roman" w:hAnsi="Times New Roman" w:cs="Times New Roman"/>
          <w:sz w:val="28"/>
          <w:szCs w:val="28"/>
        </w:rPr>
        <w:tab/>
        <w:t>Кодекс цивільного захисту України. Кодекс України, від 02.10.2012 № 5403–VI.</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39.</w:t>
      </w:r>
      <w:r>
        <w:rPr>
          <w:rFonts w:ascii="Times New Roman" w:hAnsi="Times New Roman" w:cs="Times New Roman"/>
          <w:sz w:val="28"/>
          <w:szCs w:val="28"/>
        </w:rPr>
        <w:tab/>
        <w:t>Стеблюк М.І. Цивільна оборона та цивільний захист: Підручник – 3–те вид., стер. – Київ: Знання, 2013 – 487 с.</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40.</w:t>
      </w:r>
      <w:r>
        <w:rPr>
          <w:rFonts w:ascii="Times New Roman" w:hAnsi="Times New Roman" w:cs="Times New Roman"/>
          <w:sz w:val="28"/>
          <w:szCs w:val="28"/>
        </w:rPr>
        <w:tab/>
        <w:t>Документ "Про внесення змін до порядку здійснення населення діям у надзвичайних ситуаціях" від 26.07.18  № 592–2018–п</w:t>
      </w:r>
    </w:p>
    <w:p w:rsidR="0039038D" w:rsidRDefault="008D4FA6">
      <w:pPr>
        <w:pStyle w:val="ac"/>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41.</w:t>
      </w:r>
      <w:r>
        <w:rPr>
          <w:rFonts w:ascii="Times New Roman" w:hAnsi="Times New Roman" w:cs="Times New Roman"/>
          <w:sz w:val="28"/>
          <w:szCs w:val="28"/>
        </w:rPr>
        <w:tab/>
        <w:t>Лідньов А.О. Навчання з питань цивільного захисту. Стаття // https://www.sop.com.ua/article/275–qqq–15–m12–21–12–2015–navchannya–z–pitan–tsivlnogo–zahistu, 01.12.19</w:t>
      </w:r>
    </w:p>
    <w:p w:rsidR="0039038D" w:rsidRDefault="008D4FA6">
      <w:pPr>
        <w:pStyle w:val="ac"/>
        <w:spacing w:after="0" w:line="360" w:lineRule="auto"/>
        <w:ind w:left="0"/>
        <w:jc w:val="both"/>
      </w:pPr>
      <w:r>
        <w:rPr>
          <w:rFonts w:ascii="Times New Roman" w:hAnsi="Times New Roman" w:cs="Times New Roman"/>
          <w:sz w:val="28"/>
          <w:szCs w:val="28"/>
        </w:rPr>
        <w:t>42.</w:t>
      </w:r>
      <w:r>
        <w:rPr>
          <w:rFonts w:ascii="Times New Roman" w:hAnsi="Times New Roman" w:cs="Times New Roman"/>
          <w:sz w:val="28"/>
          <w:szCs w:val="28"/>
        </w:rPr>
        <w:tab/>
        <w:t>Організація навчання з питань цивільного захисту посадових осіб об'єктів господарювання // https://ns–plus.com.ua/2017/04/03/organizatsiya–navchannya–z–pytan–tsyvilnogo–zahystu–posadovyh–osib–tsentralnyh–organiv–vykonavchoyi–vlady–ta–sub–yektiv–gospodaryuvannya/, 10.10.19</w:t>
      </w:r>
    </w:p>
    <w:p w:rsidR="0039038D" w:rsidRDefault="0039038D">
      <w:pPr>
        <w:pStyle w:val="ac"/>
        <w:spacing w:after="0" w:line="360" w:lineRule="auto"/>
        <w:ind w:left="1002"/>
        <w:jc w:val="both"/>
      </w:pPr>
    </w:p>
    <w:p w:rsidR="0039038D" w:rsidRDefault="0039038D">
      <w:pPr>
        <w:pStyle w:val="ac"/>
        <w:spacing w:after="0" w:line="360" w:lineRule="auto"/>
        <w:ind w:left="1002"/>
        <w:jc w:val="both"/>
      </w:pPr>
    </w:p>
    <w:p w:rsidR="0039038D" w:rsidRDefault="0039038D">
      <w:pPr>
        <w:pStyle w:val="ac"/>
        <w:spacing w:after="0" w:line="360" w:lineRule="auto"/>
        <w:ind w:left="1002"/>
        <w:jc w:val="both"/>
      </w:pPr>
    </w:p>
    <w:p w:rsidR="0039038D" w:rsidRDefault="0039038D">
      <w:pPr>
        <w:pStyle w:val="ac"/>
        <w:spacing w:after="0" w:line="360" w:lineRule="auto"/>
        <w:ind w:left="1002"/>
        <w:jc w:val="both"/>
      </w:pPr>
    </w:p>
    <w:p w:rsidR="0039038D" w:rsidRDefault="0039038D">
      <w:pPr>
        <w:pStyle w:val="ac"/>
        <w:spacing w:after="0" w:line="360" w:lineRule="auto"/>
        <w:ind w:left="1002"/>
        <w:jc w:val="both"/>
      </w:pPr>
    </w:p>
    <w:p w:rsidR="0039038D" w:rsidRDefault="0039038D">
      <w:pPr>
        <w:pStyle w:val="ac"/>
        <w:spacing w:after="0" w:line="360" w:lineRule="auto"/>
        <w:ind w:left="1002"/>
        <w:jc w:val="both"/>
      </w:pPr>
    </w:p>
    <w:p w:rsidR="0039038D" w:rsidRDefault="0039038D">
      <w:pPr>
        <w:pStyle w:val="ac"/>
        <w:spacing w:after="0" w:line="360" w:lineRule="auto"/>
        <w:ind w:left="1002"/>
        <w:jc w:val="both"/>
      </w:pPr>
    </w:p>
    <w:p w:rsidR="0039038D" w:rsidRDefault="0039038D">
      <w:pPr>
        <w:pStyle w:val="ac"/>
        <w:spacing w:after="0" w:line="360" w:lineRule="auto"/>
        <w:ind w:left="1002"/>
        <w:jc w:val="both"/>
      </w:pPr>
    </w:p>
    <w:p w:rsidR="0039038D" w:rsidRDefault="0039038D">
      <w:pPr>
        <w:pStyle w:val="ac"/>
        <w:spacing w:after="0" w:line="360" w:lineRule="auto"/>
        <w:ind w:left="1002"/>
        <w:jc w:val="both"/>
      </w:pPr>
    </w:p>
    <w:p w:rsidR="0039038D" w:rsidRDefault="0039038D">
      <w:pPr>
        <w:pStyle w:val="ac"/>
        <w:spacing w:after="0" w:line="360" w:lineRule="auto"/>
        <w:ind w:left="1002"/>
        <w:jc w:val="both"/>
      </w:pPr>
    </w:p>
    <w:p w:rsidR="0039038D" w:rsidRDefault="0039038D">
      <w:pPr>
        <w:pStyle w:val="ac"/>
        <w:spacing w:after="0" w:line="360" w:lineRule="auto"/>
        <w:ind w:left="1002"/>
        <w:jc w:val="both"/>
      </w:pPr>
    </w:p>
    <w:p w:rsidR="0039038D" w:rsidRDefault="0039038D">
      <w:pPr>
        <w:pStyle w:val="ac"/>
        <w:spacing w:after="0" w:line="360" w:lineRule="auto"/>
        <w:ind w:left="1002"/>
        <w:jc w:val="both"/>
      </w:pPr>
    </w:p>
    <w:p w:rsidR="0039038D" w:rsidRDefault="0039038D">
      <w:pPr>
        <w:pStyle w:val="ac"/>
        <w:spacing w:after="0" w:line="360" w:lineRule="auto"/>
        <w:ind w:left="1002"/>
        <w:jc w:val="both"/>
      </w:pPr>
    </w:p>
    <w:p w:rsidR="0039038D" w:rsidRDefault="0039038D">
      <w:pPr>
        <w:pStyle w:val="ac"/>
        <w:spacing w:after="0" w:line="360" w:lineRule="auto"/>
        <w:ind w:left="1002"/>
        <w:jc w:val="both"/>
      </w:pPr>
    </w:p>
    <w:p w:rsidR="0039038D" w:rsidRDefault="0039038D">
      <w:pPr>
        <w:pStyle w:val="ac"/>
        <w:spacing w:after="0" w:line="360" w:lineRule="auto"/>
        <w:ind w:left="1002"/>
        <w:jc w:val="both"/>
      </w:pPr>
    </w:p>
    <w:p w:rsidR="0039038D" w:rsidRDefault="0039038D">
      <w:pPr>
        <w:pStyle w:val="ac"/>
        <w:spacing w:after="0" w:line="360" w:lineRule="auto"/>
        <w:ind w:left="1002"/>
        <w:jc w:val="both"/>
      </w:pPr>
    </w:p>
    <w:p w:rsidR="0039038D" w:rsidRDefault="0039038D">
      <w:pPr>
        <w:pStyle w:val="ac"/>
        <w:spacing w:after="0" w:line="360" w:lineRule="auto"/>
        <w:ind w:left="1002"/>
        <w:jc w:val="both"/>
      </w:pPr>
    </w:p>
    <w:p w:rsidR="0039038D" w:rsidRDefault="0039038D">
      <w:pPr>
        <w:pStyle w:val="ac"/>
        <w:spacing w:after="0" w:line="360" w:lineRule="auto"/>
        <w:ind w:left="1002"/>
        <w:jc w:val="both"/>
        <w:rPr>
          <w:rFonts w:ascii="Times New Roman" w:hAnsi="Times New Roman" w:cs="Times New Roman"/>
          <w:sz w:val="28"/>
          <w:szCs w:val="28"/>
        </w:rPr>
      </w:pPr>
    </w:p>
    <w:p w:rsidR="0039038D" w:rsidRDefault="0039038D">
      <w:pPr>
        <w:pStyle w:val="ac"/>
        <w:spacing w:after="0" w:line="360" w:lineRule="auto"/>
        <w:ind w:left="1002"/>
        <w:jc w:val="center"/>
        <w:rPr>
          <w:rFonts w:ascii="Times New Roman" w:hAnsi="Times New Roman" w:cs="Times New Roman"/>
          <w:sz w:val="28"/>
          <w:szCs w:val="28"/>
        </w:rPr>
      </w:pPr>
    </w:p>
    <w:p w:rsidR="0039038D" w:rsidRDefault="0039038D">
      <w:pPr>
        <w:pStyle w:val="ac"/>
        <w:spacing w:after="0" w:line="360" w:lineRule="auto"/>
        <w:ind w:left="1002"/>
        <w:jc w:val="center"/>
        <w:rPr>
          <w:rFonts w:ascii="Times New Roman" w:hAnsi="Times New Roman" w:cs="Times New Roman"/>
          <w:sz w:val="28"/>
          <w:szCs w:val="28"/>
        </w:rPr>
      </w:pPr>
    </w:p>
    <w:p w:rsidR="0039038D" w:rsidRDefault="0039038D">
      <w:pPr>
        <w:pStyle w:val="ac"/>
        <w:spacing w:after="0" w:line="360" w:lineRule="auto"/>
        <w:ind w:left="1002"/>
        <w:jc w:val="center"/>
        <w:rPr>
          <w:rFonts w:ascii="Times New Roman" w:hAnsi="Times New Roman" w:cs="Times New Roman"/>
          <w:sz w:val="28"/>
          <w:szCs w:val="28"/>
        </w:rPr>
      </w:pPr>
    </w:p>
    <w:p w:rsidR="0039038D" w:rsidRDefault="0039038D">
      <w:pPr>
        <w:pStyle w:val="ac"/>
        <w:spacing w:after="0" w:line="360" w:lineRule="auto"/>
        <w:ind w:left="1002"/>
        <w:jc w:val="center"/>
        <w:rPr>
          <w:rFonts w:ascii="Times New Roman" w:hAnsi="Times New Roman" w:cs="Times New Roman"/>
          <w:sz w:val="28"/>
          <w:szCs w:val="28"/>
        </w:rPr>
      </w:pPr>
    </w:p>
    <w:p w:rsidR="0039038D" w:rsidRDefault="0039038D">
      <w:pPr>
        <w:pStyle w:val="ac"/>
        <w:spacing w:after="0" w:line="360" w:lineRule="auto"/>
        <w:ind w:left="1002"/>
        <w:jc w:val="center"/>
        <w:rPr>
          <w:rFonts w:ascii="Times New Roman" w:hAnsi="Times New Roman" w:cs="Times New Roman"/>
          <w:sz w:val="28"/>
          <w:szCs w:val="28"/>
        </w:rPr>
      </w:pPr>
    </w:p>
    <w:p w:rsidR="0039038D" w:rsidRDefault="0039038D">
      <w:pPr>
        <w:pStyle w:val="ac"/>
        <w:spacing w:after="0" w:line="360" w:lineRule="auto"/>
        <w:ind w:left="1002"/>
        <w:jc w:val="center"/>
        <w:rPr>
          <w:rFonts w:ascii="Times New Roman" w:hAnsi="Times New Roman" w:cs="Times New Roman"/>
          <w:sz w:val="28"/>
          <w:szCs w:val="28"/>
        </w:rPr>
      </w:pPr>
    </w:p>
    <w:p w:rsidR="0039038D" w:rsidRDefault="0039038D">
      <w:pPr>
        <w:pStyle w:val="ac"/>
        <w:spacing w:after="0" w:line="360" w:lineRule="auto"/>
        <w:ind w:left="1002"/>
        <w:jc w:val="center"/>
        <w:rPr>
          <w:rFonts w:ascii="Times New Roman" w:hAnsi="Times New Roman" w:cs="Times New Roman"/>
          <w:sz w:val="28"/>
          <w:szCs w:val="28"/>
        </w:rPr>
      </w:pPr>
    </w:p>
    <w:p w:rsidR="0039038D" w:rsidRDefault="0039038D">
      <w:pPr>
        <w:pStyle w:val="ac"/>
        <w:spacing w:after="0" w:line="360" w:lineRule="auto"/>
        <w:ind w:left="1002"/>
        <w:jc w:val="center"/>
        <w:rPr>
          <w:rFonts w:ascii="Times New Roman" w:hAnsi="Times New Roman" w:cs="Times New Roman"/>
          <w:sz w:val="28"/>
          <w:szCs w:val="28"/>
        </w:rPr>
      </w:pPr>
    </w:p>
    <w:p w:rsidR="0039038D" w:rsidRDefault="0039038D">
      <w:pPr>
        <w:pStyle w:val="ac"/>
        <w:spacing w:after="0" w:line="360" w:lineRule="auto"/>
        <w:ind w:left="1002"/>
        <w:jc w:val="center"/>
        <w:rPr>
          <w:rFonts w:ascii="Times New Roman" w:hAnsi="Times New Roman" w:cs="Times New Roman"/>
          <w:sz w:val="28"/>
          <w:szCs w:val="28"/>
        </w:rPr>
      </w:pPr>
    </w:p>
    <w:p w:rsidR="0039038D" w:rsidRDefault="0039038D">
      <w:pPr>
        <w:pStyle w:val="ac"/>
        <w:spacing w:after="0" w:line="360" w:lineRule="auto"/>
        <w:ind w:left="1002"/>
        <w:jc w:val="center"/>
        <w:rPr>
          <w:rFonts w:ascii="Times New Roman" w:hAnsi="Times New Roman" w:cs="Times New Roman"/>
          <w:sz w:val="28"/>
          <w:szCs w:val="28"/>
        </w:rPr>
      </w:pPr>
    </w:p>
    <w:p w:rsidR="0039038D" w:rsidRDefault="0039038D">
      <w:pPr>
        <w:pStyle w:val="ac"/>
        <w:spacing w:after="0" w:line="360" w:lineRule="auto"/>
        <w:ind w:left="1002"/>
        <w:jc w:val="center"/>
        <w:rPr>
          <w:rFonts w:ascii="Times New Roman" w:hAnsi="Times New Roman" w:cs="Times New Roman"/>
          <w:sz w:val="28"/>
          <w:szCs w:val="28"/>
        </w:rPr>
      </w:pPr>
      <w:bookmarkStart w:id="6" w:name="_GoBack"/>
    </w:p>
    <w:p w:rsidR="0039038D" w:rsidRDefault="0039038D">
      <w:pPr>
        <w:pStyle w:val="ac"/>
        <w:spacing w:after="0" w:line="360" w:lineRule="auto"/>
        <w:ind w:left="1002"/>
        <w:jc w:val="center"/>
        <w:rPr>
          <w:rFonts w:ascii="Times New Roman" w:hAnsi="Times New Roman" w:cs="Times New Roman"/>
          <w:sz w:val="28"/>
          <w:szCs w:val="28"/>
        </w:rPr>
      </w:pPr>
    </w:p>
    <w:p w:rsidR="0039038D" w:rsidRDefault="0039038D">
      <w:pPr>
        <w:pStyle w:val="ac"/>
        <w:spacing w:after="0" w:line="360" w:lineRule="auto"/>
        <w:ind w:left="1002"/>
        <w:jc w:val="center"/>
        <w:rPr>
          <w:rFonts w:ascii="Times New Roman" w:hAnsi="Times New Roman" w:cs="Times New Roman"/>
          <w:sz w:val="28"/>
          <w:szCs w:val="28"/>
        </w:rPr>
      </w:pPr>
    </w:p>
    <w:p w:rsidR="0039038D" w:rsidRDefault="0039038D">
      <w:pPr>
        <w:pStyle w:val="ac"/>
        <w:spacing w:after="0" w:line="360" w:lineRule="auto"/>
        <w:ind w:left="1002"/>
        <w:jc w:val="center"/>
        <w:rPr>
          <w:rFonts w:ascii="Times New Roman" w:hAnsi="Times New Roman" w:cs="Times New Roman"/>
          <w:sz w:val="28"/>
          <w:szCs w:val="28"/>
        </w:rPr>
      </w:pPr>
    </w:p>
    <w:p w:rsidR="0039038D" w:rsidRDefault="008D4FA6">
      <w:pPr>
        <w:pStyle w:val="ac"/>
        <w:spacing w:after="0" w:line="360" w:lineRule="auto"/>
        <w:ind w:left="1002"/>
        <w:jc w:val="center"/>
        <w:rPr>
          <w:rFonts w:ascii="Times New Roman" w:hAnsi="Times New Roman" w:cs="Times New Roman"/>
          <w:sz w:val="28"/>
          <w:szCs w:val="28"/>
        </w:rPr>
      </w:pPr>
      <w:r>
        <w:rPr>
          <w:rFonts w:ascii="Times New Roman" w:hAnsi="Times New Roman" w:cs="Times New Roman"/>
          <w:sz w:val="28"/>
          <w:szCs w:val="28"/>
        </w:rPr>
        <w:t>ДОДАТКИ</w:t>
      </w:r>
    </w:p>
    <w:p w:rsidR="0039038D" w:rsidRDefault="0039038D">
      <w:pPr>
        <w:pStyle w:val="ac"/>
        <w:spacing w:after="0" w:line="360" w:lineRule="auto"/>
        <w:ind w:left="1002"/>
        <w:jc w:val="both"/>
      </w:pPr>
    </w:p>
    <w:p w:rsidR="0039038D" w:rsidRDefault="0039038D">
      <w:pPr>
        <w:pStyle w:val="ac"/>
        <w:spacing w:after="0" w:line="360" w:lineRule="auto"/>
        <w:ind w:left="1002"/>
        <w:jc w:val="both"/>
      </w:pPr>
    </w:p>
    <w:p w:rsidR="0039038D" w:rsidRDefault="0039038D">
      <w:pPr>
        <w:pStyle w:val="ac"/>
        <w:spacing w:after="0" w:line="360" w:lineRule="auto"/>
        <w:ind w:left="1002"/>
        <w:jc w:val="both"/>
      </w:pPr>
    </w:p>
    <w:p w:rsidR="0039038D" w:rsidRDefault="0039038D">
      <w:pPr>
        <w:pStyle w:val="ac"/>
        <w:spacing w:after="0" w:line="360" w:lineRule="auto"/>
        <w:ind w:left="1002"/>
        <w:jc w:val="both"/>
      </w:pPr>
    </w:p>
    <w:p w:rsidR="0039038D" w:rsidRDefault="0039038D">
      <w:pPr>
        <w:pStyle w:val="ac"/>
        <w:spacing w:after="0" w:line="360" w:lineRule="auto"/>
        <w:ind w:left="1002"/>
        <w:jc w:val="both"/>
      </w:pPr>
    </w:p>
    <w:p w:rsidR="0039038D" w:rsidRDefault="0039038D">
      <w:pPr>
        <w:pStyle w:val="ac"/>
        <w:spacing w:after="0" w:line="360" w:lineRule="auto"/>
        <w:ind w:left="1002"/>
        <w:jc w:val="right"/>
      </w:pPr>
    </w:p>
    <w:p w:rsidR="0039038D" w:rsidRDefault="0039038D">
      <w:pPr>
        <w:pStyle w:val="ac"/>
        <w:spacing w:after="0" w:line="360" w:lineRule="auto"/>
        <w:ind w:left="1002"/>
        <w:jc w:val="right"/>
      </w:pPr>
    </w:p>
    <w:p w:rsidR="0039038D" w:rsidRDefault="0039038D">
      <w:pPr>
        <w:pStyle w:val="ac"/>
        <w:spacing w:after="0" w:line="360" w:lineRule="auto"/>
        <w:ind w:left="1002"/>
        <w:jc w:val="right"/>
      </w:pPr>
    </w:p>
    <w:p w:rsidR="0039038D" w:rsidRDefault="0039038D">
      <w:pPr>
        <w:pStyle w:val="ac"/>
        <w:spacing w:after="0" w:line="360" w:lineRule="auto"/>
        <w:ind w:left="1002"/>
        <w:jc w:val="right"/>
      </w:pPr>
    </w:p>
    <w:p w:rsidR="0039038D" w:rsidRDefault="0039038D">
      <w:pPr>
        <w:pStyle w:val="ac"/>
        <w:spacing w:after="0" w:line="360" w:lineRule="auto"/>
        <w:ind w:left="1002"/>
        <w:jc w:val="right"/>
      </w:pPr>
    </w:p>
    <w:p w:rsidR="0039038D" w:rsidRDefault="0039038D">
      <w:pPr>
        <w:pStyle w:val="ac"/>
        <w:spacing w:after="0" w:line="360" w:lineRule="auto"/>
        <w:ind w:left="1002"/>
        <w:jc w:val="right"/>
      </w:pPr>
    </w:p>
    <w:p w:rsidR="0039038D" w:rsidRDefault="0039038D">
      <w:pPr>
        <w:pStyle w:val="ac"/>
        <w:spacing w:after="0" w:line="360" w:lineRule="auto"/>
        <w:ind w:left="1002"/>
        <w:jc w:val="right"/>
      </w:pPr>
    </w:p>
    <w:p w:rsidR="0039038D" w:rsidRDefault="0039038D">
      <w:pPr>
        <w:pStyle w:val="ac"/>
        <w:spacing w:after="0" w:line="360" w:lineRule="auto"/>
        <w:ind w:left="1002"/>
        <w:jc w:val="right"/>
      </w:pPr>
    </w:p>
    <w:p w:rsidR="0039038D" w:rsidRDefault="0039038D">
      <w:pPr>
        <w:pStyle w:val="ac"/>
        <w:spacing w:after="0" w:line="360" w:lineRule="auto"/>
        <w:ind w:left="1002"/>
        <w:jc w:val="right"/>
      </w:pPr>
    </w:p>
    <w:p w:rsidR="0039038D" w:rsidRDefault="0039038D">
      <w:pPr>
        <w:pStyle w:val="ac"/>
        <w:spacing w:after="0" w:line="360" w:lineRule="auto"/>
        <w:ind w:left="1002"/>
        <w:jc w:val="right"/>
      </w:pPr>
    </w:p>
    <w:p w:rsidR="0039038D" w:rsidRDefault="0039038D">
      <w:pPr>
        <w:spacing w:after="0" w:line="360" w:lineRule="auto"/>
      </w:pPr>
    </w:p>
    <w:p w:rsidR="0039038D" w:rsidRDefault="008D4FA6">
      <w:pPr>
        <w:pStyle w:val="ac"/>
        <w:spacing w:after="0" w:line="360" w:lineRule="auto"/>
        <w:ind w:left="1002"/>
        <w:jc w:val="center"/>
        <w:rPr>
          <w:rFonts w:ascii="Times New Roman" w:hAnsi="Times New Roman" w:cs="Times New Roman"/>
          <w:b/>
          <w:sz w:val="28"/>
          <w:szCs w:val="28"/>
        </w:rPr>
      </w:pPr>
      <w:r>
        <w:rPr>
          <w:rFonts w:ascii="Times New Roman" w:hAnsi="Times New Roman" w:cs="Times New Roman"/>
          <w:b/>
          <w:sz w:val="28"/>
          <w:szCs w:val="28"/>
        </w:rPr>
        <w:lastRenderedPageBreak/>
        <w:t>ДОДАТОК А</w:t>
      </w:r>
    </w:p>
    <w:p w:rsidR="0039038D" w:rsidRDefault="0039038D">
      <w:pPr>
        <w:pStyle w:val="ac"/>
        <w:spacing w:after="0" w:line="360" w:lineRule="auto"/>
        <w:ind w:left="1002"/>
        <w:jc w:val="center"/>
        <w:rPr>
          <w:rFonts w:ascii="Times New Roman" w:hAnsi="Times New Roman" w:cs="Times New Roman"/>
          <w:b/>
          <w:sz w:val="28"/>
          <w:szCs w:val="28"/>
        </w:rPr>
      </w:pPr>
    </w:p>
    <w:p w:rsidR="0039038D" w:rsidRDefault="008D4FA6">
      <w:pPr>
        <w:pStyle w:val="ac"/>
        <w:spacing w:after="0" w:line="360" w:lineRule="auto"/>
        <w:ind w:left="1002"/>
        <w:jc w:val="center"/>
        <w:rPr>
          <w:rFonts w:ascii="Times New Roman" w:hAnsi="Times New Roman" w:cs="Times New Roman"/>
          <w:sz w:val="28"/>
          <w:szCs w:val="28"/>
          <w:lang w:val="ru-RU"/>
        </w:rPr>
      </w:pPr>
      <w:r>
        <w:rPr>
          <w:rFonts w:ascii="Times New Roman" w:hAnsi="Times New Roman" w:cs="Times New Roman"/>
          <w:sz w:val="28"/>
          <w:szCs w:val="28"/>
        </w:rPr>
        <w:t xml:space="preserve">Вигляд класичного запиту в базі даних </w:t>
      </w:r>
      <w:r>
        <w:rPr>
          <w:rFonts w:ascii="Times New Roman" w:hAnsi="Times New Roman" w:cs="Times New Roman"/>
          <w:sz w:val="28"/>
          <w:szCs w:val="28"/>
          <w:lang w:val="en-US"/>
        </w:rPr>
        <w:t>Patstat</w:t>
      </w:r>
    </w:p>
    <w:p w:rsidR="0039038D" w:rsidRDefault="0039038D">
      <w:pPr>
        <w:pStyle w:val="ac"/>
        <w:spacing w:after="0" w:line="360" w:lineRule="auto"/>
        <w:ind w:left="1002"/>
        <w:jc w:val="center"/>
      </w:pPr>
    </w:p>
    <w:p w:rsidR="0039038D" w:rsidRDefault="008D4FA6">
      <w:pPr>
        <w:pStyle w:val="ac"/>
        <w:spacing w:after="0" w:line="360" w:lineRule="auto"/>
        <w:ind w:left="567"/>
        <w:jc w:val="both"/>
        <w:rPr>
          <w:rFonts w:ascii="Courier New" w:hAnsi="Courier New" w:cs="Courier New"/>
          <w:sz w:val="20"/>
          <w:szCs w:val="20"/>
        </w:rPr>
      </w:pPr>
      <w:r>
        <w:rPr>
          <w:rFonts w:ascii="Courier New" w:hAnsi="Courier New" w:cs="Courier New"/>
          <w:sz w:val="20"/>
          <w:szCs w:val="20"/>
        </w:rPr>
        <w:t>SELECT a.appln_filing_year, COUNT(DISTINCT a.appln_id) AS NumberOfPatentApplications</w:t>
      </w:r>
    </w:p>
    <w:p w:rsidR="0039038D" w:rsidRDefault="008D4FA6">
      <w:pPr>
        <w:pStyle w:val="ac"/>
        <w:spacing w:after="0" w:line="360" w:lineRule="auto"/>
        <w:ind w:left="567"/>
        <w:jc w:val="both"/>
        <w:rPr>
          <w:rFonts w:ascii="Courier New" w:hAnsi="Courier New" w:cs="Courier New"/>
          <w:sz w:val="20"/>
          <w:szCs w:val="20"/>
        </w:rPr>
      </w:pPr>
      <w:r>
        <w:rPr>
          <w:rFonts w:ascii="Courier New" w:hAnsi="Courier New" w:cs="Courier New"/>
          <w:sz w:val="20"/>
          <w:szCs w:val="20"/>
        </w:rPr>
        <w:t>FROM tls201_appln a</w:t>
      </w:r>
    </w:p>
    <w:p w:rsidR="0039038D" w:rsidRDefault="008D4FA6">
      <w:pPr>
        <w:pStyle w:val="ac"/>
        <w:spacing w:after="0" w:line="360" w:lineRule="auto"/>
        <w:ind w:left="567"/>
        <w:jc w:val="both"/>
        <w:rPr>
          <w:rFonts w:ascii="Courier New" w:hAnsi="Courier New" w:cs="Courier New"/>
          <w:sz w:val="20"/>
          <w:szCs w:val="20"/>
        </w:rPr>
      </w:pPr>
      <w:r>
        <w:rPr>
          <w:rFonts w:ascii="Courier New" w:hAnsi="Courier New" w:cs="Courier New"/>
          <w:sz w:val="20"/>
          <w:szCs w:val="20"/>
        </w:rPr>
        <w:t>JOIN tls209_appln_ipc i ON a.appln_id = i.appln_id</w:t>
      </w:r>
    </w:p>
    <w:p w:rsidR="0039038D" w:rsidRDefault="008D4FA6">
      <w:pPr>
        <w:pStyle w:val="ac"/>
        <w:spacing w:after="0" w:line="360" w:lineRule="auto"/>
        <w:ind w:left="567"/>
        <w:jc w:val="both"/>
        <w:rPr>
          <w:rFonts w:ascii="Courier New" w:hAnsi="Courier New" w:cs="Courier New"/>
          <w:sz w:val="20"/>
          <w:szCs w:val="20"/>
        </w:rPr>
      </w:pPr>
      <w:r>
        <w:rPr>
          <w:rFonts w:ascii="Courier New" w:hAnsi="Courier New" w:cs="Courier New"/>
          <w:sz w:val="20"/>
          <w:szCs w:val="20"/>
        </w:rPr>
        <w:t>WHERE i.ipc_class_symbol LIKE 'H%' –– Change IPC symbol here</w:t>
      </w:r>
    </w:p>
    <w:p w:rsidR="0039038D" w:rsidRDefault="008D4FA6">
      <w:pPr>
        <w:pStyle w:val="ac"/>
        <w:spacing w:after="0" w:line="360" w:lineRule="auto"/>
        <w:ind w:left="567"/>
        <w:jc w:val="both"/>
        <w:rPr>
          <w:rFonts w:ascii="Courier New" w:hAnsi="Courier New" w:cs="Courier New"/>
          <w:sz w:val="20"/>
          <w:szCs w:val="20"/>
        </w:rPr>
      </w:pPr>
      <w:r>
        <w:rPr>
          <w:rFonts w:ascii="Courier New" w:hAnsi="Courier New" w:cs="Courier New"/>
          <w:sz w:val="20"/>
          <w:szCs w:val="20"/>
        </w:rPr>
        <w:t>AND a.appln_filing_year BETWEEN 2014 AND 2019 –– Define year range here</w:t>
      </w:r>
    </w:p>
    <w:p w:rsidR="0039038D" w:rsidRDefault="008D4FA6">
      <w:pPr>
        <w:pStyle w:val="ac"/>
        <w:spacing w:after="0" w:line="360" w:lineRule="auto"/>
        <w:ind w:left="567"/>
        <w:jc w:val="both"/>
        <w:rPr>
          <w:rFonts w:ascii="Courier New" w:hAnsi="Courier New" w:cs="Courier New"/>
          <w:sz w:val="20"/>
          <w:szCs w:val="20"/>
        </w:rPr>
      </w:pPr>
      <w:r>
        <w:rPr>
          <w:rFonts w:ascii="Courier New" w:hAnsi="Courier New" w:cs="Courier New"/>
          <w:sz w:val="20"/>
          <w:szCs w:val="20"/>
        </w:rPr>
        <w:t>GROUP BY a.appln_filing_year</w:t>
      </w:r>
    </w:p>
    <w:p w:rsidR="0039038D" w:rsidRDefault="008D4FA6">
      <w:pPr>
        <w:pStyle w:val="ac"/>
        <w:spacing w:after="0" w:line="360" w:lineRule="auto"/>
        <w:ind w:left="567"/>
        <w:jc w:val="both"/>
        <w:rPr>
          <w:rFonts w:ascii="Courier New" w:hAnsi="Courier New" w:cs="Courier New"/>
          <w:sz w:val="20"/>
          <w:szCs w:val="20"/>
        </w:rPr>
      </w:pPr>
      <w:r>
        <w:rPr>
          <w:rFonts w:ascii="Courier New" w:hAnsi="Courier New" w:cs="Courier New"/>
          <w:sz w:val="20"/>
          <w:szCs w:val="20"/>
        </w:rPr>
        <w:t>ORDER BY a.appln_filing_year</w:t>
      </w: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spacing w:after="0" w:line="360" w:lineRule="auto"/>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39038D" w:rsidRPr="00BC5779" w:rsidRDefault="0039038D" w:rsidP="00BC5779">
      <w:pPr>
        <w:spacing w:after="0" w:line="360" w:lineRule="auto"/>
        <w:jc w:val="both"/>
        <w:rPr>
          <w:rFonts w:ascii="Courier New" w:hAnsi="Courier New" w:cs="Courier New"/>
          <w:sz w:val="20"/>
          <w:szCs w:val="20"/>
        </w:rPr>
      </w:pPr>
    </w:p>
    <w:p w:rsidR="0039038D" w:rsidRDefault="0039038D">
      <w:pPr>
        <w:spacing w:after="0" w:line="360" w:lineRule="auto"/>
        <w:jc w:val="both"/>
        <w:rPr>
          <w:rFonts w:ascii="Courier New" w:hAnsi="Courier New" w:cs="Courier New"/>
          <w:sz w:val="20"/>
          <w:szCs w:val="20"/>
        </w:rPr>
      </w:pPr>
    </w:p>
    <w:p w:rsidR="0039038D" w:rsidRDefault="0039038D">
      <w:pPr>
        <w:pStyle w:val="ac"/>
        <w:spacing w:after="0" w:line="360" w:lineRule="auto"/>
        <w:ind w:left="567"/>
        <w:jc w:val="both"/>
        <w:rPr>
          <w:rFonts w:ascii="Courier New" w:hAnsi="Courier New" w:cs="Courier New"/>
          <w:sz w:val="20"/>
          <w:szCs w:val="20"/>
        </w:rPr>
      </w:pPr>
    </w:p>
    <w:p w:rsidR="00AB5061" w:rsidRDefault="00AB5061">
      <w:pPr>
        <w:pStyle w:val="ac"/>
        <w:spacing w:after="0" w:line="360" w:lineRule="auto"/>
        <w:ind w:left="567"/>
        <w:jc w:val="both"/>
        <w:rPr>
          <w:rFonts w:ascii="Courier New" w:hAnsi="Courier New" w:cs="Courier New"/>
          <w:sz w:val="20"/>
          <w:szCs w:val="20"/>
        </w:rPr>
      </w:pPr>
    </w:p>
    <w:p w:rsidR="00AB5061" w:rsidRDefault="00AB5061">
      <w:pPr>
        <w:pStyle w:val="ac"/>
        <w:spacing w:after="0" w:line="360" w:lineRule="auto"/>
        <w:ind w:left="567"/>
        <w:jc w:val="both"/>
        <w:rPr>
          <w:rFonts w:ascii="Courier New" w:hAnsi="Courier New" w:cs="Courier New"/>
          <w:sz w:val="20"/>
          <w:szCs w:val="20"/>
        </w:rPr>
      </w:pPr>
    </w:p>
    <w:p w:rsidR="0039038D" w:rsidRDefault="008D4FA6">
      <w:pPr>
        <w:pStyle w:val="ac"/>
        <w:spacing w:after="0" w:line="360" w:lineRule="auto"/>
        <w:ind w:left="1002"/>
        <w:jc w:val="center"/>
        <w:rPr>
          <w:rFonts w:ascii="Times New Roman" w:hAnsi="Times New Roman" w:cs="Times New Roman"/>
          <w:b/>
          <w:sz w:val="28"/>
          <w:szCs w:val="28"/>
        </w:rPr>
      </w:pPr>
      <w:r>
        <w:rPr>
          <w:rFonts w:ascii="Times New Roman" w:hAnsi="Times New Roman" w:cs="Times New Roman"/>
          <w:b/>
          <w:sz w:val="28"/>
          <w:szCs w:val="28"/>
        </w:rPr>
        <w:lastRenderedPageBreak/>
        <w:t>ДОДАТОК Б</w:t>
      </w:r>
    </w:p>
    <w:p w:rsidR="00BC5779" w:rsidRDefault="00BC5779">
      <w:pPr>
        <w:pStyle w:val="ac"/>
        <w:spacing w:after="0" w:line="360" w:lineRule="auto"/>
        <w:ind w:left="1002"/>
        <w:jc w:val="center"/>
        <w:rPr>
          <w:rFonts w:ascii="Times New Roman" w:hAnsi="Times New Roman" w:cs="Times New Roman"/>
          <w:b/>
          <w:sz w:val="28"/>
          <w:szCs w:val="28"/>
        </w:rPr>
      </w:pPr>
    </w:p>
    <w:p w:rsidR="0039038D" w:rsidRDefault="008D4FA6">
      <w:pPr>
        <w:pStyle w:val="ac"/>
        <w:spacing w:after="0" w:line="360" w:lineRule="auto"/>
        <w:ind w:left="1002"/>
        <w:jc w:val="center"/>
        <w:rPr>
          <w:rFonts w:ascii="Times New Roman" w:hAnsi="Times New Roman" w:cs="Times New Roman"/>
          <w:sz w:val="28"/>
          <w:szCs w:val="28"/>
        </w:rPr>
      </w:pPr>
      <w:r>
        <w:rPr>
          <w:rFonts w:ascii="Times New Roman" w:hAnsi="Times New Roman" w:cs="Times New Roman"/>
          <w:sz w:val="28"/>
          <w:szCs w:val="28"/>
        </w:rPr>
        <w:t>Найбільш цитований патент</w:t>
      </w:r>
    </w:p>
    <w:p w:rsidR="0039038D" w:rsidRDefault="0039038D">
      <w:pPr>
        <w:pStyle w:val="ac"/>
        <w:spacing w:after="0" w:line="360" w:lineRule="auto"/>
        <w:ind w:left="1002"/>
        <w:jc w:val="center"/>
        <w:rPr>
          <w:rFonts w:ascii="Times New Roman" w:hAnsi="Times New Roman" w:cs="Times New Roman"/>
          <w:sz w:val="28"/>
          <w:szCs w:val="28"/>
        </w:rPr>
      </w:pPr>
    </w:p>
    <w:p w:rsidR="0039038D" w:rsidRDefault="008D4FA6">
      <w:pPr>
        <w:pStyle w:val="ac"/>
        <w:spacing w:after="0"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rPr>
        <w:t>Таблиця Б.1 – Найбільш цитований патент за ключовим словом «</w:t>
      </w:r>
      <w:r>
        <w:rPr>
          <w:rFonts w:ascii="Times New Roman" w:hAnsi="Times New Roman" w:cs="Times New Roman"/>
          <w:sz w:val="28"/>
          <w:szCs w:val="28"/>
          <w:lang w:val="en-US"/>
        </w:rPr>
        <w:t>Blockchain</w:t>
      </w:r>
      <w:r>
        <w:rPr>
          <w:rFonts w:ascii="Times New Roman" w:hAnsi="Times New Roman" w:cs="Times New Roman"/>
          <w:sz w:val="28"/>
          <w:szCs w:val="28"/>
          <w:lang w:val="ru-RU"/>
        </w:rPr>
        <w:t>»</w:t>
      </w:r>
    </w:p>
    <w:tbl>
      <w:tblPr>
        <w:tblW w:w="9639" w:type="dxa"/>
        <w:tblInd w:w="-5" w:type="dxa"/>
        <w:tblLook w:val="04A0" w:firstRow="1" w:lastRow="0" w:firstColumn="1" w:lastColumn="0" w:noHBand="0" w:noVBand="1"/>
      </w:tblPr>
      <w:tblGrid>
        <w:gridCol w:w="2119"/>
        <w:gridCol w:w="4117"/>
        <w:gridCol w:w="3403"/>
      </w:tblGrid>
      <w:tr w:rsidR="0039038D">
        <w:trPr>
          <w:trHeight w:val="315"/>
        </w:trPr>
        <w:tc>
          <w:tcPr>
            <w:tcW w:w="2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 </w:t>
            </w:r>
          </w:p>
        </w:tc>
        <w:tc>
          <w:tcPr>
            <w:tcW w:w="4117"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 xml:space="preserve">Оригінал </w:t>
            </w:r>
          </w:p>
        </w:tc>
        <w:tc>
          <w:tcPr>
            <w:tcW w:w="3403" w:type="dxa"/>
            <w:tcBorders>
              <w:top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Переклад на українську мову</w:t>
            </w:r>
          </w:p>
        </w:tc>
      </w:tr>
      <w:tr w:rsidR="0039038D">
        <w:trPr>
          <w:trHeight w:val="315"/>
        </w:trPr>
        <w:tc>
          <w:tcPr>
            <w:tcW w:w="211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Номер заявки</w:t>
            </w:r>
          </w:p>
        </w:tc>
        <w:tc>
          <w:tcPr>
            <w:tcW w:w="4117"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US 2016/0283920</w:t>
            </w:r>
          </w:p>
        </w:tc>
        <w:tc>
          <w:tcPr>
            <w:tcW w:w="3403"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 </w:t>
            </w:r>
          </w:p>
        </w:tc>
      </w:tr>
      <w:tr w:rsidR="0039038D">
        <w:trPr>
          <w:trHeight w:val="1575"/>
        </w:trPr>
        <w:tc>
          <w:tcPr>
            <w:tcW w:w="211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Повна назва</w:t>
            </w:r>
          </w:p>
        </w:tc>
        <w:tc>
          <w:tcPr>
            <w:tcW w:w="4117"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Authentication And Verification Of Digital Data Utilizing Blockchain Technology</w:t>
            </w:r>
          </w:p>
        </w:tc>
        <w:tc>
          <w:tcPr>
            <w:tcW w:w="3403"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Аутентифікація та перевірка технології цифрових даних, що використовують Blockchain</w:t>
            </w:r>
          </w:p>
        </w:tc>
      </w:tr>
      <w:tr w:rsidR="0039038D">
        <w:trPr>
          <w:trHeight w:val="6930"/>
        </w:trPr>
        <w:tc>
          <w:tcPr>
            <w:tcW w:w="211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Опис</w:t>
            </w:r>
          </w:p>
        </w:tc>
        <w:tc>
          <w:tcPr>
            <w:tcW w:w="4117"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A method for authenticating a chain of custody utilizing blockchain technology, whereby digital evidence or other digital content is acquired and then hashed to produce a hash fingerprint/signature and then immediately or instantly submitting said hash fingerprint/signature to the blockchain using the blockchain network protocol, forming an immediate verifiable chain of custody without human interaction or requiring a trusted third party.</w:t>
            </w:r>
          </w:p>
        </w:tc>
        <w:tc>
          <w:tcPr>
            <w:tcW w:w="3403"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Спосіб аутентифікації ланцюга зберігання з використанням технології blockchain, за допомогою якої цифрові докази чи інший цифровий контент отримують, а потім поспішають, щоб створити хеш–відбиток пальця / підпис, а потім негайно або миттєво подати згаданий хеш–відбиток / підпис до blockchain за допомогою мережевого протоколу blockchain , утворюючи негайний ланцюжок опіки, що не підлягає підтвердженню, без взаємодії з людьми або вимагаючи довіреної третьої сторони.</w:t>
            </w:r>
          </w:p>
        </w:tc>
      </w:tr>
      <w:tr w:rsidR="0039038D">
        <w:trPr>
          <w:trHeight w:val="315"/>
        </w:trPr>
        <w:tc>
          <w:tcPr>
            <w:tcW w:w="2119" w:type="dxa"/>
            <w:tcBorders>
              <w:left w:val="single" w:sz="4" w:space="0" w:color="000000"/>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Кількість цитувань</w:t>
            </w:r>
          </w:p>
        </w:tc>
        <w:tc>
          <w:tcPr>
            <w:tcW w:w="4117"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105</w:t>
            </w:r>
          </w:p>
        </w:tc>
        <w:tc>
          <w:tcPr>
            <w:tcW w:w="3403" w:type="dxa"/>
            <w:tcBorders>
              <w:bottom w:val="single" w:sz="4" w:space="0" w:color="000000"/>
              <w:right w:val="single" w:sz="4" w:space="0" w:color="000000"/>
            </w:tcBorders>
            <w:shd w:val="clear" w:color="auto" w:fill="auto"/>
            <w:vAlign w:val="bottom"/>
          </w:tcPr>
          <w:p w:rsidR="0039038D" w:rsidRDefault="008D4FA6">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 </w:t>
            </w:r>
          </w:p>
        </w:tc>
      </w:tr>
      <w:bookmarkEnd w:id="6"/>
    </w:tbl>
    <w:p w:rsidR="0039038D" w:rsidRDefault="0039038D">
      <w:pPr>
        <w:pStyle w:val="ac"/>
        <w:spacing w:after="0" w:line="360" w:lineRule="auto"/>
        <w:ind w:left="1002"/>
        <w:jc w:val="both"/>
      </w:pPr>
    </w:p>
    <w:sectPr w:rsidR="0039038D" w:rsidSect="00AB5061">
      <w:headerReference w:type="default" r:id="rId54"/>
      <w:pgSz w:w="11906" w:h="16838"/>
      <w:pgMar w:top="850" w:right="850" w:bottom="850" w:left="1417" w:header="0" w:footer="0" w:gutter="0"/>
      <w:pgNumType w:start="1"/>
      <w:cols w:space="720"/>
      <w:formProt w:val="0"/>
      <w:titlePg/>
      <w:docGrid w:linePitch="360"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91A" w:rsidRDefault="0052791A">
      <w:pPr>
        <w:spacing w:after="0" w:line="240" w:lineRule="auto"/>
      </w:pPr>
      <w:r>
        <w:separator/>
      </w:r>
    </w:p>
  </w:endnote>
  <w:endnote w:type="continuationSeparator" w:id="0">
    <w:p w:rsidR="0052791A" w:rsidRDefault="00527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91A" w:rsidRDefault="0052791A">
      <w:pPr>
        <w:spacing w:after="0" w:line="240" w:lineRule="auto"/>
      </w:pPr>
      <w:r>
        <w:separator/>
      </w:r>
    </w:p>
  </w:footnote>
  <w:footnote w:type="continuationSeparator" w:id="0">
    <w:p w:rsidR="0052791A" w:rsidRDefault="005279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8791638"/>
      <w:docPartObj>
        <w:docPartGallery w:val="Page Numbers (Top of Page)"/>
        <w:docPartUnique/>
      </w:docPartObj>
    </w:sdtPr>
    <w:sdtContent>
      <w:p w:rsidR="00AB5061" w:rsidRDefault="00AB5061">
        <w:pPr>
          <w:pStyle w:val="ae"/>
          <w:jc w:val="right"/>
        </w:pPr>
      </w:p>
      <w:p w:rsidR="00AB5061" w:rsidRDefault="00AB5061">
        <w:pPr>
          <w:pStyle w:val="ae"/>
          <w:jc w:val="right"/>
        </w:pPr>
        <w:r>
          <w:rPr>
            <w:sz w:val="24"/>
            <w:szCs w:val="24"/>
          </w:rPr>
          <w:fldChar w:fldCharType="begin"/>
        </w:r>
        <w:r>
          <w:rPr>
            <w:sz w:val="24"/>
            <w:szCs w:val="24"/>
          </w:rPr>
          <w:instrText>PAGE</w:instrText>
        </w:r>
        <w:r>
          <w:rPr>
            <w:sz w:val="24"/>
            <w:szCs w:val="24"/>
          </w:rPr>
          <w:fldChar w:fldCharType="separate"/>
        </w:r>
        <w:r w:rsidR="005523C8">
          <w:rPr>
            <w:noProof/>
            <w:sz w:val="24"/>
            <w:szCs w:val="24"/>
          </w:rPr>
          <w:t>111</w:t>
        </w:r>
        <w:r>
          <w:rPr>
            <w:sz w:val="24"/>
            <w:szCs w:val="24"/>
          </w:rPr>
          <w:fldChar w:fldCharType="end"/>
        </w:r>
      </w:p>
    </w:sdtContent>
  </w:sdt>
  <w:p w:rsidR="00AB5061" w:rsidRDefault="00AB5061">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3E55"/>
    <w:multiLevelType w:val="multilevel"/>
    <w:tmpl w:val="2104E0C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20061AB"/>
    <w:multiLevelType w:val="multilevel"/>
    <w:tmpl w:val="62AE0F7E"/>
    <w:lvl w:ilvl="0">
      <w:start w:val="1"/>
      <w:numFmt w:val="bullet"/>
      <w:lvlText w:val=""/>
      <w:lvlJc w:val="left"/>
      <w:pPr>
        <w:ind w:left="1440" w:hanging="360"/>
      </w:pPr>
      <w:rPr>
        <w:rFonts w:ascii="Symbol" w:hAnsi="Symbol" w:cs="Symbol" w:hint="default"/>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 w15:restartNumberingAfterBreak="0">
    <w:nsid w:val="020824D8"/>
    <w:multiLevelType w:val="multilevel"/>
    <w:tmpl w:val="31E6A01C"/>
    <w:lvl w:ilvl="0">
      <w:start w:val="1"/>
      <w:numFmt w:val="bullet"/>
      <w:lvlText w:val=""/>
      <w:lvlJc w:val="left"/>
      <w:pPr>
        <w:ind w:left="1287" w:hanging="360"/>
      </w:pPr>
      <w:rPr>
        <w:rFonts w:ascii="Symbol" w:hAnsi="Symbol" w:cs="Symbol" w:hint="default"/>
        <w:sz w:val="2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 w15:restartNumberingAfterBreak="0">
    <w:nsid w:val="021E6D84"/>
    <w:multiLevelType w:val="multilevel"/>
    <w:tmpl w:val="593A7882"/>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4" w15:restartNumberingAfterBreak="0">
    <w:nsid w:val="07F85744"/>
    <w:multiLevelType w:val="multilevel"/>
    <w:tmpl w:val="31423DB8"/>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5" w15:restartNumberingAfterBreak="0">
    <w:nsid w:val="0E370071"/>
    <w:multiLevelType w:val="multilevel"/>
    <w:tmpl w:val="6020FFEE"/>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6" w15:restartNumberingAfterBreak="0">
    <w:nsid w:val="11452EFA"/>
    <w:multiLevelType w:val="multilevel"/>
    <w:tmpl w:val="B3843FE6"/>
    <w:lvl w:ilvl="0">
      <w:start w:val="1"/>
      <w:numFmt w:val="bullet"/>
      <w:lvlText w:val=""/>
      <w:lvlJc w:val="left"/>
      <w:pPr>
        <w:ind w:left="2567" w:hanging="360"/>
      </w:pPr>
      <w:rPr>
        <w:rFonts w:ascii="Symbol" w:hAnsi="Symbol" w:cs="Symbol" w:hint="default"/>
      </w:rPr>
    </w:lvl>
    <w:lvl w:ilvl="1">
      <w:start w:val="1"/>
      <w:numFmt w:val="bullet"/>
      <w:lvlText w:val="o"/>
      <w:lvlJc w:val="left"/>
      <w:pPr>
        <w:ind w:left="3287" w:hanging="360"/>
      </w:pPr>
      <w:rPr>
        <w:rFonts w:ascii="Courier New" w:hAnsi="Courier New" w:cs="Courier New" w:hint="default"/>
      </w:rPr>
    </w:lvl>
    <w:lvl w:ilvl="2">
      <w:start w:val="1"/>
      <w:numFmt w:val="bullet"/>
      <w:lvlText w:val=""/>
      <w:lvlJc w:val="left"/>
      <w:pPr>
        <w:ind w:left="4007" w:hanging="360"/>
      </w:pPr>
      <w:rPr>
        <w:rFonts w:ascii="Wingdings" w:hAnsi="Wingdings" w:cs="Wingdings" w:hint="default"/>
      </w:rPr>
    </w:lvl>
    <w:lvl w:ilvl="3">
      <w:start w:val="1"/>
      <w:numFmt w:val="bullet"/>
      <w:lvlText w:val=""/>
      <w:lvlJc w:val="left"/>
      <w:pPr>
        <w:ind w:left="4727" w:hanging="360"/>
      </w:pPr>
      <w:rPr>
        <w:rFonts w:ascii="Symbol" w:hAnsi="Symbol" w:cs="Symbol" w:hint="default"/>
      </w:rPr>
    </w:lvl>
    <w:lvl w:ilvl="4">
      <w:start w:val="1"/>
      <w:numFmt w:val="bullet"/>
      <w:lvlText w:val="o"/>
      <w:lvlJc w:val="left"/>
      <w:pPr>
        <w:ind w:left="5447" w:hanging="360"/>
      </w:pPr>
      <w:rPr>
        <w:rFonts w:ascii="Courier New" w:hAnsi="Courier New" w:cs="Courier New" w:hint="default"/>
      </w:rPr>
    </w:lvl>
    <w:lvl w:ilvl="5">
      <w:start w:val="1"/>
      <w:numFmt w:val="bullet"/>
      <w:lvlText w:val=""/>
      <w:lvlJc w:val="left"/>
      <w:pPr>
        <w:ind w:left="6167" w:hanging="360"/>
      </w:pPr>
      <w:rPr>
        <w:rFonts w:ascii="Wingdings" w:hAnsi="Wingdings" w:cs="Wingdings" w:hint="default"/>
      </w:rPr>
    </w:lvl>
    <w:lvl w:ilvl="6">
      <w:start w:val="1"/>
      <w:numFmt w:val="bullet"/>
      <w:lvlText w:val=""/>
      <w:lvlJc w:val="left"/>
      <w:pPr>
        <w:ind w:left="6887" w:hanging="360"/>
      </w:pPr>
      <w:rPr>
        <w:rFonts w:ascii="Symbol" w:hAnsi="Symbol" w:cs="Symbol" w:hint="default"/>
      </w:rPr>
    </w:lvl>
    <w:lvl w:ilvl="7">
      <w:start w:val="1"/>
      <w:numFmt w:val="bullet"/>
      <w:lvlText w:val="o"/>
      <w:lvlJc w:val="left"/>
      <w:pPr>
        <w:ind w:left="7607" w:hanging="360"/>
      </w:pPr>
      <w:rPr>
        <w:rFonts w:ascii="Courier New" w:hAnsi="Courier New" w:cs="Courier New" w:hint="default"/>
      </w:rPr>
    </w:lvl>
    <w:lvl w:ilvl="8">
      <w:start w:val="1"/>
      <w:numFmt w:val="bullet"/>
      <w:lvlText w:val=""/>
      <w:lvlJc w:val="left"/>
      <w:pPr>
        <w:ind w:left="8327" w:hanging="360"/>
      </w:pPr>
      <w:rPr>
        <w:rFonts w:ascii="Wingdings" w:hAnsi="Wingdings" w:cs="Wingdings" w:hint="default"/>
      </w:rPr>
    </w:lvl>
  </w:abstractNum>
  <w:abstractNum w:abstractNumId="7" w15:restartNumberingAfterBreak="0">
    <w:nsid w:val="13CF3221"/>
    <w:multiLevelType w:val="multilevel"/>
    <w:tmpl w:val="962C8C2A"/>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8" w15:restartNumberingAfterBreak="0">
    <w:nsid w:val="14943486"/>
    <w:multiLevelType w:val="multilevel"/>
    <w:tmpl w:val="8BA26E68"/>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9" w15:restartNumberingAfterBreak="0">
    <w:nsid w:val="16AA28D2"/>
    <w:multiLevelType w:val="multilevel"/>
    <w:tmpl w:val="5FB2A58E"/>
    <w:lvl w:ilvl="0">
      <w:start w:val="1"/>
      <w:numFmt w:val="bullet"/>
      <w:lvlText w:val=""/>
      <w:lvlJc w:val="left"/>
      <w:pPr>
        <w:ind w:left="1287" w:hanging="360"/>
      </w:pPr>
      <w:rPr>
        <w:rFonts w:ascii="Symbol" w:hAnsi="Symbol" w:cs="Symbol" w:hint="default"/>
      </w:rPr>
    </w:lvl>
    <w:lvl w:ilvl="1">
      <w:start w:val="1"/>
      <w:numFmt w:val="bullet"/>
      <w:lvlText w:val=""/>
      <w:lvlJc w:val="left"/>
      <w:pPr>
        <w:ind w:left="2007" w:hanging="360"/>
      </w:pPr>
      <w:rPr>
        <w:rFonts w:ascii="Symbol" w:hAnsi="Symbol" w:cs="Symbol"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0" w15:restartNumberingAfterBreak="0">
    <w:nsid w:val="19547228"/>
    <w:multiLevelType w:val="multilevel"/>
    <w:tmpl w:val="87986F44"/>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1" w15:restartNumberingAfterBreak="0">
    <w:nsid w:val="1AF55408"/>
    <w:multiLevelType w:val="multilevel"/>
    <w:tmpl w:val="F6FA781E"/>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2" w15:restartNumberingAfterBreak="0">
    <w:nsid w:val="1F412800"/>
    <w:multiLevelType w:val="multilevel"/>
    <w:tmpl w:val="A348A660"/>
    <w:lvl w:ilvl="0">
      <w:start w:val="1"/>
      <w:numFmt w:val="bullet"/>
      <w:lvlText w:val=""/>
      <w:lvlJc w:val="left"/>
      <w:pPr>
        <w:ind w:left="1287" w:hanging="360"/>
      </w:pPr>
      <w:rPr>
        <w:rFonts w:ascii="Symbol" w:hAnsi="Symbol" w:cs="Symbol" w:hint="default"/>
      </w:rPr>
    </w:lvl>
    <w:lvl w:ilvl="1">
      <w:start w:val="1"/>
      <w:numFmt w:val="bullet"/>
      <w:lvlText w:val=""/>
      <w:lvlJc w:val="left"/>
      <w:pPr>
        <w:ind w:left="2007" w:hanging="360"/>
      </w:pPr>
      <w:rPr>
        <w:rFonts w:ascii="Symbol" w:hAnsi="Symbol" w:cs="Symbol"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3" w15:restartNumberingAfterBreak="0">
    <w:nsid w:val="208124DD"/>
    <w:multiLevelType w:val="multilevel"/>
    <w:tmpl w:val="F8768274"/>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14" w15:restartNumberingAfterBreak="0">
    <w:nsid w:val="209C4BCD"/>
    <w:multiLevelType w:val="multilevel"/>
    <w:tmpl w:val="617674B2"/>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15" w15:restartNumberingAfterBreak="0">
    <w:nsid w:val="22BE7974"/>
    <w:multiLevelType w:val="multilevel"/>
    <w:tmpl w:val="4238E530"/>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254E4835"/>
    <w:multiLevelType w:val="multilevel"/>
    <w:tmpl w:val="A6B85872"/>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7" w15:restartNumberingAfterBreak="0">
    <w:nsid w:val="256E144A"/>
    <w:multiLevelType w:val="multilevel"/>
    <w:tmpl w:val="425C3BCC"/>
    <w:lvl w:ilvl="0">
      <w:start w:val="1"/>
      <w:numFmt w:val="decimal"/>
      <w:lvlText w:val="%1"/>
      <w:lvlJc w:val="left"/>
      <w:pPr>
        <w:ind w:left="420" w:hanging="420"/>
      </w:pPr>
    </w:lvl>
    <w:lvl w:ilvl="1">
      <w:start w:val="1"/>
      <w:numFmt w:val="decimal"/>
      <w:lvlText w:val="%1.%2"/>
      <w:lvlJc w:val="left"/>
      <w:pPr>
        <w:ind w:left="987" w:hanging="4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8" w15:restartNumberingAfterBreak="0">
    <w:nsid w:val="2667703B"/>
    <w:multiLevelType w:val="multilevel"/>
    <w:tmpl w:val="C346EDA4"/>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268A4228"/>
    <w:multiLevelType w:val="multilevel"/>
    <w:tmpl w:val="8A94D87C"/>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20" w15:restartNumberingAfterBreak="0">
    <w:nsid w:val="28225181"/>
    <w:multiLevelType w:val="multilevel"/>
    <w:tmpl w:val="EB50E41A"/>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B3B3D7C"/>
    <w:multiLevelType w:val="multilevel"/>
    <w:tmpl w:val="1D8AC09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2BDC52B6"/>
    <w:multiLevelType w:val="multilevel"/>
    <w:tmpl w:val="90E075C6"/>
    <w:lvl w:ilvl="0">
      <w:start w:val="3"/>
      <w:numFmt w:val="decimal"/>
      <w:lvlText w:val="%1"/>
      <w:lvlJc w:val="left"/>
      <w:pPr>
        <w:ind w:left="780" w:hanging="360"/>
      </w:pPr>
    </w:lvl>
    <w:lvl w:ilvl="1">
      <w:start w:val="2"/>
      <w:numFmt w:val="decimal"/>
      <w:lvlText w:val="%1.%2"/>
      <w:lvlJc w:val="left"/>
      <w:pPr>
        <w:ind w:left="987" w:hanging="420"/>
      </w:pPr>
    </w:lvl>
    <w:lvl w:ilvl="2">
      <w:start w:val="1"/>
      <w:numFmt w:val="decimal"/>
      <w:lvlText w:val="%1.%2.%3"/>
      <w:lvlJc w:val="left"/>
      <w:pPr>
        <w:ind w:left="1434" w:hanging="720"/>
      </w:pPr>
    </w:lvl>
    <w:lvl w:ilvl="3">
      <w:start w:val="1"/>
      <w:numFmt w:val="decimal"/>
      <w:lvlText w:val="%1.%2.%3.%4"/>
      <w:lvlJc w:val="left"/>
      <w:pPr>
        <w:ind w:left="1581" w:hanging="720"/>
      </w:pPr>
    </w:lvl>
    <w:lvl w:ilvl="4">
      <w:start w:val="1"/>
      <w:numFmt w:val="decimal"/>
      <w:lvlText w:val="%1.%2.%3.%4.%5"/>
      <w:lvlJc w:val="left"/>
      <w:pPr>
        <w:ind w:left="2088" w:hanging="1080"/>
      </w:pPr>
    </w:lvl>
    <w:lvl w:ilvl="5">
      <w:start w:val="1"/>
      <w:numFmt w:val="decimal"/>
      <w:lvlText w:val="%1.%2.%3.%4.%5.%6"/>
      <w:lvlJc w:val="left"/>
      <w:pPr>
        <w:ind w:left="2235" w:hanging="1080"/>
      </w:pPr>
    </w:lvl>
    <w:lvl w:ilvl="6">
      <w:start w:val="1"/>
      <w:numFmt w:val="decimal"/>
      <w:lvlText w:val="%1.%2.%3.%4.%5.%6.%7"/>
      <w:lvlJc w:val="left"/>
      <w:pPr>
        <w:ind w:left="2742" w:hanging="1440"/>
      </w:pPr>
    </w:lvl>
    <w:lvl w:ilvl="7">
      <w:start w:val="1"/>
      <w:numFmt w:val="decimal"/>
      <w:lvlText w:val="%1.%2.%3.%4.%5.%6.%7.%8"/>
      <w:lvlJc w:val="left"/>
      <w:pPr>
        <w:ind w:left="2889" w:hanging="1440"/>
      </w:pPr>
    </w:lvl>
    <w:lvl w:ilvl="8">
      <w:start w:val="1"/>
      <w:numFmt w:val="decimal"/>
      <w:lvlText w:val="%1.%2.%3.%4.%5.%6.%7.%8.%9"/>
      <w:lvlJc w:val="left"/>
      <w:pPr>
        <w:ind w:left="3396" w:hanging="1800"/>
      </w:pPr>
    </w:lvl>
  </w:abstractNum>
  <w:abstractNum w:abstractNumId="23" w15:restartNumberingAfterBreak="0">
    <w:nsid w:val="2DC50A37"/>
    <w:multiLevelType w:val="multilevel"/>
    <w:tmpl w:val="2B12DE6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2E6875BE"/>
    <w:multiLevelType w:val="multilevel"/>
    <w:tmpl w:val="A392883A"/>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2EBA5F8B"/>
    <w:multiLevelType w:val="multilevel"/>
    <w:tmpl w:val="3A124142"/>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6" w15:restartNumberingAfterBreak="0">
    <w:nsid w:val="31122B33"/>
    <w:multiLevelType w:val="multilevel"/>
    <w:tmpl w:val="F1ACF304"/>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7" w15:restartNumberingAfterBreak="0">
    <w:nsid w:val="35163F56"/>
    <w:multiLevelType w:val="multilevel"/>
    <w:tmpl w:val="04A69546"/>
    <w:lvl w:ilvl="0">
      <w:start w:val="1"/>
      <w:numFmt w:val="bullet"/>
      <w:lvlText w:val=""/>
      <w:lvlJc w:val="left"/>
      <w:pPr>
        <w:ind w:left="2007" w:hanging="360"/>
      </w:pPr>
      <w:rPr>
        <w:rFonts w:ascii="Symbol" w:hAnsi="Symbol" w:cs="Symbol" w:hint="default"/>
      </w:rPr>
    </w:lvl>
    <w:lvl w:ilvl="1">
      <w:start w:val="1"/>
      <w:numFmt w:val="bullet"/>
      <w:lvlText w:val="o"/>
      <w:lvlJc w:val="left"/>
      <w:pPr>
        <w:ind w:left="2727" w:hanging="360"/>
      </w:pPr>
      <w:rPr>
        <w:rFonts w:ascii="Courier New" w:hAnsi="Courier New" w:cs="Courier New" w:hint="default"/>
      </w:rPr>
    </w:lvl>
    <w:lvl w:ilvl="2">
      <w:start w:val="1"/>
      <w:numFmt w:val="bullet"/>
      <w:lvlText w:val=""/>
      <w:lvlJc w:val="left"/>
      <w:pPr>
        <w:ind w:left="3447" w:hanging="360"/>
      </w:pPr>
      <w:rPr>
        <w:rFonts w:ascii="Wingdings" w:hAnsi="Wingdings" w:cs="Wingdings" w:hint="default"/>
      </w:rPr>
    </w:lvl>
    <w:lvl w:ilvl="3">
      <w:start w:val="1"/>
      <w:numFmt w:val="bullet"/>
      <w:lvlText w:val=""/>
      <w:lvlJc w:val="left"/>
      <w:pPr>
        <w:ind w:left="4167" w:hanging="360"/>
      </w:pPr>
      <w:rPr>
        <w:rFonts w:ascii="Symbol" w:hAnsi="Symbol" w:cs="Symbol" w:hint="default"/>
      </w:rPr>
    </w:lvl>
    <w:lvl w:ilvl="4">
      <w:start w:val="1"/>
      <w:numFmt w:val="bullet"/>
      <w:lvlText w:val="o"/>
      <w:lvlJc w:val="left"/>
      <w:pPr>
        <w:ind w:left="4887" w:hanging="360"/>
      </w:pPr>
      <w:rPr>
        <w:rFonts w:ascii="Courier New" w:hAnsi="Courier New" w:cs="Courier New" w:hint="default"/>
      </w:rPr>
    </w:lvl>
    <w:lvl w:ilvl="5">
      <w:start w:val="1"/>
      <w:numFmt w:val="bullet"/>
      <w:lvlText w:val=""/>
      <w:lvlJc w:val="left"/>
      <w:pPr>
        <w:ind w:left="5607" w:hanging="360"/>
      </w:pPr>
      <w:rPr>
        <w:rFonts w:ascii="Wingdings" w:hAnsi="Wingdings" w:cs="Wingdings" w:hint="default"/>
      </w:rPr>
    </w:lvl>
    <w:lvl w:ilvl="6">
      <w:start w:val="1"/>
      <w:numFmt w:val="bullet"/>
      <w:lvlText w:val=""/>
      <w:lvlJc w:val="left"/>
      <w:pPr>
        <w:ind w:left="6327" w:hanging="360"/>
      </w:pPr>
      <w:rPr>
        <w:rFonts w:ascii="Symbol" w:hAnsi="Symbol" w:cs="Symbol" w:hint="default"/>
      </w:rPr>
    </w:lvl>
    <w:lvl w:ilvl="7">
      <w:start w:val="1"/>
      <w:numFmt w:val="bullet"/>
      <w:lvlText w:val="o"/>
      <w:lvlJc w:val="left"/>
      <w:pPr>
        <w:ind w:left="7047" w:hanging="360"/>
      </w:pPr>
      <w:rPr>
        <w:rFonts w:ascii="Courier New" w:hAnsi="Courier New" w:cs="Courier New" w:hint="default"/>
      </w:rPr>
    </w:lvl>
    <w:lvl w:ilvl="8">
      <w:start w:val="1"/>
      <w:numFmt w:val="bullet"/>
      <w:lvlText w:val=""/>
      <w:lvlJc w:val="left"/>
      <w:pPr>
        <w:ind w:left="7767" w:hanging="360"/>
      </w:pPr>
      <w:rPr>
        <w:rFonts w:ascii="Wingdings" w:hAnsi="Wingdings" w:cs="Wingdings" w:hint="default"/>
      </w:rPr>
    </w:lvl>
  </w:abstractNum>
  <w:abstractNum w:abstractNumId="28" w15:restartNumberingAfterBreak="0">
    <w:nsid w:val="357E656B"/>
    <w:multiLevelType w:val="multilevel"/>
    <w:tmpl w:val="1CF2BFB6"/>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9" w15:restartNumberingAfterBreak="0">
    <w:nsid w:val="38D507DB"/>
    <w:multiLevelType w:val="multilevel"/>
    <w:tmpl w:val="FC3C1754"/>
    <w:lvl w:ilvl="0">
      <w:start w:val="1"/>
      <w:numFmt w:val="bullet"/>
      <w:lvlText w:val=""/>
      <w:lvlJc w:val="left"/>
      <w:pPr>
        <w:tabs>
          <w:tab w:val="num" w:pos="710"/>
        </w:tabs>
        <w:ind w:left="1" w:firstLine="708"/>
      </w:pPr>
      <w:rPr>
        <w:rFonts w:ascii="Symbol" w:hAnsi="Symbol" w:cs="Symbol" w:hint="default"/>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9CA399B"/>
    <w:multiLevelType w:val="multilevel"/>
    <w:tmpl w:val="58E60496"/>
    <w:lvl w:ilvl="0">
      <w:start w:val="1"/>
      <w:numFmt w:val="decimal"/>
      <w:lvlText w:val="%1)"/>
      <w:lvlJc w:val="left"/>
      <w:pPr>
        <w:tabs>
          <w:tab w:val="num" w:pos="709"/>
        </w:tabs>
        <w:ind w:left="0" w:firstLine="709"/>
      </w:pPr>
    </w:lvl>
    <w:lvl w:ilvl="1">
      <w:start w:val="1"/>
      <w:numFmt w:val="lowerLetter"/>
      <w:lvlText w:val="%2."/>
      <w:lvlJc w:val="left"/>
      <w:pPr>
        <w:tabs>
          <w:tab w:val="num" w:pos="1440"/>
        </w:tabs>
        <w:ind w:left="1440" w:hanging="360"/>
      </w:pPr>
    </w:lvl>
    <w:lvl w:ilvl="2">
      <w:start w:val="1"/>
      <w:numFmt w:val="decimal"/>
      <w:lvlText w:val="%3)"/>
      <w:lvlJc w:val="left"/>
      <w:pPr>
        <w:tabs>
          <w:tab w:val="num" w:pos="709"/>
        </w:tabs>
        <w:ind w:left="0" w:firstLine="709"/>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D5D498B"/>
    <w:multiLevelType w:val="multilevel"/>
    <w:tmpl w:val="464C3A5C"/>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32" w15:restartNumberingAfterBreak="0">
    <w:nsid w:val="3EF037A6"/>
    <w:multiLevelType w:val="multilevel"/>
    <w:tmpl w:val="3BBC264E"/>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3" w15:restartNumberingAfterBreak="0">
    <w:nsid w:val="42963B5D"/>
    <w:multiLevelType w:val="multilevel"/>
    <w:tmpl w:val="4F10A2A4"/>
    <w:lvl w:ilvl="0">
      <w:start w:val="1"/>
      <w:numFmt w:val="bullet"/>
      <w:lvlText w:val=""/>
      <w:lvlJc w:val="left"/>
      <w:pPr>
        <w:ind w:left="927" w:hanging="360"/>
      </w:pPr>
      <w:rPr>
        <w:rFonts w:ascii="Symbol" w:hAnsi="Symbol" w:cs="Symbol" w:hint="default"/>
      </w:rPr>
    </w:lvl>
    <w:lvl w:ilvl="1">
      <w:start w:val="1"/>
      <w:numFmt w:val="bullet"/>
      <w:lvlText w:val="–"/>
      <w:lvlJc w:val="left"/>
      <w:pPr>
        <w:ind w:left="1647" w:hanging="360"/>
      </w:pPr>
      <w:rPr>
        <w:rFonts w:ascii="Times New Roman" w:hAnsi="Times New Roman" w:cs="Times New Roman"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34" w15:restartNumberingAfterBreak="0">
    <w:nsid w:val="45B90617"/>
    <w:multiLevelType w:val="multilevel"/>
    <w:tmpl w:val="91AE4464"/>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35" w15:restartNumberingAfterBreak="0">
    <w:nsid w:val="468C1DC2"/>
    <w:multiLevelType w:val="multilevel"/>
    <w:tmpl w:val="C59EE476"/>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36" w15:restartNumberingAfterBreak="0">
    <w:nsid w:val="4CAD54A5"/>
    <w:multiLevelType w:val="multilevel"/>
    <w:tmpl w:val="EA4CEA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CD30B7E"/>
    <w:multiLevelType w:val="multilevel"/>
    <w:tmpl w:val="2D903BEC"/>
    <w:lvl w:ilvl="0">
      <w:start w:val="1"/>
      <w:numFmt w:val="bullet"/>
      <w:lvlText w:val=""/>
      <w:lvlJc w:val="left"/>
      <w:pPr>
        <w:ind w:left="1494"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8" w15:restartNumberingAfterBreak="0">
    <w:nsid w:val="4DA8610B"/>
    <w:multiLevelType w:val="multilevel"/>
    <w:tmpl w:val="473E8B30"/>
    <w:lvl w:ilvl="0">
      <w:start w:val="1"/>
      <w:numFmt w:val="bullet"/>
      <w:lvlText w:val=""/>
      <w:lvlJc w:val="left"/>
      <w:pPr>
        <w:ind w:left="1287" w:hanging="360"/>
      </w:pPr>
      <w:rPr>
        <w:rFonts w:ascii="Symbol" w:hAnsi="Symbol" w:cs="Symbol" w:hint="default"/>
      </w:rPr>
    </w:lvl>
    <w:lvl w:ilvl="1">
      <w:start w:val="6"/>
      <w:numFmt w:val="bullet"/>
      <w:lvlText w:val="·"/>
      <w:lvlJc w:val="left"/>
      <w:pPr>
        <w:ind w:left="2007" w:hanging="360"/>
      </w:pPr>
      <w:rPr>
        <w:rFonts w:ascii="Arial" w:hAnsi="Arial" w:cs="Arial" w:hint="default"/>
        <w:color w:val="000000"/>
        <w:sz w:val="28"/>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9" w15:restartNumberingAfterBreak="0">
    <w:nsid w:val="4F1351EC"/>
    <w:multiLevelType w:val="multilevel"/>
    <w:tmpl w:val="27E26C4A"/>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40" w15:restartNumberingAfterBreak="0">
    <w:nsid w:val="4FCC787C"/>
    <w:multiLevelType w:val="multilevel"/>
    <w:tmpl w:val="18C231E6"/>
    <w:lvl w:ilvl="0">
      <w:start w:val="1"/>
      <w:numFmt w:val="bullet"/>
      <w:lvlText w:val=""/>
      <w:lvlJc w:val="left"/>
      <w:pPr>
        <w:ind w:left="1494"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41" w15:restartNumberingAfterBreak="0">
    <w:nsid w:val="53407BBE"/>
    <w:multiLevelType w:val="multilevel"/>
    <w:tmpl w:val="1972B02E"/>
    <w:lvl w:ilvl="0">
      <w:start w:val="1"/>
      <w:numFmt w:val="bullet"/>
      <w:lvlText w:val=""/>
      <w:lvlJc w:val="left"/>
      <w:pPr>
        <w:ind w:left="1287" w:hanging="360"/>
      </w:pPr>
      <w:rPr>
        <w:rFonts w:ascii="Symbol" w:hAnsi="Symbol" w:cs="Symbol" w:hint="default"/>
      </w:rPr>
    </w:lvl>
    <w:lvl w:ilvl="1">
      <w:start w:val="1"/>
      <w:numFmt w:val="bullet"/>
      <w:lvlText w:val=""/>
      <w:lvlJc w:val="left"/>
      <w:pPr>
        <w:ind w:left="2007" w:hanging="360"/>
      </w:pPr>
      <w:rPr>
        <w:rFonts w:ascii="Symbol" w:hAnsi="Symbol" w:cs="Symbol"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42" w15:restartNumberingAfterBreak="0">
    <w:nsid w:val="54297F54"/>
    <w:multiLevelType w:val="multilevel"/>
    <w:tmpl w:val="FDA2CD34"/>
    <w:lvl w:ilvl="0">
      <w:start w:val="1"/>
      <w:numFmt w:val="bullet"/>
      <w:lvlText w:val=""/>
      <w:lvlJc w:val="left"/>
      <w:pPr>
        <w:ind w:left="1287" w:hanging="360"/>
      </w:pPr>
      <w:rPr>
        <w:rFonts w:ascii="Symbol" w:hAnsi="Symbol" w:cs="Symbol" w:hint="default"/>
        <w:sz w:val="2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43" w15:restartNumberingAfterBreak="0">
    <w:nsid w:val="5BE06554"/>
    <w:multiLevelType w:val="multilevel"/>
    <w:tmpl w:val="22AEC096"/>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44" w15:restartNumberingAfterBreak="0">
    <w:nsid w:val="619907E6"/>
    <w:multiLevelType w:val="multilevel"/>
    <w:tmpl w:val="87EC069A"/>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15:restartNumberingAfterBreak="0">
    <w:nsid w:val="61AA12DE"/>
    <w:multiLevelType w:val="multilevel"/>
    <w:tmpl w:val="F1C0D3E0"/>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15:restartNumberingAfterBreak="0">
    <w:nsid w:val="64A84B31"/>
    <w:multiLevelType w:val="multilevel"/>
    <w:tmpl w:val="99F6FFD2"/>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65971933"/>
    <w:multiLevelType w:val="multilevel"/>
    <w:tmpl w:val="DA00B138"/>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48" w15:restartNumberingAfterBreak="0">
    <w:nsid w:val="67AA3736"/>
    <w:multiLevelType w:val="multilevel"/>
    <w:tmpl w:val="A42806A0"/>
    <w:lvl w:ilvl="0">
      <w:start w:val="1"/>
      <w:numFmt w:val="bullet"/>
      <w:lvlText w:val=""/>
      <w:lvlJc w:val="left"/>
      <w:pPr>
        <w:ind w:left="1287" w:hanging="360"/>
      </w:pPr>
      <w:rPr>
        <w:rFonts w:ascii="Symbol" w:hAnsi="Symbol" w:cs="Symbol" w:hint="default"/>
        <w:sz w:val="2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49" w15:restartNumberingAfterBreak="0">
    <w:nsid w:val="67BB3236"/>
    <w:multiLevelType w:val="multilevel"/>
    <w:tmpl w:val="200A9F8E"/>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50" w15:restartNumberingAfterBreak="0">
    <w:nsid w:val="69DA1DF6"/>
    <w:multiLevelType w:val="multilevel"/>
    <w:tmpl w:val="522E1348"/>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51" w15:restartNumberingAfterBreak="0">
    <w:nsid w:val="71CF7249"/>
    <w:multiLevelType w:val="multilevel"/>
    <w:tmpl w:val="3ABED8B0"/>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52" w15:restartNumberingAfterBreak="0">
    <w:nsid w:val="7302660C"/>
    <w:multiLevelType w:val="multilevel"/>
    <w:tmpl w:val="57E6695C"/>
    <w:lvl w:ilvl="0">
      <w:start w:val="1"/>
      <w:numFmt w:val="bullet"/>
      <w:lvlText w:val="-"/>
      <w:lvlJc w:val="left"/>
      <w:pPr>
        <w:ind w:left="927" w:hanging="360"/>
      </w:pPr>
      <w:rPr>
        <w:rFonts w:ascii="Times New Roman" w:hAnsi="Times New Roman" w:cs="Times New Roman" w:hint="default"/>
        <w:sz w:val="28"/>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53" w15:restartNumberingAfterBreak="0">
    <w:nsid w:val="770F5CD4"/>
    <w:multiLevelType w:val="multilevel"/>
    <w:tmpl w:val="FEB062D2"/>
    <w:lvl w:ilvl="0">
      <w:start w:val="1"/>
      <w:numFmt w:val="bullet"/>
      <w:lvlText w:val=""/>
      <w:lvlJc w:val="left"/>
      <w:pPr>
        <w:tabs>
          <w:tab w:val="num" w:pos="710"/>
        </w:tabs>
        <w:ind w:left="1" w:firstLine="708"/>
      </w:pPr>
      <w:rPr>
        <w:rFonts w:ascii="Symbol" w:hAnsi="Symbol" w:cs="Symbol" w:hint="default"/>
        <w:sz w:val="24"/>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C2B5A94"/>
    <w:multiLevelType w:val="multilevel"/>
    <w:tmpl w:val="60D4117C"/>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55" w15:restartNumberingAfterBreak="0">
    <w:nsid w:val="7E9C70A3"/>
    <w:multiLevelType w:val="multilevel"/>
    <w:tmpl w:val="CFB4D6F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6"/>
  </w:num>
  <w:num w:numId="2">
    <w:abstractNumId w:val="1"/>
  </w:num>
  <w:num w:numId="3">
    <w:abstractNumId w:val="48"/>
  </w:num>
  <w:num w:numId="4">
    <w:abstractNumId w:val="42"/>
  </w:num>
  <w:num w:numId="5">
    <w:abstractNumId w:val="2"/>
  </w:num>
  <w:num w:numId="6">
    <w:abstractNumId w:val="46"/>
  </w:num>
  <w:num w:numId="7">
    <w:abstractNumId w:val="45"/>
  </w:num>
  <w:num w:numId="8">
    <w:abstractNumId w:val="52"/>
  </w:num>
  <w:num w:numId="9">
    <w:abstractNumId w:val="30"/>
  </w:num>
  <w:num w:numId="10">
    <w:abstractNumId w:val="23"/>
  </w:num>
  <w:num w:numId="11">
    <w:abstractNumId w:val="3"/>
  </w:num>
  <w:num w:numId="12">
    <w:abstractNumId w:val="32"/>
  </w:num>
  <w:num w:numId="13">
    <w:abstractNumId w:val="54"/>
  </w:num>
  <w:num w:numId="14">
    <w:abstractNumId w:val="15"/>
  </w:num>
  <w:num w:numId="15">
    <w:abstractNumId w:val="0"/>
  </w:num>
  <w:num w:numId="16">
    <w:abstractNumId w:val="18"/>
  </w:num>
  <w:num w:numId="17">
    <w:abstractNumId w:val="24"/>
  </w:num>
  <w:num w:numId="18">
    <w:abstractNumId w:val="44"/>
  </w:num>
  <w:num w:numId="19">
    <w:abstractNumId w:val="41"/>
  </w:num>
  <w:num w:numId="20">
    <w:abstractNumId w:val="20"/>
  </w:num>
  <w:num w:numId="21">
    <w:abstractNumId w:val="17"/>
  </w:num>
  <w:num w:numId="22">
    <w:abstractNumId w:val="16"/>
  </w:num>
  <w:num w:numId="23">
    <w:abstractNumId w:val="29"/>
  </w:num>
  <w:num w:numId="24">
    <w:abstractNumId w:val="26"/>
  </w:num>
  <w:num w:numId="25">
    <w:abstractNumId w:val="28"/>
  </w:num>
  <w:num w:numId="26">
    <w:abstractNumId w:val="22"/>
  </w:num>
  <w:num w:numId="27">
    <w:abstractNumId w:val="38"/>
  </w:num>
  <w:num w:numId="28">
    <w:abstractNumId w:val="21"/>
  </w:num>
  <w:num w:numId="29">
    <w:abstractNumId w:val="34"/>
  </w:num>
  <w:num w:numId="30">
    <w:abstractNumId w:val="6"/>
  </w:num>
  <w:num w:numId="31">
    <w:abstractNumId w:val="51"/>
  </w:num>
  <w:num w:numId="32">
    <w:abstractNumId w:val="31"/>
  </w:num>
  <w:num w:numId="33">
    <w:abstractNumId w:val="11"/>
  </w:num>
  <w:num w:numId="34">
    <w:abstractNumId w:val="37"/>
  </w:num>
  <w:num w:numId="35">
    <w:abstractNumId w:val="19"/>
  </w:num>
  <w:num w:numId="36">
    <w:abstractNumId w:val="35"/>
  </w:num>
  <w:num w:numId="37">
    <w:abstractNumId w:val="10"/>
  </w:num>
  <w:num w:numId="38">
    <w:abstractNumId w:val="5"/>
  </w:num>
  <w:num w:numId="39">
    <w:abstractNumId w:val="55"/>
  </w:num>
  <w:num w:numId="40">
    <w:abstractNumId w:val="39"/>
  </w:num>
  <w:num w:numId="41">
    <w:abstractNumId w:val="47"/>
  </w:num>
  <w:num w:numId="42">
    <w:abstractNumId w:val="14"/>
  </w:num>
  <w:num w:numId="43">
    <w:abstractNumId w:val="25"/>
  </w:num>
  <w:num w:numId="44">
    <w:abstractNumId w:val="50"/>
  </w:num>
  <w:num w:numId="45">
    <w:abstractNumId w:val="8"/>
  </w:num>
  <w:num w:numId="46">
    <w:abstractNumId w:val="7"/>
  </w:num>
  <w:num w:numId="47">
    <w:abstractNumId w:val="40"/>
  </w:num>
  <w:num w:numId="48">
    <w:abstractNumId w:val="49"/>
  </w:num>
  <w:num w:numId="49">
    <w:abstractNumId w:val="33"/>
  </w:num>
  <w:num w:numId="50">
    <w:abstractNumId w:val="4"/>
  </w:num>
  <w:num w:numId="51">
    <w:abstractNumId w:val="13"/>
  </w:num>
  <w:num w:numId="52">
    <w:abstractNumId w:val="12"/>
  </w:num>
  <w:num w:numId="53">
    <w:abstractNumId w:val="9"/>
  </w:num>
  <w:num w:numId="54">
    <w:abstractNumId w:val="43"/>
  </w:num>
  <w:num w:numId="55">
    <w:abstractNumId w:val="53"/>
  </w:num>
  <w:num w:numId="56">
    <w:abstractNumId w:val="2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38D"/>
    <w:rsid w:val="0009536B"/>
    <w:rsid w:val="00192DBE"/>
    <w:rsid w:val="002015CE"/>
    <w:rsid w:val="0039038D"/>
    <w:rsid w:val="0048672F"/>
    <w:rsid w:val="0052791A"/>
    <w:rsid w:val="005523C8"/>
    <w:rsid w:val="005E7CDC"/>
    <w:rsid w:val="00640A5F"/>
    <w:rsid w:val="008D4FA6"/>
    <w:rsid w:val="00AB5061"/>
    <w:rsid w:val="00B10124"/>
    <w:rsid w:val="00BC5779"/>
    <w:rsid w:val="00C3376E"/>
    <w:rsid w:val="00DB7952"/>
    <w:rsid w:val="00EA28CB"/>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45A69A"/>
  <w15:docId w15:val="{4290ABD6-A257-421E-8739-D1085E5F3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75765E"/>
  </w:style>
  <w:style w:type="character" w:customStyle="1" w:styleId="a4">
    <w:name w:val="Нижний колонтитул Знак"/>
    <w:basedOn w:val="a0"/>
    <w:uiPriority w:val="99"/>
    <w:qFormat/>
    <w:rsid w:val="0075765E"/>
  </w:style>
  <w:style w:type="character" w:customStyle="1" w:styleId="-">
    <w:name w:val="Интернет-ссылка"/>
    <w:basedOn w:val="a0"/>
    <w:uiPriority w:val="99"/>
    <w:unhideWhenUsed/>
    <w:rsid w:val="00C12E33"/>
    <w:rPr>
      <w:color w:val="0563C1" w:themeColor="hyperlink"/>
      <w:u w:val="single"/>
    </w:rPr>
  </w:style>
  <w:style w:type="character" w:styleId="a5">
    <w:name w:val="Placeholder Text"/>
    <w:basedOn w:val="a0"/>
    <w:uiPriority w:val="99"/>
    <w:semiHidden/>
    <w:qFormat/>
    <w:rsid w:val="00D95A23"/>
    <w:rPr>
      <w:color w:val="808080"/>
    </w:rPr>
  </w:style>
  <w:style w:type="character" w:customStyle="1" w:styleId="a6">
    <w:name w:val="Текст выноски Знак"/>
    <w:basedOn w:val="a0"/>
    <w:uiPriority w:val="99"/>
    <w:semiHidden/>
    <w:qFormat/>
    <w:rsid w:val="0049278F"/>
    <w:rPr>
      <w:rFonts w:ascii="Segoe UI" w:hAnsi="Segoe UI" w:cs="Segoe UI"/>
      <w:sz w:val="18"/>
      <w:szCs w:val="18"/>
    </w:rPr>
  </w:style>
  <w:style w:type="paragraph" w:styleId="a7">
    <w:name w:val="Title"/>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line="288"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List Paragraph"/>
    <w:basedOn w:val="a"/>
    <w:uiPriority w:val="34"/>
    <w:qFormat/>
    <w:rsid w:val="0092303D"/>
    <w:pPr>
      <w:ind w:left="720"/>
      <w:contextualSpacing/>
    </w:pPr>
  </w:style>
  <w:style w:type="paragraph" w:customStyle="1" w:styleId="ad">
    <w:name w:val="Верхний и нижний колонтитулы"/>
    <w:basedOn w:val="a"/>
    <w:qFormat/>
  </w:style>
  <w:style w:type="paragraph" w:styleId="ae">
    <w:name w:val="header"/>
    <w:basedOn w:val="a"/>
    <w:uiPriority w:val="99"/>
    <w:unhideWhenUsed/>
    <w:rsid w:val="0075765E"/>
    <w:pPr>
      <w:tabs>
        <w:tab w:val="center" w:pos="4819"/>
        <w:tab w:val="right" w:pos="9639"/>
      </w:tabs>
      <w:spacing w:after="0" w:line="240" w:lineRule="auto"/>
    </w:pPr>
  </w:style>
  <w:style w:type="paragraph" w:styleId="af">
    <w:name w:val="footer"/>
    <w:basedOn w:val="a"/>
    <w:uiPriority w:val="99"/>
    <w:unhideWhenUsed/>
    <w:rsid w:val="0075765E"/>
    <w:pPr>
      <w:tabs>
        <w:tab w:val="center" w:pos="4819"/>
        <w:tab w:val="right" w:pos="9639"/>
      </w:tabs>
      <w:spacing w:after="0" w:line="240" w:lineRule="auto"/>
    </w:pPr>
  </w:style>
  <w:style w:type="paragraph" w:styleId="af0">
    <w:name w:val="Normal (Web)"/>
    <w:basedOn w:val="a"/>
    <w:uiPriority w:val="99"/>
    <w:semiHidden/>
    <w:unhideWhenUsed/>
    <w:qFormat/>
    <w:rsid w:val="00917421"/>
    <w:pPr>
      <w:spacing w:beforeAutospacing="1" w:afterAutospacing="1" w:line="240" w:lineRule="auto"/>
    </w:pPr>
    <w:rPr>
      <w:rFonts w:ascii="Times New Roman" w:eastAsia="Times New Roman" w:hAnsi="Times New Roman" w:cs="Times New Roman"/>
      <w:sz w:val="24"/>
      <w:szCs w:val="24"/>
      <w:lang w:eastAsia="uk-UA"/>
    </w:rPr>
  </w:style>
  <w:style w:type="paragraph" w:styleId="af1">
    <w:name w:val="Balloon Text"/>
    <w:basedOn w:val="a"/>
    <w:uiPriority w:val="99"/>
    <w:semiHidden/>
    <w:unhideWhenUsed/>
    <w:qFormat/>
    <w:rsid w:val="0049278F"/>
    <w:pPr>
      <w:spacing w:after="0" w:line="240" w:lineRule="auto"/>
    </w:pPr>
    <w:rPr>
      <w:rFonts w:ascii="Segoe UI" w:hAnsi="Segoe UI" w:cs="Segoe UI"/>
      <w:sz w:val="18"/>
      <w:szCs w:val="18"/>
    </w:rPr>
  </w:style>
  <w:style w:type="table" w:customStyle="1" w:styleId="1">
    <w:name w:val="Сетка таблицы1"/>
    <w:basedOn w:val="a1"/>
    <w:rsid w:val="00134D33"/>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39"/>
    <w:rsid w:val="00134D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chart" Target="charts/chart12.xml"/><Relationship Id="rId21" Type="http://schemas.openxmlformats.org/officeDocument/2006/relationships/image" Target="media/image9.png"/><Relationship Id="rId34" Type="http://schemas.openxmlformats.org/officeDocument/2006/relationships/chart" Target="charts/chart7.xml"/><Relationship Id="rId42" Type="http://schemas.openxmlformats.org/officeDocument/2006/relationships/chart" Target="charts/chart15.xml"/><Relationship Id="rId47" Type="http://schemas.openxmlformats.org/officeDocument/2006/relationships/chart" Target="charts/chart20.xml"/><Relationship Id="rId50" Type="http://schemas.openxmlformats.org/officeDocument/2006/relationships/chart" Target="charts/chart22.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chart" Target="charts/chart2.xml"/><Relationship Id="rId11" Type="http://schemas.openxmlformats.org/officeDocument/2006/relationships/diagramColors" Target="diagrams/colors1.xml"/><Relationship Id="rId24" Type="http://schemas.openxmlformats.org/officeDocument/2006/relationships/image" Target="media/image12.png"/><Relationship Id="rId32" Type="http://schemas.openxmlformats.org/officeDocument/2006/relationships/chart" Target="charts/chart5.xml"/><Relationship Id="rId37" Type="http://schemas.openxmlformats.org/officeDocument/2006/relationships/chart" Target="charts/chart10.xml"/><Relationship Id="rId40" Type="http://schemas.openxmlformats.org/officeDocument/2006/relationships/chart" Target="charts/chart13.xml"/><Relationship Id="rId45" Type="http://schemas.openxmlformats.org/officeDocument/2006/relationships/chart" Target="charts/chart18.xml"/><Relationship Id="rId53" Type="http://schemas.openxmlformats.org/officeDocument/2006/relationships/chart" Target="charts/chart25.xml"/><Relationship Id="rId5" Type="http://schemas.openxmlformats.org/officeDocument/2006/relationships/webSettings" Target="webSettings.xml"/><Relationship Id="rId10" Type="http://schemas.openxmlformats.org/officeDocument/2006/relationships/diagramQuickStyle" Target="diagrams/quickStyle1.xml"/><Relationship Id="rId19" Type="http://schemas.openxmlformats.org/officeDocument/2006/relationships/image" Target="media/image7.png"/><Relationship Id="rId31" Type="http://schemas.openxmlformats.org/officeDocument/2006/relationships/chart" Target="charts/chart4.xml"/><Relationship Id="rId44" Type="http://schemas.openxmlformats.org/officeDocument/2006/relationships/chart" Target="charts/chart17.xml"/><Relationship Id="rId52" Type="http://schemas.openxmlformats.org/officeDocument/2006/relationships/chart" Target="charts/chart24.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chart" Target="charts/chart3.xml"/><Relationship Id="rId35" Type="http://schemas.openxmlformats.org/officeDocument/2006/relationships/chart" Target="charts/chart8.xml"/><Relationship Id="rId43" Type="http://schemas.openxmlformats.org/officeDocument/2006/relationships/chart" Target="charts/chart16.xml"/><Relationship Id="rId48" Type="http://schemas.openxmlformats.org/officeDocument/2006/relationships/chart" Target="charts/chart21.xml"/><Relationship Id="rId56" Type="http://schemas.openxmlformats.org/officeDocument/2006/relationships/theme" Target="theme/theme1.xml"/><Relationship Id="rId8" Type="http://schemas.openxmlformats.org/officeDocument/2006/relationships/diagramData" Target="diagrams/data1.xml"/><Relationship Id="rId51" Type="http://schemas.openxmlformats.org/officeDocument/2006/relationships/chart" Target="charts/chart23.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chart" Target="charts/chart6.xml"/><Relationship Id="rId38" Type="http://schemas.openxmlformats.org/officeDocument/2006/relationships/chart" Target="charts/chart11.xml"/><Relationship Id="rId46" Type="http://schemas.openxmlformats.org/officeDocument/2006/relationships/chart" Target="charts/chart19.xml"/><Relationship Id="rId20" Type="http://schemas.openxmlformats.org/officeDocument/2006/relationships/image" Target="media/image8.png"/><Relationship Id="rId41" Type="http://schemas.openxmlformats.org/officeDocument/2006/relationships/chart" Target="charts/chart14.xm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chart" Target="charts/chart1.xml"/><Relationship Id="rId36" Type="http://schemas.openxmlformats.org/officeDocument/2006/relationships/chart" Target="charts/chart9.xml"/><Relationship Id="rId49" Type="http://schemas.openxmlformats.org/officeDocument/2006/relationships/image" Target="media/image16.pn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lineChart>
        <c:grouping val="standard"/>
        <c:varyColors val="0"/>
        <c:ser>
          <c:idx val="0"/>
          <c:order val="0"/>
          <c:tx>
            <c:strRef>
              <c:f>label 0</c:f>
              <c:strCache>
                <c:ptCount val="1"/>
                <c:pt idx="0">
                  <c:v>Кількість патентів</c:v>
                </c:pt>
              </c:strCache>
            </c:strRef>
          </c:tx>
          <c:spPr>
            <a:ln w="31680">
              <a:solidFill>
                <a:srgbClr val="FFC000"/>
              </a:solidFill>
              <a:round/>
            </a:ln>
          </c:spPr>
          <c:marker>
            <c:symbol val="circle"/>
            <c:size val="17"/>
            <c:spPr>
              <a:solidFill>
                <a:srgbClr val="FFC000"/>
              </a:solidFill>
            </c:spPr>
          </c:marker>
          <c:dLbls>
            <c:spPr>
              <a:noFill/>
              <a:ln>
                <a:noFill/>
              </a:ln>
              <a:effectLst/>
            </c:spPr>
            <c:txPr>
              <a:bodyPr/>
              <a:lstStyle/>
              <a:p>
                <a:pPr>
                  <a:defRPr sz="900" b="1" strike="noStrike" spc="-1">
                    <a:solidFill>
                      <a:srgbClr val="FFFFFF"/>
                    </a:solidFill>
                    <a:latin typeface="Calibri"/>
                  </a:defRPr>
                </a:pPr>
                <a:endParaRPr lang="uk-UA"/>
              </a:p>
            </c:txPr>
            <c:dLblPos val="ct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6"/>
                <c:pt idx="0">
                  <c:v>2014</c:v>
                </c:pt>
                <c:pt idx="1">
                  <c:v>2015</c:v>
                </c:pt>
                <c:pt idx="2">
                  <c:v>2016</c:v>
                </c:pt>
                <c:pt idx="3">
                  <c:v>2017</c:v>
                </c:pt>
                <c:pt idx="4">
                  <c:v>2018</c:v>
                </c:pt>
                <c:pt idx="5">
                  <c:v>2019</c:v>
                </c:pt>
              </c:strCache>
            </c:strRef>
          </c:cat>
          <c:val>
            <c:numRef>
              <c:f>0</c:f>
              <c:numCache>
                <c:formatCode>General</c:formatCode>
                <c:ptCount val="6"/>
                <c:pt idx="0">
                  <c:v>1</c:v>
                </c:pt>
                <c:pt idx="1">
                  <c:v>8</c:v>
                </c:pt>
                <c:pt idx="2">
                  <c:v>72</c:v>
                </c:pt>
                <c:pt idx="3">
                  <c:v>335</c:v>
                </c:pt>
                <c:pt idx="4">
                  <c:v>1685</c:v>
                </c:pt>
                <c:pt idx="5">
                  <c:v>2677</c:v>
                </c:pt>
              </c:numCache>
            </c:numRef>
          </c:val>
          <c:smooth val="0"/>
          <c:extLst>
            <c:ext xmlns:c16="http://schemas.microsoft.com/office/drawing/2014/chart" uri="{C3380CC4-5D6E-409C-BE32-E72D297353CC}">
              <c16:uniqueId val="{00000000-0B1A-4FED-A859-0609EFB4F51C}"/>
            </c:ext>
          </c:extLst>
        </c:ser>
        <c:dLbls>
          <c:showLegendKey val="0"/>
          <c:showVal val="0"/>
          <c:showCatName val="0"/>
          <c:showSerName val="0"/>
          <c:showPercent val="0"/>
          <c:showBubbleSize val="0"/>
        </c:dLbls>
        <c:hiLowLines>
          <c:spPr>
            <a:ln>
              <a:noFill/>
            </a:ln>
          </c:spPr>
        </c:hiLowLines>
        <c:marker val="1"/>
        <c:smooth val="0"/>
        <c:axId val="22042068"/>
        <c:axId val="95200287"/>
      </c:lineChart>
      <c:catAx>
        <c:axId val="22042068"/>
        <c:scaling>
          <c:orientation val="minMax"/>
        </c:scaling>
        <c:delete val="0"/>
        <c:axPos val="b"/>
        <c:title>
          <c:tx>
            <c:rich>
              <a:bodyPr rot="0"/>
              <a:lstStyle/>
              <a:p>
                <a:pPr>
                  <a:defRPr sz="1400" b="0" strike="noStrike" spc="-1">
                    <a:solidFill>
                      <a:srgbClr val="404040"/>
                    </a:solidFill>
                    <a:latin typeface="Times New Roman"/>
                  </a:defRPr>
                </a:pPr>
                <a:r>
                  <a:rPr lang="uk-UA" sz="1400" b="0" strike="noStrike" spc="-1">
                    <a:solidFill>
                      <a:srgbClr val="404040"/>
                    </a:solidFill>
                    <a:latin typeface="Times New Roman"/>
                  </a:rPr>
                  <a:t>Рік </a:t>
                </a:r>
              </a:p>
            </c:rich>
          </c:tx>
          <c:overlay val="0"/>
          <c:spPr>
            <a:noFill/>
            <a:ln>
              <a:noFill/>
            </a:ln>
          </c:spPr>
        </c:title>
        <c:numFmt formatCode="General" sourceLinked="1"/>
        <c:majorTickMark val="none"/>
        <c:minorTickMark val="none"/>
        <c:tickLblPos val="nextTo"/>
        <c:spPr>
          <a:ln w="19080">
            <a:solidFill>
              <a:srgbClr val="404040"/>
            </a:solidFill>
            <a:round/>
          </a:ln>
        </c:spPr>
        <c:txPr>
          <a:bodyPr/>
          <a:lstStyle/>
          <a:p>
            <a:pPr>
              <a:defRPr sz="900" b="0" strike="noStrike" spc="-1">
                <a:solidFill>
                  <a:srgbClr val="404040"/>
                </a:solidFill>
                <a:latin typeface="Calibri"/>
              </a:defRPr>
            </a:pPr>
            <a:endParaRPr lang="uk-UA"/>
          </a:p>
        </c:txPr>
        <c:crossAx val="95200287"/>
        <c:crosses val="autoZero"/>
        <c:auto val="1"/>
        <c:lblAlgn val="ctr"/>
        <c:lblOffset val="100"/>
        <c:noMultiLvlLbl val="1"/>
      </c:catAx>
      <c:valAx>
        <c:axId val="95200287"/>
        <c:scaling>
          <c:orientation val="minMax"/>
        </c:scaling>
        <c:delete val="1"/>
        <c:axPos val="l"/>
        <c:title>
          <c:tx>
            <c:rich>
              <a:bodyPr rot="-5400000"/>
              <a:lstStyle/>
              <a:p>
                <a:pPr>
                  <a:defRPr sz="1400" b="0" strike="noStrike" spc="-1">
                    <a:solidFill>
                      <a:srgbClr val="404040"/>
                    </a:solidFill>
                    <a:latin typeface="Times New Roman"/>
                  </a:defRPr>
                </a:pPr>
                <a:r>
                  <a:rPr lang="uk-UA" sz="1400" b="0" strike="noStrike" spc="-1">
                    <a:solidFill>
                      <a:srgbClr val="404040"/>
                    </a:solidFill>
                    <a:latin typeface="Times New Roman"/>
                  </a:rPr>
                  <a:t>Кількість патентів</a:t>
                </a:r>
              </a:p>
            </c:rich>
          </c:tx>
          <c:overlay val="0"/>
          <c:spPr>
            <a:noFill/>
            <a:ln>
              <a:noFill/>
            </a:ln>
          </c:spPr>
        </c:title>
        <c:numFmt formatCode="General" sourceLinked="0"/>
        <c:majorTickMark val="none"/>
        <c:minorTickMark val="none"/>
        <c:tickLblPos val="nextTo"/>
        <c:crossAx val="22042068"/>
        <c:crosses val="autoZero"/>
        <c:crossBetween val="midCat"/>
      </c:valAx>
      <c:spPr>
        <a:noFill/>
        <a:ln>
          <a:noFill/>
        </a:ln>
      </c:spPr>
    </c:plotArea>
    <c:plotVisOnly val="1"/>
    <c:dispBlanksAs val="gap"/>
    <c:showDLblsOverMax val="1"/>
  </c:chart>
  <c:spPr>
    <a:gradFill>
      <a:gsLst>
        <a:gs pos="0">
          <a:srgbClr val="FFFFFF"/>
        </a:gs>
        <a:gs pos="100000">
          <a:srgbClr val="BFBFBF"/>
        </a:gs>
      </a:gsLst>
      <a:path path="circle">
        <a:fillToRect l="50000" t="10000" r="50000" b="90000"/>
      </a:path>
    </a:gradFill>
    <a:ln w="9360">
      <a:solidFill>
        <a:srgbClr val="BFBFBF"/>
      </a:solidFill>
      <a:round/>
    </a:ln>
  </c:spPr>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scatterChart>
        <c:scatterStyle val="lineMarker"/>
        <c:varyColors val="0"/>
        <c:ser>
          <c:idx val="0"/>
          <c:order val="0"/>
          <c:tx>
            <c:strRef>
              <c:f>label 1</c:f>
              <c:strCache>
                <c:ptCount val="1"/>
                <c:pt idx="0">
                  <c:v>Безымянные ряды 2</c:v>
                </c:pt>
              </c:strCache>
            </c:strRef>
          </c:tx>
          <c:spPr>
            <a:ln w="19080">
              <a:solidFill>
                <a:srgbClr val="5B9BD5"/>
              </a:solidFill>
              <a:round/>
            </a:ln>
          </c:spPr>
          <c:marker>
            <c:symbol val="circle"/>
            <c:size val="5"/>
            <c:spPr>
              <a:solidFill>
                <a:srgbClr val="5B9BD5"/>
              </a:solidFill>
            </c:spPr>
          </c:marker>
          <c:dPt>
            <c:idx val="0"/>
            <c:bubble3D val="0"/>
            <c:extLst>
              <c:ext xmlns:c16="http://schemas.microsoft.com/office/drawing/2014/chart" uri="{C3380CC4-5D6E-409C-BE32-E72D297353CC}">
                <c16:uniqueId val="{00000000-99FC-4488-A2A4-D83CECB35B3B}"/>
              </c:ext>
            </c:extLst>
          </c:dPt>
          <c:dPt>
            <c:idx val="1"/>
            <c:bubble3D val="0"/>
            <c:extLst>
              <c:ext xmlns:c16="http://schemas.microsoft.com/office/drawing/2014/chart" uri="{C3380CC4-5D6E-409C-BE32-E72D297353CC}">
                <c16:uniqueId val="{00000001-99FC-4488-A2A4-D83CECB35B3B}"/>
              </c:ext>
            </c:extLst>
          </c:dPt>
          <c:dPt>
            <c:idx val="2"/>
            <c:bubble3D val="0"/>
            <c:extLst>
              <c:ext xmlns:c16="http://schemas.microsoft.com/office/drawing/2014/chart" uri="{C3380CC4-5D6E-409C-BE32-E72D297353CC}">
                <c16:uniqueId val="{00000002-99FC-4488-A2A4-D83CECB35B3B}"/>
              </c:ext>
            </c:extLst>
          </c:dPt>
          <c:dPt>
            <c:idx val="3"/>
            <c:bubble3D val="0"/>
            <c:extLst>
              <c:ext xmlns:c16="http://schemas.microsoft.com/office/drawing/2014/chart" uri="{C3380CC4-5D6E-409C-BE32-E72D297353CC}">
                <c16:uniqueId val="{00000003-99FC-4488-A2A4-D83CECB35B3B}"/>
              </c:ext>
            </c:extLst>
          </c:dPt>
          <c:dLbls>
            <c:dLbl>
              <c:idx val="0"/>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99FC-4488-A2A4-D83CECB35B3B}"/>
                </c:ext>
              </c:extLst>
            </c:dLbl>
            <c:dLbl>
              <c:idx val="1"/>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99FC-4488-A2A4-D83CECB35B3B}"/>
                </c:ext>
              </c:extLst>
            </c:dLbl>
            <c:dLbl>
              <c:idx val="2"/>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99FC-4488-A2A4-D83CECB35B3B}"/>
                </c:ext>
              </c:extLst>
            </c:dLbl>
            <c:dLbl>
              <c:idx val="3"/>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99FC-4488-A2A4-D83CECB35B3B}"/>
                </c:ext>
              </c:extLst>
            </c:dLbl>
            <c:spPr>
              <a:noFill/>
              <a:ln>
                <a:noFill/>
              </a:ln>
              <a:effectLst/>
            </c:spPr>
            <c:txPr>
              <a:bodyPr/>
              <a:lstStyle/>
              <a:p>
                <a:pPr>
                  <a:defRPr sz="1400" b="1" strike="noStrike" spc="-1">
                    <a:solidFill>
                      <a:srgbClr val="404040"/>
                    </a:solidFill>
                    <a:latin typeface="Calibri"/>
                  </a:defRPr>
                </a:pPr>
                <a:endParaRPr lang="uk-UA"/>
              </a:p>
            </c:txPr>
            <c:dLblPos val="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xVal>
            <c:numRef>
              <c:f>1</c:f>
              <c:numCache>
                <c:formatCode>General</c:formatCode>
                <c:ptCount val="4"/>
                <c:pt idx="0">
                  <c:v>2016</c:v>
                </c:pt>
                <c:pt idx="1">
                  <c:v>2017</c:v>
                </c:pt>
                <c:pt idx="2">
                  <c:v>2018</c:v>
                </c:pt>
                <c:pt idx="3">
                  <c:v>2019</c:v>
                </c:pt>
              </c:numCache>
            </c:numRef>
          </c:xVal>
          <c:yVal>
            <c:numRef>
              <c:f>0</c:f>
              <c:numCache>
                <c:formatCode>General</c:formatCode>
                <c:ptCount val="4"/>
                <c:pt idx="0">
                  <c:v>7</c:v>
                </c:pt>
                <c:pt idx="1">
                  <c:v>69</c:v>
                </c:pt>
                <c:pt idx="2">
                  <c:v>277</c:v>
                </c:pt>
                <c:pt idx="3">
                  <c:v>426</c:v>
                </c:pt>
              </c:numCache>
            </c:numRef>
          </c:yVal>
          <c:smooth val="0"/>
          <c:extLst>
            <c:ext xmlns:c16="http://schemas.microsoft.com/office/drawing/2014/chart" uri="{C3380CC4-5D6E-409C-BE32-E72D297353CC}">
              <c16:uniqueId val="{00000004-99FC-4488-A2A4-D83CECB35B3B}"/>
            </c:ext>
          </c:extLst>
        </c:ser>
        <c:dLbls>
          <c:showLegendKey val="0"/>
          <c:showVal val="0"/>
          <c:showCatName val="0"/>
          <c:showSerName val="0"/>
          <c:showPercent val="0"/>
          <c:showBubbleSize val="0"/>
        </c:dLbls>
        <c:axId val="62230496"/>
        <c:axId val="73114931"/>
      </c:scatterChart>
      <c:valAx>
        <c:axId val="62230496"/>
        <c:scaling>
          <c:orientation val="minMax"/>
          <c:max val="2019"/>
          <c:min val="2016"/>
        </c:scaling>
        <c:delete val="0"/>
        <c:axPos val="b"/>
        <c:title>
          <c:tx>
            <c:rich>
              <a:bodyPr rot="0"/>
              <a:lstStyle/>
              <a:p>
                <a:pPr>
                  <a:defRPr sz="1400" b="1" strike="noStrike" spc="-1">
                    <a:solidFill>
                      <a:srgbClr val="595959"/>
                    </a:solidFill>
                    <a:latin typeface="Times New Roman"/>
                  </a:defRPr>
                </a:pPr>
                <a:r>
                  <a:rPr lang="uk-UA" sz="1400" b="1" strike="noStrike" spc="-1">
                    <a:solidFill>
                      <a:srgbClr val="595959"/>
                    </a:solidFill>
                    <a:latin typeface="Times New Roman"/>
                  </a:rPr>
                  <a:t>РІК</a:t>
                </a:r>
              </a:p>
            </c:rich>
          </c:tx>
          <c:overlay val="0"/>
          <c:spPr>
            <a:noFill/>
            <a:ln>
              <a:noFill/>
            </a:ln>
          </c:spPr>
        </c:title>
        <c:numFmt formatCode="General" sourceLinked="0"/>
        <c:majorTickMark val="none"/>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uk-UA"/>
          </a:p>
        </c:txPr>
        <c:crossAx val="73114931"/>
        <c:crosses val="autoZero"/>
        <c:crossBetween val="midCat"/>
        <c:majorUnit val="1"/>
      </c:valAx>
      <c:valAx>
        <c:axId val="73114931"/>
        <c:scaling>
          <c:orientation val="minMax"/>
        </c:scaling>
        <c:delete val="0"/>
        <c:axPos val="l"/>
        <c:title>
          <c:tx>
            <c:rich>
              <a:bodyPr rot="-5400000"/>
              <a:lstStyle/>
              <a:p>
                <a:pPr>
                  <a:defRPr sz="1400" b="0" strike="noStrike" spc="-1">
                    <a:solidFill>
                      <a:srgbClr val="595959"/>
                    </a:solidFill>
                    <a:latin typeface="Times New Roman"/>
                  </a:defRPr>
                </a:pPr>
                <a:r>
                  <a:rPr lang="uk-UA" sz="1400" b="0" strike="noStrike" spc="-1">
                    <a:solidFill>
                      <a:srgbClr val="595959"/>
                    </a:solidFill>
                    <a:latin typeface="Times New Roman"/>
                  </a:rPr>
                  <a:t>КІЛЬКІСТЬ ПАТЕНТІВ</a:t>
                </a:r>
              </a:p>
            </c:rich>
          </c:tx>
          <c:overlay val="0"/>
          <c:spPr>
            <a:noFill/>
            <a:ln>
              <a:noFill/>
            </a:ln>
          </c:spPr>
        </c:title>
        <c:numFmt formatCode="General" sourceLinked="0"/>
        <c:majorTickMark val="none"/>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uk-UA"/>
          </a:p>
        </c:txPr>
        <c:crossAx val="62230496"/>
        <c:crosses val="autoZero"/>
        <c:crossBetween val="midCat"/>
      </c:valAx>
      <c:spPr>
        <a:noFill/>
        <a:ln>
          <a:noFill/>
        </a:ln>
      </c:spPr>
    </c:plotArea>
    <c:plotVisOnly val="1"/>
    <c:dispBlanksAs val="gap"/>
    <c:showDLblsOverMax val="1"/>
  </c:chart>
  <c:spPr>
    <a:solidFill>
      <a:srgbClr val="FFFFFF"/>
    </a:solidFill>
    <a:ln w="9360">
      <a:solidFill>
        <a:srgbClr val="D9D9D9"/>
      </a:solidFill>
      <a:round/>
    </a:ln>
  </c:spPr>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scatterChart>
        <c:scatterStyle val="lineMarker"/>
        <c:varyColors val="0"/>
        <c:ser>
          <c:idx val="0"/>
          <c:order val="0"/>
          <c:tx>
            <c:strRef>
              <c:f>label 1</c:f>
              <c:strCache>
                <c:ptCount val="1"/>
                <c:pt idx="0">
                  <c:v>Безымянные ряды 2</c:v>
                </c:pt>
              </c:strCache>
            </c:strRef>
          </c:tx>
          <c:spPr>
            <a:ln w="19080">
              <a:solidFill>
                <a:srgbClr val="5B9BD5"/>
              </a:solidFill>
              <a:round/>
            </a:ln>
          </c:spPr>
          <c:marker>
            <c:symbol val="circle"/>
            <c:size val="5"/>
            <c:spPr>
              <a:solidFill>
                <a:srgbClr val="5B9BD5"/>
              </a:solidFill>
            </c:spPr>
          </c:marker>
          <c:dPt>
            <c:idx val="0"/>
            <c:bubble3D val="0"/>
            <c:extLst>
              <c:ext xmlns:c16="http://schemas.microsoft.com/office/drawing/2014/chart" uri="{C3380CC4-5D6E-409C-BE32-E72D297353CC}">
                <c16:uniqueId val="{00000000-9AFB-40D9-8769-DFA18B20F7B8}"/>
              </c:ext>
            </c:extLst>
          </c:dPt>
          <c:dPt>
            <c:idx val="1"/>
            <c:bubble3D val="0"/>
            <c:extLst>
              <c:ext xmlns:c16="http://schemas.microsoft.com/office/drawing/2014/chart" uri="{C3380CC4-5D6E-409C-BE32-E72D297353CC}">
                <c16:uniqueId val="{00000001-9AFB-40D9-8769-DFA18B20F7B8}"/>
              </c:ext>
            </c:extLst>
          </c:dPt>
          <c:dPt>
            <c:idx val="2"/>
            <c:bubble3D val="0"/>
            <c:extLst>
              <c:ext xmlns:c16="http://schemas.microsoft.com/office/drawing/2014/chart" uri="{C3380CC4-5D6E-409C-BE32-E72D297353CC}">
                <c16:uniqueId val="{00000002-9AFB-40D9-8769-DFA18B20F7B8}"/>
              </c:ext>
            </c:extLst>
          </c:dPt>
          <c:dPt>
            <c:idx val="3"/>
            <c:bubble3D val="0"/>
            <c:extLst>
              <c:ext xmlns:c16="http://schemas.microsoft.com/office/drawing/2014/chart" uri="{C3380CC4-5D6E-409C-BE32-E72D297353CC}">
                <c16:uniqueId val="{00000003-9AFB-40D9-8769-DFA18B20F7B8}"/>
              </c:ext>
            </c:extLst>
          </c:dPt>
          <c:dPt>
            <c:idx val="4"/>
            <c:bubble3D val="0"/>
            <c:extLst>
              <c:ext xmlns:c16="http://schemas.microsoft.com/office/drawing/2014/chart" uri="{C3380CC4-5D6E-409C-BE32-E72D297353CC}">
                <c16:uniqueId val="{00000004-9AFB-40D9-8769-DFA18B20F7B8}"/>
              </c:ext>
            </c:extLst>
          </c:dPt>
          <c:dLbls>
            <c:dLbl>
              <c:idx val="0"/>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9AFB-40D9-8769-DFA18B20F7B8}"/>
                </c:ext>
              </c:extLst>
            </c:dLbl>
            <c:dLbl>
              <c:idx val="1"/>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9AFB-40D9-8769-DFA18B20F7B8}"/>
                </c:ext>
              </c:extLst>
            </c:dLbl>
            <c:dLbl>
              <c:idx val="2"/>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9AFB-40D9-8769-DFA18B20F7B8}"/>
                </c:ext>
              </c:extLst>
            </c:dLbl>
            <c:dLbl>
              <c:idx val="3"/>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9AFB-40D9-8769-DFA18B20F7B8}"/>
                </c:ext>
              </c:extLst>
            </c:dLbl>
            <c:dLbl>
              <c:idx val="4"/>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4-9AFB-40D9-8769-DFA18B20F7B8}"/>
                </c:ext>
              </c:extLst>
            </c:dLbl>
            <c:spPr>
              <a:noFill/>
              <a:ln>
                <a:noFill/>
              </a:ln>
              <a:effectLst/>
            </c:spPr>
            <c:txPr>
              <a:bodyPr/>
              <a:lstStyle/>
              <a:p>
                <a:pPr>
                  <a:defRPr sz="1400" b="0" strike="noStrike" spc="-1">
                    <a:solidFill>
                      <a:srgbClr val="404040"/>
                    </a:solidFill>
                    <a:latin typeface="Calibri"/>
                  </a:defRPr>
                </a:pPr>
                <a:endParaRPr lang="uk-UA"/>
              </a:p>
            </c:txPr>
            <c:dLblPos val="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xVal>
            <c:numRef>
              <c:f>1</c:f>
              <c:numCache>
                <c:formatCode>General</c:formatCode>
                <c:ptCount val="5"/>
                <c:pt idx="0">
                  <c:v>2015</c:v>
                </c:pt>
                <c:pt idx="1">
                  <c:v>2016</c:v>
                </c:pt>
                <c:pt idx="2">
                  <c:v>2017</c:v>
                </c:pt>
                <c:pt idx="3">
                  <c:v>2018</c:v>
                </c:pt>
                <c:pt idx="4">
                  <c:v>2019</c:v>
                </c:pt>
              </c:numCache>
            </c:numRef>
          </c:xVal>
          <c:yVal>
            <c:numRef>
              <c:f>0</c:f>
              <c:numCache>
                <c:formatCode>General</c:formatCode>
                <c:ptCount val="5"/>
                <c:pt idx="0">
                  <c:v>2</c:v>
                </c:pt>
                <c:pt idx="1">
                  <c:v>3</c:v>
                </c:pt>
                <c:pt idx="2">
                  <c:v>50</c:v>
                </c:pt>
                <c:pt idx="3">
                  <c:v>242</c:v>
                </c:pt>
                <c:pt idx="4">
                  <c:v>270</c:v>
                </c:pt>
              </c:numCache>
            </c:numRef>
          </c:yVal>
          <c:smooth val="0"/>
          <c:extLst>
            <c:ext xmlns:c16="http://schemas.microsoft.com/office/drawing/2014/chart" uri="{C3380CC4-5D6E-409C-BE32-E72D297353CC}">
              <c16:uniqueId val="{00000005-9AFB-40D9-8769-DFA18B20F7B8}"/>
            </c:ext>
          </c:extLst>
        </c:ser>
        <c:dLbls>
          <c:showLegendKey val="0"/>
          <c:showVal val="0"/>
          <c:showCatName val="0"/>
          <c:showSerName val="0"/>
          <c:showPercent val="0"/>
          <c:showBubbleSize val="0"/>
        </c:dLbls>
        <c:axId val="81524123"/>
        <c:axId val="40241832"/>
      </c:scatterChart>
      <c:valAx>
        <c:axId val="81524123"/>
        <c:scaling>
          <c:orientation val="minMax"/>
          <c:max val="2019"/>
          <c:min val="2015"/>
        </c:scaling>
        <c:delete val="0"/>
        <c:axPos val="b"/>
        <c:title>
          <c:tx>
            <c:rich>
              <a:bodyPr rot="0"/>
              <a:lstStyle/>
              <a:p>
                <a:pPr>
                  <a:defRPr sz="1400" b="1" strike="noStrike" spc="-1">
                    <a:solidFill>
                      <a:srgbClr val="595959"/>
                    </a:solidFill>
                    <a:latin typeface="Times New Roman"/>
                  </a:defRPr>
                </a:pPr>
                <a:r>
                  <a:rPr lang="uk-UA" sz="1400" b="1" strike="noStrike" spc="-1">
                    <a:solidFill>
                      <a:srgbClr val="595959"/>
                    </a:solidFill>
                    <a:latin typeface="Times New Roman"/>
                  </a:rPr>
                  <a:t>РІК</a:t>
                </a:r>
              </a:p>
            </c:rich>
          </c:tx>
          <c:overlay val="0"/>
          <c:spPr>
            <a:noFill/>
            <a:ln>
              <a:noFill/>
            </a:ln>
          </c:spPr>
        </c:title>
        <c:numFmt formatCode="General" sourceLinked="0"/>
        <c:majorTickMark val="none"/>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uk-UA"/>
          </a:p>
        </c:txPr>
        <c:crossAx val="40241832"/>
        <c:crosses val="autoZero"/>
        <c:crossBetween val="midCat"/>
        <c:majorUnit val="1"/>
      </c:valAx>
      <c:valAx>
        <c:axId val="40241832"/>
        <c:scaling>
          <c:orientation val="minMax"/>
        </c:scaling>
        <c:delete val="0"/>
        <c:axPos val="l"/>
        <c:title>
          <c:tx>
            <c:rich>
              <a:bodyPr rot="-5400000"/>
              <a:lstStyle/>
              <a:p>
                <a:pPr>
                  <a:defRPr sz="1400" b="0" strike="noStrike" spc="-1">
                    <a:solidFill>
                      <a:srgbClr val="595959"/>
                    </a:solidFill>
                    <a:latin typeface="Times New Roman"/>
                  </a:defRPr>
                </a:pPr>
                <a:r>
                  <a:rPr lang="uk-UA" sz="1400" b="0" strike="noStrike" spc="-1">
                    <a:solidFill>
                      <a:srgbClr val="595959"/>
                    </a:solidFill>
                    <a:latin typeface="Times New Roman"/>
                  </a:rPr>
                  <a:t>КІЛЬКІСТЬ ДОКУМЕНТІВ</a:t>
                </a:r>
              </a:p>
            </c:rich>
          </c:tx>
          <c:overlay val="0"/>
          <c:spPr>
            <a:noFill/>
            <a:ln>
              <a:noFill/>
            </a:ln>
          </c:spPr>
        </c:title>
        <c:numFmt formatCode="General" sourceLinked="0"/>
        <c:majorTickMark val="none"/>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uk-UA"/>
          </a:p>
        </c:txPr>
        <c:crossAx val="81524123"/>
        <c:crosses val="autoZero"/>
        <c:crossBetween val="midCat"/>
      </c:valAx>
      <c:spPr>
        <a:noFill/>
        <a:ln>
          <a:noFill/>
        </a:ln>
      </c:spPr>
    </c:plotArea>
    <c:plotVisOnly val="1"/>
    <c:dispBlanksAs val="gap"/>
    <c:showDLblsOverMax val="1"/>
  </c:chart>
  <c:spPr>
    <a:solidFill>
      <a:srgbClr val="FFFFFF"/>
    </a:solidFill>
    <a:ln w="9360">
      <a:solidFill>
        <a:srgbClr val="D9D9D9"/>
      </a:solidFill>
      <a:round/>
    </a:ln>
  </c:spPr>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scatterChart>
        <c:scatterStyle val="lineMarker"/>
        <c:varyColors val="0"/>
        <c:ser>
          <c:idx val="0"/>
          <c:order val="0"/>
          <c:tx>
            <c:strRef>
              <c:f>label 1</c:f>
              <c:strCache>
                <c:ptCount val="1"/>
                <c:pt idx="0">
                  <c:v>Безымянные ряды 2</c:v>
                </c:pt>
              </c:strCache>
            </c:strRef>
          </c:tx>
          <c:spPr>
            <a:ln w="19080">
              <a:solidFill>
                <a:srgbClr val="5B9BD5"/>
              </a:solidFill>
              <a:round/>
            </a:ln>
          </c:spPr>
          <c:marker>
            <c:symbol val="circle"/>
            <c:size val="5"/>
            <c:spPr>
              <a:solidFill>
                <a:srgbClr val="5B9BD5"/>
              </a:solidFill>
            </c:spPr>
          </c:marker>
          <c:dPt>
            <c:idx val="0"/>
            <c:bubble3D val="0"/>
            <c:extLst>
              <c:ext xmlns:c16="http://schemas.microsoft.com/office/drawing/2014/chart" uri="{C3380CC4-5D6E-409C-BE32-E72D297353CC}">
                <c16:uniqueId val="{00000000-A510-4FF9-A702-F30F7DA48C41}"/>
              </c:ext>
            </c:extLst>
          </c:dPt>
          <c:dPt>
            <c:idx val="1"/>
            <c:bubble3D val="0"/>
            <c:extLst>
              <c:ext xmlns:c16="http://schemas.microsoft.com/office/drawing/2014/chart" uri="{C3380CC4-5D6E-409C-BE32-E72D297353CC}">
                <c16:uniqueId val="{00000001-A510-4FF9-A702-F30F7DA48C41}"/>
              </c:ext>
            </c:extLst>
          </c:dPt>
          <c:dPt>
            <c:idx val="2"/>
            <c:bubble3D val="0"/>
            <c:extLst>
              <c:ext xmlns:c16="http://schemas.microsoft.com/office/drawing/2014/chart" uri="{C3380CC4-5D6E-409C-BE32-E72D297353CC}">
                <c16:uniqueId val="{00000002-A510-4FF9-A702-F30F7DA48C41}"/>
              </c:ext>
            </c:extLst>
          </c:dPt>
          <c:dPt>
            <c:idx val="3"/>
            <c:bubble3D val="0"/>
            <c:extLst>
              <c:ext xmlns:c16="http://schemas.microsoft.com/office/drawing/2014/chart" uri="{C3380CC4-5D6E-409C-BE32-E72D297353CC}">
                <c16:uniqueId val="{00000003-A510-4FF9-A702-F30F7DA48C41}"/>
              </c:ext>
            </c:extLst>
          </c:dPt>
          <c:dPt>
            <c:idx val="4"/>
            <c:bubble3D val="0"/>
            <c:extLst>
              <c:ext xmlns:c16="http://schemas.microsoft.com/office/drawing/2014/chart" uri="{C3380CC4-5D6E-409C-BE32-E72D297353CC}">
                <c16:uniqueId val="{00000004-A510-4FF9-A702-F30F7DA48C41}"/>
              </c:ext>
            </c:extLst>
          </c:dPt>
          <c:dLbls>
            <c:dLbl>
              <c:idx val="0"/>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A510-4FF9-A702-F30F7DA48C41}"/>
                </c:ext>
              </c:extLst>
            </c:dLbl>
            <c:dLbl>
              <c:idx val="1"/>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A510-4FF9-A702-F30F7DA48C41}"/>
                </c:ext>
              </c:extLst>
            </c:dLbl>
            <c:dLbl>
              <c:idx val="2"/>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A510-4FF9-A702-F30F7DA48C41}"/>
                </c:ext>
              </c:extLst>
            </c:dLbl>
            <c:dLbl>
              <c:idx val="3"/>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A510-4FF9-A702-F30F7DA48C41}"/>
                </c:ext>
              </c:extLst>
            </c:dLbl>
            <c:dLbl>
              <c:idx val="4"/>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4-A510-4FF9-A702-F30F7DA48C41}"/>
                </c:ext>
              </c:extLst>
            </c:dLbl>
            <c:spPr>
              <a:noFill/>
              <a:ln>
                <a:noFill/>
              </a:ln>
              <a:effectLst/>
            </c:spPr>
            <c:txPr>
              <a:bodyPr/>
              <a:lstStyle/>
              <a:p>
                <a:pPr>
                  <a:defRPr sz="1400" b="0" strike="noStrike" spc="-1">
                    <a:solidFill>
                      <a:srgbClr val="404040"/>
                    </a:solidFill>
                    <a:latin typeface="Calibri"/>
                  </a:defRPr>
                </a:pPr>
                <a:endParaRPr lang="uk-UA"/>
              </a:p>
            </c:txPr>
            <c:dLblPos val="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xVal>
            <c:numRef>
              <c:f>1</c:f>
              <c:numCache>
                <c:formatCode>General</c:formatCode>
                <c:ptCount val="5"/>
                <c:pt idx="0">
                  <c:v>2015</c:v>
                </c:pt>
                <c:pt idx="1">
                  <c:v>2016</c:v>
                </c:pt>
                <c:pt idx="2">
                  <c:v>2017</c:v>
                </c:pt>
                <c:pt idx="3">
                  <c:v>2018</c:v>
                </c:pt>
                <c:pt idx="4">
                  <c:v>2019</c:v>
                </c:pt>
              </c:numCache>
            </c:numRef>
          </c:xVal>
          <c:yVal>
            <c:numRef>
              <c:f>0</c:f>
              <c:numCache>
                <c:formatCode>General</c:formatCode>
                <c:ptCount val="5"/>
                <c:pt idx="0">
                  <c:v>2</c:v>
                </c:pt>
                <c:pt idx="1">
                  <c:v>3</c:v>
                </c:pt>
                <c:pt idx="2">
                  <c:v>114</c:v>
                </c:pt>
                <c:pt idx="3">
                  <c:v>810</c:v>
                </c:pt>
                <c:pt idx="4">
                  <c:v>532</c:v>
                </c:pt>
              </c:numCache>
            </c:numRef>
          </c:yVal>
          <c:smooth val="0"/>
          <c:extLst>
            <c:ext xmlns:c16="http://schemas.microsoft.com/office/drawing/2014/chart" uri="{C3380CC4-5D6E-409C-BE32-E72D297353CC}">
              <c16:uniqueId val="{00000005-A510-4FF9-A702-F30F7DA48C41}"/>
            </c:ext>
          </c:extLst>
        </c:ser>
        <c:dLbls>
          <c:showLegendKey val="0"/>
          <c:showVal val="0"/>
          <c:showCatName val="0"/>
          <c:showSerName val="0"/>
          <c:showPercent val="0"/>
          <c:showBubbleSize val="0"/>
        </c:dLbls>
        <c:axId val="64044673"/>
        <c:axId val="99055816"/>
      </c:scatterChart>
      <c:valAx>
        <c:axId val="64044673"/>
        <c:scaling>
          <c:orientation val="minMax"/>
          <c:max val="2019"/>
          <c:min val="2015"/>
        </c:scaling>
        <c:delete val="0"/>
        <c:axPos val="b"/>
        <c:title>
          <c:tx>
            <c:rich>
              <a:bodyPr rot="0"/>
              <a:lstStyle/>
              <a:p>
                <a:pPr>
                  <a:defRPr sz="1400" b="0" strike="noStrike" spc="-1">
                    <a:solidFill>
                      <a:srgbClr val="595959"/>
                    </a:solidFill>
                    <a:latin typeface="Times New Roman"/>
                  </a:defRPr>
                </a:pPr>
                <a:r>
                  <a:rPr lang="uk-UA" sz="1400" b="0" strike="noStrike" spc="-1">
                    <a:solidFill>
                      <a:srgbClr val="595959"/>
                    </a:solidFill>
                    <a:latin typeface="Times New Roman"/>
                  </a:rPr>
                  <a:t>Рік</a:t>
                </a:r>
              </a:p>
            </c:rich>
          </c:tx>
          <c:overlay val="0"/>
          <c:spPr>
            <a:noFill/>
            <a:ln>
              <a:noFill/>
            </a:ln>
          </c:spPr>
        </c:title>
        <c:numFmt formatCode="General" sourceLinked="0"/>
        <c:majorTickMark val="none"/>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uk-UA"/>
          </a:p>
        </c:txPr>
        <c:crossAx val="99055816"/>
        <c:crosses val="autoZero"/>
        <c:crossBetween val="midCat"/>
        <c:majorUnit val="1"/>
      </c:valAx>
      <c:valAx>
        <c:axId val="99055816"/>
        <c:scaling>
          <c:orientation val="minMax"/>
        </c:scaling>
        <c:delete val="0"/>
        <c:axPos val="l"/>
        <c:title>
          <c:tx>
            <c:rich>
              <a:bodyPr rot="-5400000"/>
              <a:lstStyle/>
              <a:p>
                <a:pPr>
                  <a:defRPr sz="1400" b="0" strike="noStrike" spc="-1">
                    <a:solidFill>
                      <a:srgbClr val="595959"/>
                    </a:solidFill>
                    <a:latin typeface="Times New Roman"/>
                  </a:defRPr>
                </a:pPr>
                <a:r>
                  <a:rPr lang="uk-UA" sz="1400" b="0" strike="noStrike" spc="-1">
                    <a:solidFill>
                      <a:srgbClr val="595959"/>
                    </a:solidFill>
                    <a:latin typeface="Times New Roman"/>
                  </a:rPr>
                  <a:t>Кількість патентів</a:t>
                </a:r>
              </a:p>
            </c:rich>
          </c:tx>
          <c:overlay val="0"/>
          <c:spPr>
            <a:noFill/>
            <a:ln>
              <a:noFill/>
            </a:ln>
          </c:spPr>
        </c:title>
        <c:numFmt formatCode="General" sourceLinked="0"/>
        <c:majorTickMark val="none"/>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uk-UA"/>
          </a:p>
        </c:txPr>
        <c:crossAx val="64044673"/>
        <c:crosses val="autoZero"/>
        <c:crossBetween val="midCat"/>
      </c:valAx>
      <c:spPr>
        <a:noFill/>
        <a:ln>
          <a:noFill/>
        </a:ln>
      </c:spPr>
    </c:plotArea>
    <c:plotVisOnly val="1"/>
    <c:dispBlanksAs val="gap"/>
    <c:showDLblsOverMax val="1"/>
  </c:chart>
  <c:spPr>
    <a:solidFill>
      <a:srgbClr val="FFFFFF"/>
    </a:solidFill>
    <a:ln w="9360">
      <a:solidFill>
        <a:srgbClr val="D9D9D9"/>
      </a:solidFill>
      <a:round/>
    </a:ln>
  </c:spPr>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lineChart>
        <c:grouping val="standard"/>
        <c:varyColors val="0"/>
        <c:ser>
          <c:idx val="0"/>
          <c:order val="0"/>
          <c:tx>
            <c:strRef>
              <c:f>label 0</c:f>
              <c:strCache>
                <c:ptCount val="1"/>
                <c:pt idx="0">
                  <c:v>Кількість патентів</c:v>
                </c:pt>
              </c:strCache>
            </c:strRef>
          </c:tx>
          <c:spPr>
            <a:ln w="31680">
              <a:solidFill>
                <a:srgbClr val="5B9BD5"/>
              </a:solidFill>
              <a:round/>
            </a:ln>
          </c:spPr>
          <c:marker>
            <c:symbol val="circle"/>
            <c:size val="17"/>
            <c:spPr>
              <a:solidFill>
                <a:srgbClr val="5B9BD5"/>
              </a:solidFill>
            </c:spPr>
          </c:marker>
          <c:dLbls>
            <c:spPr>
              <a:noFill/>
              <a:ln>
                <a:noFill/>
              </a:ln>
              <a:effectLst/>
            </c:spPr>
            <c:txPr>
              <a:bodyPr/>
              <a:lstStyle/>
              <a:p>
                <a:pPr>
                  <a:defRPr sz="900" b="1" strike="noStrike" spc="-1">
                    <a:solidFill>
                      <a:srgbClr val="FFFFFF"/>
                    </a:solidFill>
                    <a:latin typeface="Calibri"/>
                  </a:defRPr>
                </a:pPr>
                <a:endParaRPr lang="uk-UA"/>
              </a:p>
            </c:txPr>
            <c:dLblPos val="ct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5"/>
                <c:pt idx="0">
                  <c:v>2015</c:v>
                </c:pt>
                <c:pt idx="1">
                  <c:v>2016</c:v>
                </c:pt>
                <c:pt idx="2">
                  <c:v>2017</c:v>
                </c:pt>
                <c:pt idx="3">
                  <c:v>2018</c:v>
                </c:pt>
                <c:pt idx="4">
                  <c:v>2019</c:v>
                </c:pt>
              </c:strCache>
            </c:strRef>
          </c:cat>
          <c:val>
            <c:numRef>
              <c:f>0</c:f>
              <c:numCache>
                <c:formatCode>General</c:formatCode>
                <c:ptCount val="5"/>
                <c:pt idx="0">
                  <c:v>1</c:v>
                </c:pt>
                <c:pt idx="1">
                  <c:v>12</c:v>
                </c:pt>
                <c:pt idx="2">
                  <c:v>82</c:v>
                </c:pt>
                <c:pt idx="3">
                  <c:v>315</c:v>
                </c:pt>
                <c:pt idx="4">
                  <c:v>774</c:v>
                </c:pt>
              </c:numCache>
            </c:numRef>
          </c:val>
          <c:smooth val="0"/>
          <c:extLst>
            <c:ext xmlns:c16="http://schemas.microsoft.com/office/drawing/2014/chart" uri="{C3380CC4-5D6E-409C-BE32-E72D297353CC}">
              <c16:uniqueId val="{00000000-6A3E-4B2C-B9A7-69348C3DBD0C}"/>
            </c:ext>
          </c:extLst>
        </c:ser>
        <c:dLbls>
          <c:showLegendKey val="0"/>
          <c:showVal val="0"/>
          <c:showCatName val="0"/>
          <c:showSerName val="0"/>
          <c:showPercent val="0"/>
          <c:showBubbleSize val="0"/>
        </c:dLbls>
        <c:hiLowLines>
          <c:spPr>
            <a:ln>
              <a:noFill/>
            </a:ln>
          </c:spPr>
        </c:hiLowLines>
        <c:marker val="1"/>
        <c:smooth val="0"/>
        <c:axId val="80108494"/>
        <c:axId val="32866221"/>
      </c:lineChart>
      <c:catAx>
        <c:axId val="80108494"/>
        <c:scaling>
          <c:orientation val="minMax"/>
        </c:scaling>
        <c:delete val="0"/>
        <c:axPos val="b"/>
        <c:title>
          <c:tx>
            <c:rich>
              <a:bodyPr rot="0"/>
              <a:lstStyle/>
              <a:p>
                <a:pPr>
                  <a:defRPr sz="1400" b="0" strike="noStrike" spc="-1">
                    <a:solidFill>
                      <a:srgbClr val="404040"/>
                    </a:solidFill>
                    <a:latin typeface="Times New Roman"/>
                  </a:defRPr>
                </a:pPr>
                <a:r>
                  <a:rPr lang="uk-UA" sz="1400" b="0" strike="noStrike" spc="-1">
                    <a:solidFill>
                      <a:srgbClr val="404040"/>
                    </a:solidFill>
                    <a:latin typeface="Times New Roman"/>
                  </a:rPr>
                  <a:t>Рік  </a:t>
                </a:r>
              </a:p>
            </c:rich>
          </c:tx>
          <c:overlay val="0"/>
          <c:spPr>
            <a:noFill/>
            <a:ln>
              <a:noFill/>
            </a:ln>
          </c:spPr>
        </c:title>
        <c:numFmt formatCode="General" sourceLinked="1"/>
        <c:majorTickMark val="none"/>
        <c:minorTickMark val="none"/>
        <c:tickLblPos val="nextTo"/>
        <c:spPr>
          <a:ln w="19080">
            <a:solidFill>
              <a:srgbClr val="404040"/>
            </a:solidFill>
            <a:round/>
          </a:ln>
        </c:spPr>
        <c:txPr>
          <a:bodyPr/>
          <a:lstStyle/>
          <a:p>
            <a:pPr>
              <a:defRPr sz="900" b="0" strike="noStrike" spc="-1">
                <a:solidFill>
                  <a:srgbClr val="404040"/>
                </a:solidFill>
                <a:latin typeface="Calibri"/>
              </a:defRPr>
            </a:pPr>
            <a:endParaRPr lang="uk-UA"/>
          </a:p>
        </c:txPr>
        <c:crossAx val="32866221"/>
        <c:crosses val="autoZero"/>
        <c:auto val="1"/>
        <c:lblAlgn val="ctr"/>
        <c:lblOffset val="100"/>
        <c:noMultiLvlLbl val="1"/>
      </c:catAx>
      <c:valAx>
        <c:axId val="32866221"/>
        <c:scaling>
          <c:orientation val="minMax"/>
        </c:scaling>
        <c:delete val="1"/>
        <c:axPos val="l"/>
        <c:title>
          <c:tx>
            <c:rich>
              <a:bodyPr rot="-5400000"/>
              <a:lstStyle/>
              <a:p>
                <a:pPr>
                  <a:defRPr sz="1400" b="0" strike="noStrike" spc="-1">
                    <a:solidFill>
                      <a:srgbClr val="404040"/>
                    </a:solidFill>
                    <a:latin typeface="Times New Roman"/>
                  </a:defRPr>
                </a:pPr>
                <a:r>
                  <a:rPr lang="uk-UA" sz="1400" b="0" strike="noStrike" spc="-1">
                    <a:solidFill>
                      <a:srgbClr val="404040"/>
                    </a:solidFill>
                    <a:latin typeface="Times New Roman"/>
                  </a:rPr>
                  <a:t>КІЛЬКІСТЬ ПАТЕНТІВ</a:t>
                </a:r>
              </a:p>
            </c:rich>
          </c:tx>
          <c:overlay val="0"/>
          <c:spPr>
            <a:noFill/>
            <a:ln>
              <a:noFill/>
            </a:ln>
          </c:spPr>
        </c:title>
        <c:numFmt formatCode="General" sourceLinked="0"/>
        <c:majorTickMark val="none"/>
        <c:minorTickMark val="none"/>
        <c:tickLblPos val="nextTo"/>
        <c:crossAx val="80108494"/>
        <c:crosses val="autoZero"/>
        <c:crossBetween val="midCat"/>
      </c:valAx>
      <c:spPr>
        <a:noFill/>
        <a:ln>
          <a:noFill/>
        </a:ln>
      </c:spPr>
    </c:plotArea>
    <c:plotVisOnly val="1"/>
    <c:dispBlanksAs val="gap"/>
    <c:showDLblsOverMax val="1"/>
  </c:chart>
  <c:spPr>
    <a:gradFill>
      <a:gsLst>
        <a:gs pos="0">
          <a:srgbClr val="FFFFFF"/>
        </a:gs>
        <a:gs pos="100000">
          <a:srgbClr val="BFBFBF"/>
        </a:gs>
      </a:gsLst>
      <a:path path="circle">
        <a:fillToRect l="50000" t="10000" r="50000" b="90000"/>
      </a:path>
    </a:gradFill>
    <a:ln w="9360">
      <a:solidFill>
        <a:srgbClr val="BFBFBF"/>
      </a:solidFill>
      <a:round/>
    </a:ln>
  </c:spPr>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scatterChart>
        <c:scatterStyle val="lineMarker"/>
        <c:varyColors val="0"/>
        <c:ser>
          <c:idx val="0"/>
          <c:order val="0"/>
          <c:tx>
            <c:strRef>
              <c:f>label 1</c:f>
              <c:strCache>
                <c:ptCount val="1"/>
                <c:pt idx="0">
                  <c:v>Безымянные ряды 2</c:v>
                </c:pt>
              </c:strCache>
            </c:strRef>
          </c:tx>
          <c:spPr>
            <a:ln w="19080">
              <a:solidFill>
                <a:srgbClr val="5B9BD5"/>
              </a:solidFill>
              <a:round/>
            </a:ln>
          </c:spPr>
          <c:marker>
            <c:symbol val="circle"/>
            <c:size val="5"/>
            <c:spPr>
              <a:solidFill>
                <a:srgbClr val="5B9BD5"/>
              </a:solidFill>
            </c:spPr>
          </c:marker>
          <c:dPt>
            <c:idx val="0"/>
            <c:bubble3D val="0"/>
            <c:extLst>
              <c:ext xmlns:c16="http://schemas.microsoft.com/office/drawing/2014/chart" uri="{C3380CC4-5D6E-409C-BE32-E72D297353CC}">
                <c16:uniqueId val="{00000000-3186-42FA-921D-A93D9442800D}"/>
              </c:ext>
            </c:extLst>
          </c:dPt>
          <c:dPt>
            <c:idx val="1"/>
            <c:bubble3D val="0"/>
            <c:extLst>
              <c:ext xmlns:c16="http://schemas.microsoft.com/office/drawing/2014/chart" uri="{C3380CC4-5D6E-409C-BE32-E72D297353CC}">
                <c16:uniqueId val="{00000001-3186-42FA-921D-A93D9442800D}"/>
              </c:ext>
            </c:extLst>
          </c:dPt>
          <c:dPt>
            <c:idx val="2"/>
            <c:bubble3D val="0"/>
            <c:extLst>
              <c:ext xmlns:c16="http://schemas.microsoft.com/office/drawing/2014/chart" uri="{C3380CC4-5D6E-409C-BE32-E72D297353CC}">
                <c16:uniqueId val="{00000002-3186-42FA-921D-A93D9442800D}"/>
              </c:ext>
            </c:extLst>
          </c:dPt>
          <c:dPt>
            <c:idx val="3"/>
            <c:bubble3D val="0"/>
            <c:extLst>
              <c:ext xmlns:c16="http://schemas.microsoft.com/office/drawing/2014/chart" uri="{C3380CC4-5D6E-409C-BE32-E72D297353CC}">
                <c16:uniqueId val="{00000003-3186-42FA-921D-A93D9442800D}"/>
              </c:ext>
            </c:extLst>
          </c:dPt>
          <c:dPt>
            <c:idx val="4"/>
            <c:bubble3D val="0"/>
            <c:extLst>
              <c:ext xmlns:c16="http://schemas.microsoft.com/office/drawing/2014/chart" uri="{C3380CC4-5D6E-409C-BE32-E72D297353CC}">
                <c16:uniqueId val="{00000004-3186-42FA-921D-A93D9442800D}"/>
              </c:ext>
            </c:extLst>
          </c:dPt>
          <c:dLbls>
            <c:dLbl>
              <c:idx val="0"/>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3186-42FA-921D-A93D9442800D}"/>
                </c:ext>
              </c:extLst>
            </c:dLbl>
            <c:dLbl>
              <c:idx val="1"/>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3186-42FA-921D-A93D9442800D}"/>
                </c:ext>
              </c:extLst>
            </c:dLbl>
            <c:dLbl>
              <c:idx val="2"/>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3186-42FA-921D-A93D9442800D}"/>
                </c:ext>
              </c:extLst>
            </c:dLbl>
            <c:dLbl>
              <c:idx val="3"/>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3186-42FA-921D-A93D9442800D}"/>
                </c:ext>
              </c:extLst>
            </c:dLbl>
            <c:dLbl>
              <c:idx val="4"/>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4-3186-42FA-921D-A93D9442800D}"/>
                </c:ext>
              </c:extLst>
            </c:dLbl>
            <c:spPr>
              <a:noFill/>
              <a:ln>
                <a:noFill/>
              </a:ln>
              <a:effectLst/>
            </c:spPr>
            <c:txPr>
              <a:bodyPr/>
              <a:lstStyle/>
              <a:p>
                <a:pPr>
                  <a:defRPr sz="900" b="0" strike="noStrike" spc="-1">
                    <a:solidFill>
                      <a:srgbClr val="404040"/>
                    </a:solidFill>
                    <a:latin typeface="Calibri"/>
                  </a:defRPr>
                </a:pPr>
                <a:endParaRPr lang="uk-UA"/>
              </a:p>
            </c:txPr>
            <c:dLblPos val="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xVal>
            <c:numRef>
              <c:f>1</c:f>
              <c:numCache>
                <c:formatCode>General</c:formatCode>
                <c:ptCount val="5"/>
                <c:pt idx="0">
                  <c:v>2015</c:v>
                </c:pt>
                <c:pt idx="1">
                  <c:v>2016</c:v>
                </c:pt>
                <c:pt idx="2">
                  <c:v>2017</c:v>
                </c:pt>
                <c:pt idx="3">
                  <c:v>2018</c:v>
                </c:pt>
                <c:pt idx="4">
                  <c:v>2019</c:v>
                </c:pt>
              </c:numCache>
            </c:numRef>
          </c:xVal>
          <c:yVal>
            <c:numRef>
              <c:f>0</c:f>
              <c:numCache>
                <c:formatCode>General</c:formatCode>
                <c:ptCount val="5"/>
                <c:pt idx="0">
                  <c:v>2</c:v>
                </c:pt>
                <c:pt idx="1">
                  <c:v>17</c:v>
                </c:pt>
                <c:pt idx="2">
                  <c:v>113</c:v>
                </c:pt>
                <c:pt idx="3">
                  <c:v>422</c:v>
                </c:pt>
                <c:pt idx="4">
                  <c:v>1073</c:v>
                </c:pt>
              </c:numCache>
            </c:numRef>
          </c:yVal>
          <c:smooth val="0"/>
          <c:extLst>
            <c:ext xmlns:c16="http://schemas.microsoft.com/office/drawing/2014/chart" uri="{C3380CC4-5D6E-409C-BE32-E72D297353CC}">
              <c16:uniqueId val="{00000005-3186-42FA-921D-A93D9442800D}"/>
            </c:ext>
          </c:extLst>
        </c:ser>
        <c:dLbls>
          <c:showLegendKey val="0"/>
          <c:showVal val="0"/>
          <c:showCatName val="0"/>
          <c:showSerName val="0"/>
          <c:showPercent val="0"/>
          <c:showBubbleSize val="0"/>
        </c:dLbls>
        <c:axId val="16824290"/>
        <c:axId val="60327830"/>
      </c:scatterChart>
      <c:valAx>
        <c:axId val="16824290"/>
        <c:scaling>
          <c:orientation val="minMax"/>
          <c:max val="2019"/>
          <c:min val="2015"/>
        </c:scaling>
        <c:delete val="0"/>
        <c:axPos val="b"/>
        <c:title>
          <c:tx>
            <c:rich>
              <a:bodyPr rot="0"/>
              <a:lstStyle/>
              <a:p>
                <a:pPr>
                  <a:defRPr sz="1400" b="0" strike="noStrike" spc="-1">
                    <a:solidFill>
                      <a:srgbClr val="595959"/>
                    </a:solidFill>
                    <a:latin typeface="Calibri"/>
                  </a:defRPr>
                </a:pPr>
                <a:r>
                  <a:rPr lang="uk-UA" sz="1400" b="0" strike="noStrike" spc="-1">
                    <a:solidFill>
                      <a:srgbClr val="595959"/>
                    </a:solidFill>
                    <a:latin typeface="Calibri"/>
                  </a:rPr>
                  <a:t>РІК</a:t>
                </a:r>
              </a:p>
            </c:rich>
          </c:tx>
          <c:overlay val="0"/>
          <c:spPr>
            <a:noFill/>
            <a:ln>
              <a:noFill/>
            </a:ln>
          </c:spPr>
        </c:title>
        <c:numFmt formatCode="General" sourceLinked="0"/>
        <c:majorTickMark val="none"/>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uk-UA"/>
          </a:p>
        </c:txPr>
        <c:crossAx val="60327830"/>
        <c:crosses val="autoZero"/>
        <c:crossBetween val="midCat"/>
        <c:majorUnit val="1"/>
      </c:valAx>
      <c:valAx>
        <c:axId val="60327830"/>
        <c:scaling>
          <c:orientation val="minMax"/>
        </c:scaling>
        <c:delete val="0"/>
        <c:axPos val="l"/>
        <c:title>
          <c:tx>
            <c:rich>
              <a:bodyPr rot="-5400000"/>
              <a:lstStyle/>
              <a:p>
                <a:pPr>
                  <a:defRPr sz="1400" b="0" strike="noStrike" spc="-1">
                    <a:solidFill>
                      <a:srgbClr val="595959"/>
                    </a:solidFill>
                    <a:latin typeface="Calibri"/>
                  </a:defRPr>
                </a:pPr>
                <a:r>
                  <a:rPr lang="uk-UA" sz="1400" b="0" strike="noStrike" spc="-1">
                    <a:solidFill>
                      <a:srgbClr val="595959"/>
                    </a:solidFill>
                    <a:latin typeface="Calibri"/>
                  </a:rPr>
                  <a:t>КІЛЬКІСТЬ</a:t>
                </a:r>
              </a:p>
            </c:rich>
          </c:tx>
          <c:overlay val="0"/>
          <c:spPr>
            <a:noFill/>
            <a:ln>
              <a:noFill/>
            </a:ln>
          </c:spPr>
        </c:title>
        <c:numFmt formatCode="General" sourceLinked="0"/>
        <c:majorTickMark val="none"/>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uk-UA"/>
          </a:p>
        </c:txPr>
        <c:crossAx val="16824290"/>
        <c:crosses val="autoZero"/>
        <c:crossBetween val="midCat"/>
      </c:valAx>
      <c:spPr>
        <a:noFill/>
        <a:ln>
          <a:noFill/>
        </a:ln>
      </c:spPr>
    </c:plotArea>
    <c:plotVisOnly val="1"/>
    <c:dispBlanksAs val="gap"/>
    <c:showDLblsOverMax val="1"/>
  </c:chart>
  <c:spPr>
    <a:solidFill>
      <a:srgbClr val="FFFFFF"/>
    </a:solidFill>
    <a:ln w="9360">
      <a:solidFill>
        <a:srgbClr val="D9D9D9"/>
      </a:solidFill>
      <a:round/>
    </a:ln>
  </c:spPr>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pieChart>
        <c:varyColors val="1"/>
        <c:ser>
          <c:idx val="0"/>
          <c:order val="0"/>
          <c:tx>
            <c:strRef>
              <c:f>label 0</c:f>
              <c:strCache>
                <c:ptCount val="1"/>
                <c:pt idx="0">
                  <c:v>Безымянные ряды 1</c:v>
                </c:pt>
              </c:strCache>
            </c:strRef>
          </c:tx>
          <c:spPr>
            <a:solidFill>
              <a:srgbClr val="5B9BD5"/>
            </a:solidFill>
            <a:ln>
              <a:noFill/>
            </a:ln>
          </c:spPr>
          <c:dPt>
            <c:idx val="0"/>
            <c:bubble3D val="0"/>
            <c:extLst>
              <c:ext xmlns:c16="http://schemas.microsoft.com/office/drawing/2014/chart" uri="{C3380CC4-5D6E-409C-BE32-E72D297353CC}">
                <c16:uniqueId val="{00000001-77BE-4688-B912-1CD1EAAB7BE1}"/>
              </c:ext>
            </c:extLst>
          </c:dPt>
          <c:dPt>
            <c:idx val="1"/>
            <c:bubble3D val="0"/>
            <c:spPr>
              <a:solidFill>
                <a:srgbClr val="ED7D31"/>
              </a:solidFill>
              <a:ln>
                <a:noFill/>
              </a:ln>
            </c:spPr>
            <c:extLst>
              <c:ext xmlns:c16="http://schemas.microsoft.com/office/drawing/2014/chart" uri="{C3380CC4-5D6E-409C-BE32-E72D297353CC}">
                <c16:uniqueId val="{00000003-77BE-4688-B912-1CD1EAAB7BE1}"/>
              </c:ext>
            </c:extLst>
          </c:dPt>
          <c:dLbls>
            <c:dLbl>
              <c:idx val="0"/>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77BE-4688-B912-1CD1EAAB7BE1}"/>
                </c:ext>
              </c:extLst>
            </c:dLbl>
            <c:dLbl>
              <c:idx val="1"/>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77BE-4688-B912-1CD1EAAB7BE1}"/>
                </c:ext>
              </c:extLst>
            </c:dLbl>
            <c:spPr>
              <a:noFill/>
              <a:ln>
                <a:noFill/>
              </a:ln>
              <a:effectLst/>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separator>
</c:separator>
            <c:showLeaderLines val="0"/>
            <c:extLst>
              <c:ext xmlns:c15="http://schemas.microsoft.com/office/drawing/2012/chart" uri="{CE6537A1-D6FC-4f65-9D91-7224C49458BB}"/>
            </c:extLst>
          </c:dLbls>
          <c:cat>
            <c:strRef>
              <c:f>categories</c:f>
              <c:strCache>
                <c:ptCount val="2"/>
                <c:pt idx="0">
                  <c:v>Заявка на патент  (870)</c:v>
                </c:pt>
                <c:pt idx="1">
                  <c:v>Отриманий патент (148)</c:v>
                </c:pt>
              </c:strCache>
            </c:strRef>
          </c:cat>
          <c:val>
            <c:numRef>
              <c:f>0</c:f>
              <c:numCache>
                <c:formatCode>General</c:formatCode>
                <c:ptCount val="2"/>
                <c:pt idx="0">
                  <c:v>870</c:v>
                </c:pt>
                <c:pt idx="1">
                  <c:v>148</c:v>
                </c:pt>
              </c:numCache>
            </c:numRef>
          </c:val>
          <c:extLst>
            <c:ext xmlns:c16="http://schemas.microsoft.com/office/drawing/2014/chart" uri="{C3380CC4-5D6E-409C-BE32-E72D297353CC}">
              <c16:uniqueId val="{00000004-77BE-4688-B912-1CD1EAAB7BE1}"/>
            </c:ext>
          </c:extLst>
        </c:ser>
        <c:dLbls>
          <c:showLegendKey val="0"/>
          <c:showVal val="0"/>
          <c:showCatName val="0"/>
          <c:showSerName val="0"/>
          <c:showPercent val="0"/>
          <c:showBubbleSize val="0"/>
          <c:showLeaderLines val="0"/>
        </c:dLbls>
        <c:firstSliceAng val="0"/>
      </c:pieChart>
      <c:spPr>
        <a:noFill/>
        <a:ln>
          <a:noFill/>
        </a:ln>
      </c:spPr>
    </c:plotArea>
    <c:legend>
      <c:legendPos val="b"/>
      <c:overlay val="0"/>
      <c:spPr>
        <a:solidFill>
          <a:srgbClr val="F2F2F2">
            <a:alpha val="39000"/>
          </a:srgbClr>
        </a:solidFill>
        <a:ln>
          <a:noFill/>
        </a:ln>
      </c:spPr>
      <c:txPr>
        <a:bodyPr/>
        <a:lstStyle/>
        <a:p>
          <a:pPr>
            <a:defRPr sz="900" b="0" strike="noStrike" spc="-1">
              <a:solidFill>
                <a:srgbClr val="404040"/>
              </a:solidFill>
              <a:latin typeface="Calibri"/>
            </a:defRPr>
          </a:pPr>
          <a:endParaRPr lang="uk-UA"/>
        </a:p>
      </c:txPr>
    </c:legend>
    <c:plotVisOnly val="1"/>
    <c:dispBlanksAs val="gap"/>
    <c:showDLblsOverMax val="1"/>
  </c:chart>
  <c:spPr>
    <a:gradFill>
      <a:gsLst>
        <a:gs pos="0">
          <a:srgbClr val="FFFFFF"/>
        </a:gs>
        <a:gs pos="100000">
          <a:srgbClr val="BFBFBF"/>
        </a:gs>
      </a:gsLst>
      <a:path path="circle">
        <a:fillToRect l="50000" t="10000" r="50000" b="90000"/>
      </a:path>
    </a:gradFill>
    <a:ln w="9360">
      <a:solidFill>
        <a:srgbClr val="BFBFBF"/>
      </a:solidFill>
      <a:round/>
    </a:ln>
  </c:spPr>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pieChart>
        <c:varyColors val="1"/>
        <c:ser>
          <c:idx val="0"/>
          <c:order val="0"/>
          <c:tx>
            <c:strRef>
              <c:f>label 0</c:f>
              <c:strCache>
                <c:ptCount val="1"/>
                <c:pt idx="0">
                  <c:v>Безымянные ряды 1</c:v>
                </c:pt>
              </c:strCache>
            </c:strRef>
          </c:tx>
          <c:spPr>
            <a:solidFill>
              <a:srgbClr val="5B9BD5"/>
            </a:solidFill>
            <a:ln>
              <a:noFill/>
            </a:ln>
          </c:spPr>
          <c:dPt>
            <c:idx val="0"/>
            <c:bubble3D val="0"/>
            <c:extLst>
              <c:ext xmlns:c16="http://schemas.microsoft.com/office/drawing/2014/chart" uri="{C3380CC4-5D6E-409C-BE32-E72D297353CC}">
                <c16:uniqueId val="{00000001-AB80-4186-AA8F-AE2143064246}"/>
              </c:ext>
            </c:extLst>
          </c:dPt>
          <c:dPt>
            <c:idx val="1"/>
            <c:bubble3D val="0"/>
            <c:spPr>
              <a:solidFill>
                <a:srgbClr val="ED7D31"/>
              </a:solidFill>
              <a:ln>
                <a:noFill/>
              </a:ln>
            </c:spPr>
            <c:extLst>
              <c:ext xmlns:c16="http://schemas.microsoft.com/office/drawing/2014/chart" uri="{C3380CC4-5D6E-409C-BE32-E72D297353CC}">
                <c16:uniqueId val="{00000003-AB80-4186-AA8F-AE2143064246}"/>
              </c:ext>
            </c:extLst>
          </c:dPt>
          <c:dPt>
            <c:idx val="2"/>
            <c:bubble3D val="0"/>
            <c:spPr>
              <a:solidFill>
                <a:srgbClr val="A5A5A5"/>
              </a:solidFill>
              <a:ln>
                <a:noFill/>
              </a:ln>
            </c:spPr>
            <c:extLst>
              <c:ext xmlns:c16="http://schemas.microsoft.com/office/drawing/2014/chart" uri="{C3380CC4-5D6E-409C-BE32-E72D297353CC}">
                <c16:uniqueId val="{00000005-AB80-4186-AA8F-AE2143064246}"/>
              </c:ext>
            </c:extLst>
          </c:dPt>
          <c:dPt>
            <c:idx val="3"/>
            <c:bubble3D val="0"/>
            <c:spPr>
              <a:solidFill>
                <a:srgbClr val="FFC000"/>
              </a:solidFill>
              <a:ln>
                <a:noFill/>
              </a:ln>
            </c:spPr>
            <c:extLst>
              <c:ext xmlns:c16="http://schemas.microsoft.com/office/drawing/2014/chart" uri="{C3380CC4-5D6E-409C-BE32-E72D297353CC}">
                <c16:uniqueId val="{00000007-AB80-4186-AA8F-AE2143064246}"/>
              </c:ext>
            </c:extLst>
          </c:dPt>
          <c:dPt>
            <c:idx val="4"/>
            <c:bubble3D val="0"/>
            <c:spPr>
              <a:solidFill>
                <a:srgbClr val="4472C4"/>
              </a:solidFill>
              <a:ln>
                <a:noFill/>
              </a:ln>
            </c:spPr>
            <c:extLst>
              <c:ext xmlns:c16="http://schemas.microsoft.com/office/drawing/2014/chart" uri="{C3380CC4-5D6E-409C-BE32-E72D297353CC}">
                <c16:uniqueId val="{00000009-AB80-4186-AA8F-AE2143064246}"/>
              </c:ext>
            </c:extLst>
          </c:dPt>
          <c:dLbls>
            <c:dLbl>
              <c:idx val="0"/>
              <c:spPr/>
              <c:txPr>
                <a:bodyPr/>
                <a:lstStyle/>
                <a:p>
                  <a:pPr>
                    <a:defRPr sz="1000" b="0" strike="noStrike" spc="-1">
                      <a:solidFill>
                        <a:srgbClr val="000000"/>
                      </a:solidFill>
                      <a:latin typeface="Calibri"/>
                    </a:defRPr>
                  </a:pPr>
                  <a:endParaRPr lang="uk-UA"/>
                </a:p>
              </c:txPr>
              <c:dLblPos val="ctr"/>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AB80-4186-AA8F-AE2143064246}"/>
                </c:ext>
              </c:extLst>
            </c:dLbl>
            <c:dLbl>
              <c:idx val="1"/>
              <c:spPr/>
              <c:txPr>
                <a:bodyPr/>
                <a:lstStyle/>
                <a:p>
                  <a:pPr>
                    <a:defRPr sz="1000" b="0" strike="noStrike" spc="-1">
                      <a:solidFill>
                        <a:srgbClr val="000000"/>
                      </a:solidFill>
                      <a:latin typeface="Calibri"/>
                    </a:defRPr>
                  </a:pPr>
                  <a:endParaRPr lang="uk-UA"/>
                </a:p>
              </c:txPr>
              <c:dLblPos val="ctr"/>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AB80-4186-AA8F-AE2143064246}"/>
                </c:ext>
              </c:extLst>
            </c:dLbl>
            <c:dLbl>
              <c:idx val="2"/>
              <c:spPr/>
              <c:txPr>
                <a:bodyPr/>
                <a:lstStyle/>
                <a:p>
                  <a:pPr>
                    <a:defRPr sz="1000" b="0" strike="noStrike" spc="-1">
                      <a:solidFill>
                        <a:srgbClr val="000000"/>
                      </a:solidFill>
                      <a:latin typeface="Calibri"/>
                    </a:defRPr>
                  </a:pPr>
                  <a:endParaRPr lang="uk-UA"/>
                </a:p>
              </c:txPr>
              <c:dLblPos val="ctr"/>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5-AB80-4186-AA8F-AE2143064246}"/>
                </c:ext>
              </c:extLst>
            </c:dLbl>
            <c:dLbl>
              <c:idx val="3"/>
              <c:spPr/>
              <c:txPr>
                <a:bodyPr/>
                <a:lstStyle/>
                <a:p>
                  <a:pPr>
                    <a:defRPr sz="1000" b="0" strike="noStrike" spc="-1">
                      <a:solidFill>
                        <a:srgbClr val="000000"/>
                      </a:solidFill>
                      <a:latin typeface="Calibri"/>
                    </a:defRPr>
                  </a:pPr>
                  <a:endParaRPr lang="uk-UA"/>
                </a:p>
              </c:txPr>
              <c:dLblPos val="ctr"/>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7-AB80-4186-AA8F-AE2143064246}"/>
                </c:ext>
              </c:extLst>
            </c:dLbl>
            <c:dLbl>
              <c:idx val="4"/>
              <c:spPr/>
              <c:txPr>
                <a:bodyPr/>
                <a:lstStyle/>
                <a:p>
                  <a:pPr>
                    <a:defRPr sz="1000" b="0" strike="noStrike" spc="-1">
                      <a:solidFill>
                        <a:srgbClr val="000000"/>
                      </a:solidFill>
                      <a:latin typeface="Calibri"/>
                    </a:defRPr>
                  </a:pPr>
                  <a:endParaRPr lang="uk-UA"/>
                </a:p>
              </c:txPr>
              <c:dLblPos val="ctr"/>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9-AB80-4186-AA8F-AE2143064246}"/>
                </c:ext>
              </c:extLst>
            </c:dLbl>
            <c:spPr>
              <a:noFill/>
              <a:ln>
                <a:noFill/>
              </a:ln>
              <a:effectLst/>
            </c:spPr>
            <c:txPr>
              <a:bodyPr/>
              <a:lstStyle/>
              <a:p>
                <a:pPr>
                  <a:defRPr sz="1000" b="1" strike="noStrike" spc="-1">
                    <a:solidFill>
                      <a:srgbClr val="FFFFFF"/>
                    </a:solidFill>
                    <a:latin typeface="Calibri"/>
                  </a:defRPr>
                </a:pPr>
                <a:endParaRPr lang="uk-UA"/>
              </a:p>
            </c:txPr>
            <c:dLblPos val="ctr"/>
            <c:showLegendKey val="0"/>
            <c:showVal val="1"/>
            <c:showCatName val="0"/>
            <c:showSerName val="0"/>
            <c:showPercent val="1"/>
            <c:showBubbleSize val="1"/>
            <c:separator>; </c:separator>
            <c:showLeaderLines val="0"/>
            <c:extLst>
              <c:ext xmlns:c15="http://schemas.microsoft.com/office/drawing/2012/chart" uri="{CE6537A1-D6FC-4f65-9D91-7224C49458BB}"/>
            </c:extLst>
          </c:dLbls>
          <c:cat>
            <c:strRef>
              <c:f>categories</c:f>
              <c:strCache>
                <c:ptCount val="5"/>
                <c:pt idx="0">
                  <c:v>IBM</c:v>
                </c:pt>
                <c:pt idx="1">
                  <c:v>Alibaba</c:v>
                </c:pt>
                <c:pt idx="2">
                  <c:v>Mastercard</c:v>
                </c:pt>
                <c:pt idx="3">
                  <c:v>accenture</c:v>
                </c:pt>
                <c:pt idx="4">
                  <c:v>Nchain</c:v>
                </c:pt>
              </c:strCache>
            </c:strRef>
          </c:cat>
          <c:val>
            <c:numRef>
              <c:f>0</c:f>
              <c:numCache>
                <c:formatCode>General</c:formatCode>
                <c:ptCount val="5"/>
                <c:pt idx="0">
                  <c:v>231</c:v>
                </c:pt>
                <c:pt idx="1">
                  <c:v>74</c:v>
                </c:pt>
                <c:pt idx="2">
                  <c:v>59</c:v>
                </c:pt>
                <c:pt idx="3">
                  <c:v>47</c:v>
                </c:pt>
                <c:pt idx="4">
                  <c:v>32</c:v>
                </c:pt>
              </c:numCache>
            </c:numRef>
          </c:val>
          <c:extLst>
            <c:ext xmlns:c16="http://schemas.microsoft.com/office/drawing/2014/chart" uri="{C3380CC4-5D6E-409C-BE32-E72D297353CC}">
              <c16:uniqueId val="{0000000A-AB80-4186-AA8F-AE2143064246}"/>
            </c:ext>
          </c:extLst>
        </c:ser>
        <c:dLbls>
          <c:showLegendKey val="0"/>
          <c:showVal val="0"/>
          <c:showCatName val="0"/>
          <c:showSerName val="0"/>
          <c:showPercent val="0"/>
          <c:showBubbleSize val="0"/>
          <c:showLeaderLines val="0"/>
        </c:dLbls>
        <c:firstSliceAng val="0"/>
      </c:pieChart>
      <c:spPr>
        <a:noFill/>
        <a:ln>
          <a:noFill/>
        </a:ln>
      </c:spPr>
    </c:plotArea>
    <c:legend>
      <c:legendPos val="b"/>
      <c:overlay val="0"/>
      <c:spPr>
        <a:solidFill>
          <a:srgbClr val="F2F2F2">
            <a:alpha val="39000"/>
          </a:srgbClr>
        </a:solidFill>
        <a:ln>
          <a:noFill/>
        </a:ln>
      </c:spPr>
      <c:txPr>
        <a:bodyPr/>
        <a:lstStyle/>
        <a:p>
          <a:pPr>
            <a:defRPr sz="900" b="0" strike="noStrike" spc="-1">
              <a:solidFill>
                <a:srgbClr val="404040"/>
              </a:solidFill>
              <a:latin typeface="Calibri"/>
            </a:defRPr>
          </a:pPr>
          <a:endParaRPr lang="uk-UA"/>
        </a:p>
      </c:txPr>
    </c:legend>
    <c:plotVisOnly val="1"/>
    <c:dispBlanksAs val="gap"/>
    <c:showDLblsOverMax val="1"/>
  </c:chart>
  <c:spPr>
    <a:gradFill>
      <a:gsLst>
        <a:gs pos="0">
          <a:srgbClr val="FFFFFF"/>
        </a:gs>
        <a:gs pos="100000">
          <a:srgbClr val="BFBFBF"/>
        </a:gs>
      </a:gsLst>
      <a:path path="circle">
        <a:fillToRect l="50000" t="10000" r="50000" b="90000"/>
      </a:path>
    </a:gradFill>
    <a:ln w="9360">
      <a:solidFill>
        <a:srgbClr val="BFBFBF"/>
      </a:solidFill>
      <a:round/>
    </a:ln>
  </c:spPr>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barChart>
        <c:barDir val="col"/>
        <c:grouping val="clustered"/>
        <c:varyColors val="0"/>
        <c:ser>
          <c:idx val="0"/>
          <c:order val="0"/>
          <c:tx>
            <c:strRef>
              <c:f>label 0</c:f>
              <c:strCache>
                <c:ptCount val="1"/>
                <c:pt idx="0">
                  <c:v>Безымянные ряды 1</c:v>
                </c:pt>
              </c:strCache>
            </c:strRef>
          </c:tx>
          <c:spPr>
            <a:solidFill>
              <a:srgbClr val="5B9BD5"/>
            </a:solidFill>
            <a:ln>
              <a:noFill/>
            </a:ln>
          </c:spPr>
          <c:invertIfNegative val="0"/>
          <c:dLbls>
            <c:spPr>
              <a:noFill/>
              <a:ln>
                <a:noFill/>
              </a:ln>
              <a:effectLst/>
            </c:spPr>
            <c:txPr>
              <a:bodyPr/>
              <a:lstStyle/>
              <a:p>
                <a:pPr>
                  <a:defRPr sz="1200" b="1" strike="noStrike" spc="-1">
                    <a:solidFill>
                      <a:srgbClr val="404040"/>
                    </a:solidFill>
                    <a:latin typeface="Calibri"/>
                  </a:defRPr>
                </a:pPr>
                <a:endParaRPr lang="uk-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5"/>
                <c:pt idx="0">
                  <c:v>H04L9/06</c:v>
                </c:pt>
                <c:pt idx="1">
                  <c:v>H04L9/32</c:v>
                </c:pt>
                <c:pt idx="2">
                  <c:v>H04L29/06</c:v>
                </c:pt>
                <c:pt idx="3">
                  <c:v>G06Q20/38</c:v>
                </c:pt>
                <c:pt idx="4">
                  <c:v>H04L9/08</c:v>
                </c:pt>
              </c:strCache>
            </c:strRef>
          </c:cat>
          <c:val>
            <c:numRef>
              <c:f>0</c:f>
              <c:numCache>
                <c:formatCode>General</c:formatCode>
                <c:ptCount val="5"/>
                <c:pt idx="0">
                  <c:v>482</c:v>
                </c:pt>
                <c:pt idx="1">
                  <c:v>423</c:v>
                </c:pt>
                <c:pt idx="2">
                  <c:v>284</c:v>
                </c:pt>
                <c:pt idx="3">
                  <c:v>186</c:v>
                </c:pt>
                <c:pt idx="4">
                  <c:v>166</c:v>
                </c:pt>
              </c:numCache>
            </c:numRef>
          </c:val>
          <c:extLst>
            <c:ext xmlns:c16="http://schemas.microsoft.com/office/drawing/2014/chart" uri="{C3380CC4-5D6E-409C-BE32-E72D297353CC}">
              <c16:uniqueId val="{00000000-6FD6-44C2-A6BF-E50E7FB9CF76}"/>
            </c:ext>
          </c:extLst>
        </c:ser>
        <c:dLbls>
          <c:showLegendKey val="0"/>
          <c:showVal val="0"/>
          <c:showCatName val="0"/>
          <c:showSerName val="0"/>
          <c:showPercent val="0"/>
          <c:showBubbleSize val="0"/>
        </c:dLbls>
        <c:gapWidth val="219"/>
        <c:overlap val="-27"/>
        <c:axId val="94899158"/>
        <c:axId val="15936094"/>
      </c:barChart>
      <c:catAx>
        <c:axId val="94899158"/>
        <c:scaling>
          <c:orientation val="minMax"/>
        </c:scaling>
        <c:delete val="0"/>
        <c:axPos val="b"/>
        <c:title>
          <c:tx>
            <c:rich>
              <a:bodyPr rot="0"/>
              <a:lstStyle/>
              <a:p>
                <a:pPr>
                  <a:defRPr sz="1400" b="0" strike="noStrike" spc="-1">
                    <a:solidFill>
                      <a:srgbClr val="595959"/>
                    </a:solidFill>
                    <a:latin typeface="Times New Roman"/>
                  </a:defRPr>
                </a:pPr>
                <a:r>
                  <a:rPr lang="uk-UA" sz="1400" b="0" strike="noStrike" spc="-1">
                    <a:solidFill>
                      <a:srgbClr val="595959"/>
                    </a:solidFill>
                    <a:latin typeface="Times New Roman"/>
                  </a:rPr>
                  <a:t>ПІДКЛАС МПК</a:t>
                </a:r>
              </a:p>
            </c:rich>
          </c:tx>
          <c:overlay val="0"/>
          <c:spPr>
            <a:noFill/>
            <a:ln>
              <a:noFill/>
            </a:ln>
          </c:spPr>
        </c:title>
        <c:numFmt formatCode="General" sourceLinked="1"/>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15936094"/>
        <c:crosses val="autoZero"/>
        <c:auto val="1"/>
        <c:lblAlgn val="ctr"/>
        <c:lblOffset val="100"/>
        <c:noMultiLvlLbl val="1"/>
      </c:catAx>
      <c:valAx>
        <c:axId val="15936094"/>
        <c:scaling>
          <c:orientation val="minMax"/>
        </c:scaling>
        <c:delete val="0"/>
        <c:axPos val="l"/>
        <c:title>
          <c:tx>
            <c:rich>
              <a:bodyPr rot="-5400000"/>
              <a:lstStyle/>
              <a:p>
                <a:pPr>
                  <a:defRPr sz="1400" b="0" strike="noStrike" spc="-1">
                    <a:solidFill>
                      <a:srgbClr val="595959"/>
                    </a:solidFill>
                    <a:latin typeface="Times New Roman"/>
                  </a:defRPr>
                </a:pPr>
                <a:r>
                  <a:rPr lang="uk-UA" sz="1400" b="0" strike="noStrike" spc="-1">
                    <a:solidFill>
                      <a:srgbClr val="595959"/>
                    </a:solidFill>
                    <a:latin typeface="Times New Roman"/>
                  </a:rPr>
                  <a:t>КІЛЬКІСТЬ</a:t>
                </a:r>
              </a:p>
            </c:rich>
          </c:tx>
          <c:overlay val="0"/>
          <c:spPr>
            <a:noFill/>
            <a:ln>
              <a:noFill/>
            </a:ln>
          </c:spPr>
        </c:title>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uk-UA"/>
          </a:p>
        </c:txPr>
        <c:crossAx val="94899158"/>
        <c:crosses val="autoZero"/>
        <c:crossBetween val="between"/>
      </c:valAx>
      <c:spPr>
        <a:noFill/>
        <a:ln>
          <a:noFill/>
        </a:ln>
      </c:spPr>
    </c:plotArea>
    <c:plotVisOnly val="1"/>
    <c:dispBlanksAs val="gap"/>
    <c:showDLblsOverMax val="1"/>
  </c:chart>
  <c:spPr>
    <a:solidFill>
      <a:srgbClr val="FFFFFF"/>
    </a:solidFill>
    <a:ln w="9360">
      <a:solidFill>
        <a:srgbClr val="D9D9D9"/>
      </a:solidFill>
      <a:round/>
    </a:ln>
  </c:spPr>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areaChart>
        <c:grouping val="stacked"/>
        <c:varyColors val="1"/>
        <c:ser>
          <c:idx val="0"/>
          <c:order val="0"/>
          <c:tx>
            <c:strRef>
              <c:f>label 0</c:f>
              <c:strCache>
                <c:ptCount val="1"/>
                <c:pt idx="0">
                  <c:v>Безымянные ряды 1</c:v>
                </c:pt>
              </c:strCache>
            </c:strRef>
          </c:tx>
          <c:spPr>
            <a:gradFill>
              <a:gsLst>
                <a:gs pos="0">
                  <a:srgbClr val="71A6DA"/>
                </a:gs>
                <a:gs pos="100000">
                  <a:srgbClr val="549ADA"/>
                </a:gs>
              </a:gsLst>
              <a:lin ang="5400000"/>
            </a:gradFill>
            <a:ln>
              <a:noFill/>
            </a:ln>
          </c:spPr>
          <c:dPt>
            <c:idx val="0"/>
            <c:bubble3D val="0"/>
            <c:extLst>
              <c:ext xmlns:c16="http://schemas.microsoft.com/office/drawing/2014/chart" uri="{C3380CC4-5D6E-409C-BE32-E72D297353CC}">
                <c16:uniqueId val="{00000001-F390-4A10-8CC6-8DB2732E0A4D}"/>
              </c:ext>
            </c:extLst>
          </c:dPt>
          <c:dPt>
            <c:idx val="1"/>
            <c:bubble3D val="0"/>
            <c:extLst>
              <c:ext xmlns:c16="http://schemas.microsoft.com/office/drawing/2014/chart" uri="{C3380CC4-5D6E-409C-BE32-E72D297353CC}">
                <c16:uniqueId val="{00000003-F390-4A10-8CC6-8DB2732E0A4D}"/>
              </c:ext>
            </c:extLst>
          </c:dPt>
          <c:dPt>
            <c:idx val="2"/>
            <c:bubble3D val="0"/>
            <c:extLst>
              <c:ext xmlns:c16="http://schemas.microsoft.com/office/drawing/2014/chart" uri="{C3380CC4-5D6E-409C-BE32-E72D297353CC}">
                <c16:uniqueId val="{00000005-F390-4A10-8CC6-8DB2732E0A4D}"/>
              </c:ext>
            </c:extLst>
          </c:dPt>
          <c:dPt>
            <c:idx val="3"/>
            <c:bubble3D val="0"/>
            <c:extLst>
              <c:ext xmlns:c16="http://schemas.microsoft.com/office/drawing/2014/chart" uri="{C3380CC4-5D6E-409C-BE32-E72D297353CC}">
                <c16:uniqueId val="{00000007-F390-4A10-8CC6-8DB2732E0A4D}"/>
              </c:ext>
            </c:extLst>
          </c:dPt>
          <c:dLbls>
            <c:dLbl>
              <c:idx val="0"/>
              <c:spPr/>
              <c:txPr>
                <a:bodyPr/>
                <a:lstStyle/>
                <a:p>
                  <a:pPr>
                    <a:defRPr sz="1000" b="0" strike="noStrike" spc="-1">
                      <a:solidFill>
                        <a:srgbClr val="000000"/>
                      </a:solidFill>
                      <a:latin typeface="Calibri"/>
                    </a:defRPr>
                  </a:pPr>
                  <a:endParaRPr lang="uk-UA"/>
                </a:p>
              </c:txPr>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F390-4A10-8CC6-8DB2732E0A4D}"/>
                </c:ext>
              </c:extLst>
            </c:dLbl>
            <c:dLbl>
              <c:idx val="1"/>
              <c:spPr/>
              <c:txPr>
                <a:bodyPr/>
                <a:lstStyle/>
                <a:p>
                  <a:pPr>
                    <a:defRPr sz="1000" b="0" strike="noStrike" spc="-1">
                      <a:solidFill>
                        <a:srgbClr val="000000"/>
                      </a:solidFill>
                      <a:latin typeface="Calibri"/>
                    </a:defRPr>
                  </a:pPr>
                  <a:endParaRPr lang="uk-UA"/>
                </a:p>
              </c:txPr>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3-F390-4A10-8CC6-8DB2732E0A4D}"/>
                </c:ext>
              </c:extLst>
            </c:dLbl>
            <c:dLbl>
              <c:idx val="2"/>
              <c:spPr/>
              <c:txPr>
                <a:bodyPr/>
                <a:lstStyle/>
                <a:p>
                  <a:pPr>
                    <a:defRPr sz="1000" b="0" strike="noStrike" spc="-1">
                      <a:solidFill>
                        <a:srgbClr val="000000"/>
                      </a:solidFill>
                      <a:latin typeface="Calibri"/>
                    </a:defRPr>
                  </a:pPr>
                  <a:endParaRPr lang="uk-UA"/>
                </a:p>
              </c:txPr>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5-F390-4A10-8CC6-8DB2732E0A4D}"/>
                </c:ext>
              </c:extLst>
            </c:dLbl>
            <c:dLbl>
              <c:idx val="3"/>
              <c:spPr/>
              <c:txPr>
                <a:bodyPr/>
                <a:lstStyle/>
                <a:p>
                  <a:pPr>
                    <a:defRPr sz="1000" b="0" strike="noStrike" spc="-1">
                      <a:solidFill>
                        <a:srgbClr val="000000"/>
                      </a:solidFill>
                      <a:latin typeface="Calibri"/>
                    </a:defRPr>
                  </a:pPr>
                  <a:endParaRPr lang="uk-UA"/>
                </a:p>
              </c:txPr>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7-F390-4A10-8CC6-8DB2732E0A4D}"/>
                </c:ext>
              </c:extLst>
            </c:dLbl>
            <c:spPr>
              <a:noFill/>
              <a:ln>
                <a:noFill/>
              </a:ln>
              <a:effectLst/>
            </c:spPr>
            <c:txPr>
              <a:bodyPr/>
              <a:lstStyle/>
              <a:p>
                <a:pPr>
                  <a:defRPr sz="1200" b="1" strike="noStrike" spc="-1">
                    <a:solidFill>
                      <a:srgbClr val="44546A"/>
                    </a:solidFill>
                    <a:latin typeface="Calibri"/>
                  </a:defRPr>
                </a:pPr>
                <a:endParaRPr lang="uk-UA"/>
              </a:p>
            </c:txP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4"/>
                <c:pt idx="0">
                  <c:v>2016</c:v>
                </c:pt>
                <c:pt idx="1">
                  <c:v>2017</c:v>
                </c:pt>
                <c:pt idx="2">
                  <c:v>2018</c:v>
                </c:pt>
                <c:pt idx="3">
                  <c:v>2019</c:v>
                </c:pt>
              </c:strCache>
            </c:strRef>
          </c:cat>
          <c:val>
            <c:numRef>
              <c:f>0</c:f>
              <c:numCache>
                <c:formatCode>General</c:formatCode>
                <c:ptCount val="4"/>
                <c:pt idx="0">
                  <c:v>2</c:v>
                </c:pt>
                <c:pt idx="1">
                  <c:v>22</c:v>
                </c:pt>
                <c:pt idx="2">
                  <c:v>116</c:v>
                </c:pt>
                <c:pt idx="3">
                  <c:v>342</c:v>
                </c:pt>
              </c:numCache>
            </c:numRef>
          </c:val>
          <c:extLst>
            <c:ext xmlns:c16="http://schemas.microsoft.com/office/drawing/2014/chart" uri="{C3380CC4-5D6E-409C-BE32-E72D297353CC}">
              <c16:uniqueId val="{00000008-F390-4A10-8CC6-8DB2732E0A4D}"/>
            </c:ext>
          </c:extLst>
        </c:ser>
        <c:dLbls>
          <c:showLegendKey val="0"/>
          <c:showVal val="0"/>
          <c:showCatName val="0"/>
          <c:showSerName val="0"/>
          <c:showPercent val="0"/>
          <c:showBubbleSize val="0"/>
        </c:dLbls>
        <c:axId val="74264423"/>
        <c:axId val="29803101"/>
      </c:areaChart>
      <c:catAx>
        <c:axId val="74264423"/>
        <c:scaling>
          <c:orientation val="minMax"/>
        </c:scaling>
        <c:delete val="0"/>
        <c:axPos val="b"/>
        <c:title>
          <c:tx>
            <c:rich>
              <a:bodyPr rot="0"/>
              <a:lstStyle/>
              <a:p>
                <a:pPr>
                  <a:defRPr sz="1400" b="0" strike="noStrike" spc="-1">
                    <a:solidFill>
                      <a:srgbClr val="44546A"/>
                    </a:solidFill>
                    <a:latin typeface="Times New Roman"/>
                  </a:defRPr>
                </a:pPr>
                <a:r>
                  <a:rPr lang="uk-UA" sz="1400" b="0" strike="noStrike" spc="-1">
                    <a:solidFill>
                      <a:srgbClr val="44546A"/>
                    </a:solidFill>
                    <a:latin typeface="Times New Roman"/>
                  </a:rPr>
                  <a:t>РІК</a:t>
                </a:r>
              </a:p>
            </c:rich>
          </c:tx>
          <c:overlay val="0"/>
          <c:spPr>
            <a:noFill/>
            <a:ln>
              <a:noFill/>
            </a:ln>
          </c:spPr>
        </c:title>
        <c:numFmt formatCode="General" sourceLinked="1"/>
        <c:majorTickMark val="out"/>
        <c:minorTickMark val="none"/>
        <c:tickLblPos val="nextTo"/>
        <c:spPr>
          <a:ln w="9360">
            <a:solidFill>
              <a:srgbClr val="E0E5EB"/>
            </a:solidFill>
            <a:round/>
          </a:ln>
        </c:spPr>
        <c:txPr>
          <a:bodyPr/>
          <a:lstStyle/>
          <a:p>
            <a:pPr>
              <a:defRPr sz="900" b="0" strike="noStrike" spc="-1">
                <a:solidFill>
                  <a:srgbClr val="44546A"/>
                </a:solidFill>
                <a:latin typeface="Calibri"/>
              </a:defRPr>
            </a:pPr>
            <a:endParaRPr lang="uk-UA"/>
          </a:p>
        </c:txPr>
        <c:crossAx val="29803101"/>
        <c:crosses val="autoZero"/>
        <c:auto val="1"/>
        <c:lblAlgn val="ctr"/>
        <c:lblOffset val="100"/>
        <c:noMultiLvlLbl val="1"/>
      </c:catAx>
      <c:valAx>
        <c:axId val="29803101"/>
        <c:scaling>
          <c:orientation val="minMax"/>
        </c:scaling>
        <c:delete val="0"/>
        <c:axPos val="l"/>
        <c:title>
          <c:tx>
            <c:rich>
              <a:bodyPr rot="-5400000"/>
              <a:lstStyle/>
              <a:p>
                <a:pPr>
                  <a:defRPr sz="1400" b="0" strike="noStrike" spc="-1">
                    <a:solidFill>
                      <a:srgbClr val="44546A"/>
                    </a:solidFill>
                    <a:latin typeface="Times New Roman"/>
                  </a:defRPr>
                </a:pPr>
                <a:r>
                  <a:rPr lang="uk-UA" sz="1400" b="0" strike="noStrike" spc="-1">
                    <a:solidFill>
                      <a:srgbClr val="44546A"/>
                    </a:solidFill>
                    <a:latin typeface="Times New Roman"/>
                  </a:rPr>
                  <a:t>КІЛЬКІСТЬ ПАТЕНТІВ</a:t>
                </a:r>
              </a:p>
            </c:rich>
          </c:tx>
          <c:overlay val="0"/>
          <c:spPr>
            <a:noFill/>
            <a:ln>
              <a:noFill/>
            </a:ln>
          </c:spPr>
        </c:title>
        <c:numFmt formatCode="General" sourceLinked="0"/>
        <c:majorTickMark val="none"/>
        <c:minorTickMark val="none"/>
        <c:tickLblPos val="nextTo"/>
        <c:spPr>
          <a:ln w="6480">
            <a:noFill/>
          </a:ln>
        </c:spPr>
        <c:txPr>
          <a:bodyPr/>
          <a:lstStyle/>
          <a:p>
            <a:pPr>
              <a:defRPr sz="900" b="0" strike="noStrike" spc="-1">
                <a:solidFill>
                  <a:srgbClr val="44546A"/>
                </a:solidFill>
                <a:latin typeface="Calibri"/>
              </a:defRPr>
            </a:pPr>
            <a:endParaRPr lang="uk-UA"/>
          </a:p>
        </c:txPr>
        <c:crossAx val="74264423"/>
        <c:crosses val="autoZero"/>
        <c:crossBetween val="midCat"/>
      </c:valAx>
      <c:spPr>
        <a:noFill/>
        <a:ln>
          <a:noFill/>
        </a:ln>
      </c:spPr>
    </c:plotArea>
    <c:plotVisOnly val="1"/>
    <c:dispBlanksAs val="zero"/>
    <c:showDLblsOverMax val="1"/>
  </c:chart>
  <c:spPr>
    <a:solidFill>
      <a:srgbClr val="FFFFFF"/>
    </a:solidFill>
    <a:ln w="9360">
      <a:solidFill>
        <a:srgbClr val="E0E5EB"/>
      </a:solidFill>
      <a:round/>
    </a:ln>
  </c:spPr>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scatterChart>
        <c:scatterStyle val="lineMarker"/>
        <c:varyColors val="0"/>
        <c:ser>
          <c:idx val="0"/>
          <c:order val="0"/>
          <c:tx>
            <c:strRef>
              <c:f>label 1</c:f>
              <c:strCache>
                <c:ptCount val="1"/>
                <c:pt idx="0">
                  <c:v>Безымянные ряды 2</c:v>
                </c:pt>
              </c:strCache>
            </c:strRef>
          </c:tx>
          <c:spPr>
            <a:ln w="19080">
              <a:solidFill>
                <a:srgbClr val="5B9BD5"/>
              </a:solidFill>
              <a:round/>
            </a:ln>
          </c:spPr>
          <c:marker>
            <c:symbol val="circle"/>
            <c:size val="5"/>
            <c:spPr>
              <a:solidFill>
                <a:srgbClr val="5B9BD5"/>
              </a:solidFill>
            </c:spPr>
          </c:marker>
          <c:dPt>
            <c:idx val="0"/>
            <c:bubble3D val="0"/>
            <c:extLst>
              <c:ext xmlns:c16="http://schemas.microsoft.com/office/drawing/2014/chart" uri="{C3380CC4-5D6E-409C-BE32-E72D297353CC}">
                <c16:uniqueId val="{00000000-C44A-42E4-8178-9C3F4ED386BD}"/>
              </c:ext>
            </c:extLst>
          </c:dPt>
          <c:dPt>
            <c:idx val="1"/>
            <c:bubble3D val="0"/>
            <c:extLst>
              <c:ext xmlns:c16="http://schemas.microsoft.com/office/drawing/2014/chart" uri="{C3380CC4-5D6E-409C-BE32-E72D297353CC}">
                <c16:uniqueId val="{00000001-C44A-42E4-8178-9C3F4ED386BD}"/>
              </c:ext>
            </c:extLst>
          </c:dPt>
          <c:dPt>
            <c:idx val="4"/>
            <c:bubble3D val="0"/>
            <c:extLst>
              <c:ext xmlns:c16="http://schemas.microsoft.com/office/drawing/2014/chart" uri="{C3380CC4-5D6E-409C-BE32-E72D297353CC}">
                <c16:uniqueId val="{00000002-C44A-42E4-8178-9C3F4ED386BD}"/>
              </c:ext>
            </c:extLst>
          </c:dPt>
          <c:dLbls>
            <c:dLbl>
              <c:idx val="0"/>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C44A-42E4-8178-9C3F4ED386BD}"/>
                </c:ext>
              </c:extLst>
            </c:dLbl>
            <c:dLbl>
              <c:idx val="1"/>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C44A-42E4-8178-9C3F4ED386BD}"/>
                </c:ext>
              </c:extLst>
            </c:dLbl>
            <c:dLbl>
              <c:idx val="4"/>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C44A-42E4-8178-9C3F4ED386BD}"/>
                </c:ext>
              </c:extLst>
            </c:dLbl>
            <c:spPr>
              <a:noFill/>
              <a:ln>
                <a:noFill/>
              </a:ln>
              <a:effectLst/>
            </c:spPr>
            <c:txPr>
              <a:bodyPr/>
              <a:lstStyle/>
              <a:p>
                <a:pPr>
                  <a:defRPr sz="1400" b="0" strike="noStrike" spc="-1">
                    <a:solidFill>
                      <a:srgbClr val="404040"/>
                    </a:solidFill>
                    <a:latin typeface="Calibri"/>
                  </a:defRPr>
                </a:pPr>
                <a:endParaRPr lang="uk-UA"/>
              </a:p>
            </c:txPr>
            <c:dLblPos val="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xVal>
            <c:numRef>
              <c:f>1</c:f>
              <c:numCache>
                <c:formatCode>General</c:formatCode>
                <c:ptCount val="5"/>
                <c:pt idx="0">
                  <c:v>2015</c:v>
                </c:pt>
                <c:pt idx="1">
                  <c:v>2016</c:v>
                </c:pt>
                <c:pt idx="2">
                  <c:v>2017</c:v>
                </c:pt>
                <c:pt idx="3">
                  <c:v>2018</c:v>
                </c:pt>
                <c:pt idx="4">
                  <c:v>2019</c:v>
                </c:pt>
              </c:numCache>
            </c:numRef>
          </c:xVal>
          <c:yVal>
            <c:numRef>
              <c:f>0</c:f>
              <c:numCache>
                <c:formatCode>General</c:formatCode>
                <c:ptCount val="5"/>
                <c:pt idx="0">
                  <c:v>1</c:v>
                </c:pt>
                <c:pt idx="1">
                  <c:v>7</c:v>
                </c:pt>
                <c:pt idx="2">
                  <c:v>61</c:v>
                </c:pt>
                <c:pt idx="3">
                  <c:v>226</c:v>
                </c:pt>
                <c:pt idx="4">
                  <c:v>555</c:v>
                </c:pt>
              </c:numCache>
            </c:numRef>
          </c:yVal>
          <c:smooth val="0"/>
          <c:extLst>
            <c:ext xmlns:c16="http://schemas.microsoft.com/office/drawing/2014/chart" uri="{C3380CC4-5D6E-409C-BE32-E72D297353CC}">
              <c16:uniqueId val="{00000003-C44A-42E4-8178-9C3F4ED386BD}"/>
            </c:ext>
          </c:extLst>
        </c:ser>
        <c:dLbls>
          <c:showLegendKey val="0"/>
          <c:showVal val="0"/>
          <c:showCatName val="0"/>
          <c:showSerName val="0"/>
          <c:showPercent val="0"/>
          <c:showBubbleSize val="0"/>
        </c:dLbls>
        <c:axId val="47032862"/>
        <c:axId val="34996530"/>
      </c:scatterChart>
      <c:valAx>
        <c:axId val="47032862"/>
        <c:scaling>
          <c:orientation val="minMax"/>
          <c:max val="2019"/>
          <c:min val="2015"/>
        </c:scaling>
        <c:delete val="0"/>
        <c:axPos val="b"/>
        <c:title>
          <c:tx>
            <c:rich>
              <a:bodyPr rot="0"/>
              <a:lstStyle/>
              <a:p>
                <a:pPr>
                  <a:defRPr sz="1400" b="0" strike="noStrike" spc="-1">
                    <a:solidFill>
                      <a:srgbClr val="595959"/>
                    </a:solidFill>
                    <a:latin typeface="Times New Roman"/>
                  </a:defRPr>
                </a:pPr>
                <a:r>
                  <a:rPr lang="uk-UA" sz="1400" b="0" strike="noStrike" spc="-1">
                    <a:solidFill>
                      <a:srgbClr val="595959"/>
                    </a:solidFill>
                    <a:latin typeface="Times New Roman"/>
                  </a:rPr>
                  <a:t>РІК</a:t>
                </a:r>
              </a:p>
            </c:rich>
          </c:tx>
          <c:overlay val="0"/>
          <c:spPr>
            <a:noFill/>
            <a:ln>
              <a:noFill/>
            </a:ln>
          </c:spPr>
        </c:title>
        <c:numFmt formatCode="General" sourceLinked="0"/>
        <c:majorTickMark val="none"/>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uk-UA"/>
          </a:p>
        </c:txPr>
        <c:crossAx val="34996530"/>
        <c:crosses val="autoZero"/>
        <c:crossBetween val="midCat"/>
        <c:majorUnit val="1"/>
      </c:valAx>
      <c:valAx>
        <c:axId val="34996530"/>
        <c:scaling>
          <c:orientation val="minMax"/>
        </c:scaling>
        <c:delete val="0"/>
        <c:axPos val="l"/>
        <c:title>
          <c:tx>
            <c:rich>
              <a:bodyPr rot="-5400000"/>
              <a:lstStyle/>
              <a:p>
                <a:pPr>
                  <a:defRPr sz="1400" b="0" strike="noStrike" spc="-1">
                    <a:solidFill>
                      <a:srgbClr val="595959"/>
                    </a:solidFill>
                    <a:latin typeface="Times New Roman"/>
                  </a:defRPr>
                </a:pPr>
                <a:r>
                  <a:rPr lang="uk-UA" sz="1400" b="0" strike="noStrike" spc="-1">
                    <a:solidFill>
                      <a:srgbClr val="595959"/>
                    </a:solidFill>
                    <a:latin typeface="Times New Roman"/>
                  </a:rPr>
                  <a:t>КІЛЬКІСТЬ</a:t>
                </a:r>
              </a:p>
            </c:rich>
          </c:tx>
          <c:overlay val="0"/>
          <c:spPr>
            <a:noFill/>
            <a:ln>
              <a:noFill/>
            </a:ln>
          </c:spPr>
        </c:title>
        <c:numFmt formatCode="General" sourceLinked="0"/>
        <c:majorTickMark val="none"/>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uk-UA"/>
          </a:p>
        </c:txPr>
        <c:crossAx val="47032862"/>
        <c:crosses val="autoZero"/>
        <c:crossBetween val="midCat"/>
      </c:valAx>
      <c:spPr>
        <a:noFill/>
        <a:ln>
          <a:noFill/>
        </a:ln>
      </c:spPr>
    </c:plotArea>
    <c:plotVisOnly val="1"/>
    <c:dispBlanksAs val="gap"/>
    <c:showDLblsOverMax val="1"/>
  </c:chart>
  <c:spPr>
    <a:solidFill>
      <a:srgbClr val="FFFFFF"/>
    </a:solidFill>
    <a:ln w="9360">
      <a:solidFill>
        <a:srgbClr val="D9D9D9"/>
      </a:solidFill>
      <a:round/>
    </a:ln>
  </c:sp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scatterChart>
        <c:scatterStyle val="lineMarker"/>
        <c:varyColors val="0"/>
        <c:ser>
          <c:idx val="0"/>
          <c:order val="0"/>
          <c:tx>
            <c:strRef>
              <c:f>label 1</c:f>
              <c:strCache>
                <c:ptCount val="1"/>
                <c:pt idx="0">
                  <c:v>Безымянные ряды 2</c:v>
                </c:pt>
              </c:strCache>
            </c:strRef>
          </c:tx>
          <c:spPr>
            <a:ln w="19080">
              <a:solidFill>
                <a:srgbClr val="5B9BD5"/>
              </a:solidFill>
              <a:round/>
            </a:ln>
          </c:spPr>
          <c:marker>
            <c:symbol val="circle"/>
            <c:size val="5"/>
            <c:spPr>
              <a:solidFill>
                <a:srgbClr val="5B9BD5"/>
              </a:solidFill>
            </c:spPr>
          </c:marker>
          <c:dPt>
            <c:idx val="0"/>
            <c:bubble3D val="0"/>
            <c:extLst>
              <c:ext xmlns:c16="http://schemas.microsoft.com/office/drawing/2014/chart" uri="{C3380CC4-5D6E-409C-BE32-E72D297353CC}">
                <c16:uniqueId val="{00000000-9E90-47CE-B703-411CEA302B72}"/>
              </c:ext>
            </c:extLst>
          </c:dPt>
          <c:dPt>
            <c:idx val="1"/>
            <c:bubble3D val="0"/>
            <c:extLst>
              <c:ext xmlns:c16="http://schemas.microsoft.com/office/drawing/2014/chart" uri="{C3380CC4-5D6E-409C-BE32-E72D297353CC}">
                <c16:uniqueId val="{00000001-9E90-47CE-B703-411CEA302B72}"/>
              </c:ext>
            </c:extLst>
          </c:dPt>
          <c:dPt>
            <c:idx val="2"/>
            <c:bubble3D val="0"/>
            <c:extLst>
              <c:ext xmlns:c16="http://schemas.microsoft.com/office/drawing/2014/chart" uri="{C3380CC4-5D6E-409C-BE32-E72D297353CC}">
                <c16:uniqueId val="{00000002-9E90-47CE-B703-411CEA302B72}"/>
              </c:ext>
            </c:extLst>
          </c:dPt>
          <c:dPt>
            <c:idx val="3"/>
            <c:bubble3D val="0"/>
            <c:extLst>
              <c:ext xmlns:c16="http://schemas.microsoft.com/office/drawing/2014/chart" uri="{C3380CC4-5D6E-409C-BE32-E72D297353CC}">
                <c16:uniqueId val="{00000003-9E90-47CE-B703-411CEA302B72}"/>
              </c:ext>
            </c:extLst>
          </c:dPt>
          <c:dPt>
            <c:idx val="4"/>
            <c:bubble3D val="0"/>
            <c:extLst>
              <c:ext xmlns:c16="http://schemas.microsoft.com/office/drawing/2014/chart" uri="{C3380CC4-5D6E-409C-BE32-E72D297353CC}">
                <c16:uniqueId val="{00000004-9E90-47CE-B703-411CEA302B72}"/>
              </c:ext>
            </c:extLst>
          </c:dPt>
          <c:dPt>
            <c:idx val="5"/>
            <c:bubble3D val="0"/>
            <c:extLst>
              <c:ext xmlns:c16="http://schemas.microsoft.com/office/drawing/2014/chart" uri="{C3380CC4-5D6E-409C-BE32-E72D297353CC}">
                <c16:uniqueId val="{00000005-9E90-47CE-B703-411CEA302B72}"/>
              </c:ext>
            </c:extLst>
          </c:dPt>
          <c:dLbls>
            <c:dLbl>
              <c:idx val="0"/>
              <c:spPr/>
              <c:txPr>
                <a:bodyPr/>
                <a:lstStyle/>
                <a:p>
                  <a:pPr>
                    <a:defRPr sz="1400" b="0" strike="noStrike" spc="-1">
                      <a:solidFill>
                        <a:srgbClr val="40404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9E90-47CE-B703-411CEA302B72}"/>
                </c:ext>
              </c:extLst>
            </c:dLbl>
            <c:dLbl>
              <c:idx val="1"/>
              <c:spPr/>
              <c:txPr>
                <a:bodyPr/>
                <a:lstStyle/>
                <a:p>
                  <a:pPr>
                    <a:defRPr sz="1400" b="0" strike="noStrike" spc="-1">
                      <a:solidFill>
                        <a:srgbClr val="40404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9E90-47CE-B703-411CEA302B72}"/>
                </c:ext>
              </c:extLst>
            </c:dLbl>
            <c:dLbl>
              <c:idx val="2"/>
              <c:spPr/>
              <c:txPr>
                <a:bodyPr/>
                <a:lstStyle/>
                <a:p>
                  <a:pPr>
                    <a:defRPr sz="1400" b="0" strike="noStrike" spc="-1">
                      <a:solidFill>
                        <a:srgbClr val="40404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9E90-47CE-B703-411CEA302B72}"/>
                </c:ext>
              </c:extLst>
            </c:dLbl>
            <c:dLbl>
              <c:idx val="3"/>
              <c:spPr/>
              <c:txPr>
                <a:bodyPr/>
                <a:lstStyle/>
                <a:p>
                  <a:pPr>
                    <a:defRPr sz="1400" b="0" strike="noStrike" spc="-1">
                      <a:solidFill>
                        <a:srgbClr val="40404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9E90-47CE-B703-411CEA302B72}"/>
                </c:ext>
              </c:extLst>
            </c:dLbl>
            <c:dLbl>
              <c:idx val="4"/>
              <c:spPr/>
              <c:txPr>
                <a:bodyPr/>
                <a:lstStyle/>
                <a:p>
                  <a:pPr>
                    <a:defRPr sz="1400" b="0" strike="noStrike" spc="-1">
                      <a:solidFill>
                        <a:srgbClr val="40404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4-9E90-47CE-B703-411CEA302B72}"/>
                </c:ext>
              </c:extLst>
            </c:dLbl>
            <c:dLbl>
              <c:idx val="5"/>
              <c:spPr/>
              <c:txPr>
                <a:bodyPr/>
                <a:lstStyle/>
                <a:p>
                  <a:pPr>
                    <a:defRPr sz="1400" b="0" strike="noStrike" spc="-1">
                      <a:solidFill>
                        <a:srgbClr val="40404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5-9E90-47CE-B703-411CEA302B72}"/>
                </c:ext>
              </c:extLst>
            </c:dLbl>
            <c:spPr>
              <a:noFill/>
              <a:ln>
                <a:noFill/>
              </a:ln>
              <a:effectLst/>
            </c:spPr>
            <c:txPr>
              <a:bodyPr/>
              <a:lstStyle/>
              <a:p>
                <a:pPr>
                  <a:defRPr sz="900" b="0" strike="noStrike" spc="-1">
                    <a:solidFill>
                      <a:srgbClr val="404040"/>
                    </a:solidFill>
                    <a:latin typeface="Calibri"/>
                  </a:defRPr>
                </a:pPr>
                <a:endParaRPr lang="uk-UA"/>
              </a:p>
            </c:txPr>
            <c:dLblPos val="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xVal>
            <c:numRef>
              <c:f>1</c:f>
              <c:numCache>
                <c:formatCode>General</c:formatCode>
                <c:ptCount val="6"/>
                <c:pt idx="0">
                  <c:v>2014</c:v>
                </c:pt>
                <c:pt idx="1">
                  <c:v>2015</c:v>
                </c:pt>
                <c:pt idx="2">
                  <c:v>2016</c:v>
                </c:pt>
                <c:pt idx="3">
                  <c:v>2017</c:v>
                </c:pt>
                <c:pt idx="4">
                  <c:v>2018</c:v>
                </c:pt>
                <c:pt idx="5">
                  <c:v>2019</c:v>
                </c:pt>
              </c:numCache>
            </c:numRef>
          </c:xVal>
          <c:yVal>
            <c:numRef>
              <c:f>0</c:f>
              <c:numCache>
                <c:formatCode>General</c:formatCode>
                <c:ptCount val="6"/>
                <c:pt idx="0">
                  <c:v>1</c:v>
                </c:pt>
                <c:pt idx="1">
                  <c:v>10</c:v>
                </c:pt>
                <c:pt idx="2">
                  <c:v>54</c:v>
                </c:pt>
                <c:pt idx="3">
                  <c:v>474</c:v>
                </c:pt>
                <c:pt idx="4">
                  <c:v>2352</c:v>
                </c:pt>
                <c:pt idx="5">
                  <c:v>4215</c:v>
                </c:pt>
              </c:numCache>
            </c:numRef>
          </c:yVal>
          <c:smooth val="0"/>
          <c:extLst>
            <c:ext xmlns:c16="http://schemas.microsoft.com/office/drawing/2014/chart" uri="{C3380CC4-5D6E-409C-BE32-E72D297353CC}">
              <c16:uniqueId val="{00000006-9E90-47CE-B703-411CEA302B72}"/>
            </c:ext>
          </c:extLst>
        </c:ser>
        <c:dLbls>
          <c:showLegendKey val="0"/>
          <c:showVal val="0"/>
          <c:showCatName val="0"/>
          <c:showSerName val="0"/>
          <c:showPercent val="0"/>
          <c:showBubbleSize val="0"/>
        </c:dLbls>
        <c:axId val="78622534"/>
        <c:axId val="44062573"/>
      </c:scatterChart>
      <c:valAx>
        <c:axId val="78622534"/>
        <c:scaling>
          <c:orientation val="minMax"/>
          <c:max val="2019"/>
          <c:min val="2014"/>
        </c:scaling>
        <c:delete val="0"/>
        <c:axPos val="b"/>
        <c:title>
          <c:tx>
            <c:rich>
              <a:bodyPr rot="0"/>
              <a:lstStyle/>
              <a:p>
                <a:pPr>
                  <a:defRPr sz="1400" b="0" strike="noStrike" spc="-1">
                    <a:solidFill>
                      <a:srgbClr val="595959"/>
                    </a:solidFill>
                    <a:latin typeface="Times New Roman"/>
                  </a:defRPr>
                </a:pPr>
                <a:r>
                  <a:rPr lang="uk-UA" sz="1400" b="0" strike="noStrike" spc="-1">
                    <a:solidFill>
                      <a:srgbClr val="595959"/>
                    </a:solidFill>
                    <a:latin typeface="Times New Roman"/>
                  </a:rPr>
                  <a:t>РІК</a:t>
                </a:r>
              </a:p>
            </c:rich>
          </c:tx>
          <c:overlay val="0"/>
          <c:spPr>
            <a:noFill/>
            <a:ln>
              <a:noFill/>
            </a:ln>
          </c:spPr>
        </c:title>
        <c:numFmt formatCode="General" sourceLinked="0"/>
        <c:majorTickMark val="none"/>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uk-UA"/>
          </a:p>
        </c:txPr>
        <c:crossAx val="44062573"/>
        <c:crosses val="autoZero"/>
        <c:crossBetween val="midCat"/>
      </c:valAx>
      <c:valAx>
        <c:axId val="44062573"/>
        <c:scaling>
          <c:orientation val="minMax"/>
        </c:scaling>
        <c:delete val="0"/>
        <c:axPos val="l"/>
        <c:title>
          <c:tx>
            <c:rich>
              <a:bodyPr rot="-5400000"/>
              <a:lstStyle/>
              <a:p>
                <a:pPr>
                  <a:defRPr sz="1400" b="0" strike="noStrike" spc="-1">
                    <a:solidFill>
                      <a:srgbClr val="595959"/>
                    </a:solidFill>
                    <a:latin typeface="Times New Roman"/>
                  </a:defRPr>
                </a:pPr>
                <a:r>
                  <a:rPr lang="uk-UA" sz="1400" b="0" strike="noStrike" spc="-1">
                    <a:solidFill>
                      <a:srgbClr val="595959"/>
                    </a:solidFill>
                    <a:latin typeface="Times New Roman"/>
                  </a:rPr>
                  <a:t>КІЛЬКІСТЬ</a:t>
                </a:r>
              </a:p>
            </c:rich>
          </c:tx>
          <c:overlay val="0"/>
          <c:spPr>
            <a:noFill/>
            <a:ln>
              <a:noFill/>
            </a:ln>
          </c:spPr>
        </c:title>
        <c:numFmt formatCode="General" sourceLinked="0"/>
        <c:majorTickMark val="none"/>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uk-UA"/>
          </a:p>
        </c:txPr>
        <c:crossAx val="78622534"/>
        <c:crosses val="autoZero"/>
        <c:crossBetween val="midCat"/>
      </c:valAx>
      <c:spPr>
        <a:noFill/>
        <a:ln w="25560">
          <a:noFill/>
        </a:ln>
      </c:spPr>
    </c:plotArea>
    <c:plotVisOnly val="1"/>
    <c:dispBlanksAs val="gap"/>
    <c:showDLblsOverMax val="1"/>
  </c:chart>
  <c:spPr>
    <a:solidFill>
      <a:srgbClr val="FFFFFF"/>
    </a:solidFill>
    <a:ln w="9360">
      <a:solidFill>
        <a:srgbClr val="D9D9D9"/>
      </a:solidFill>
      <a:round/>
    </a:ln>
  </c:spPr>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scatterChart>
        <c:scatterStyle val="lineMarker"/>
        <c:varyColors val="0"/>
        <c:ser>
          <c:idx val="0"/>
          <c:order val="0"/>
          <c:tx>
            <c:strRef>
              <c:f>label 1</c:f>
              <c:strCache>
                <c:ptCount val="1"/>
                <c:pt idx="0">
                  <c:v>Безымянные ряды 2</c:v>
                </c:pt>
              </c:strCache>
            </c:strRef>
          </c:tx>
          <c:spPr>
            <a:ln w="19080">
              <a:solidFill>
                <a:srgbClr val="5B9BD5"/>
              </a:solidFill>
              <a:round/>
            </a:ln>
          </c:spPr>
          <c:marker>
            <c:symbol val="circle"/>
            <c:size val="5"/>
            <c:spPr>
              <a:solidFill>
                <a:srgbClr val="5B9BD5"/>
              </a:solidFill>
            </c:spPr>
          </c:marker>
          <c:dPt>
            <c:idx val="0"/>
            <c:bubble3D val="0"/>
            <c:extLst>
              <c:ext xmlns:c16="http://schemas.microsoft.com/office/drawing/2014/chart" uri="{C3380CC4-5D6E-409C-BE32-E72D297353CC}">
                <c16:uniqueId val="{00000000-6277-42A5-848D-44A65C68D845}"/>
              </c:ext>
            </c:extLst>
          </c:dPt>
          <c:dPt>
            <c:idx val="1"/>
            <c:bubble3D val="0"/>
            <c:extLst>
              <c:ext xmlns:c16="http://schemas.microsoft.com/office/drawing/2014/chart" uri="{C3380CC4-5D6E-409C-BE32-E72D297353CC}">
                <c16:uniqueId val="{00000001-6277-42A5-848D-44A65C68D845}"/>
              </c:ext>
            </c:extLst>
          </c:dPt>
          <c:dPt>
            <c:idx val="2"/>
            <c:bubble3D val="0"/>
            <c:extLst>
              <c:ext xmlns:c16="http://schemas.microsoft.com/office/drawing/2014/chart" uri="{C3380CC4-5D6E-409C-BE32-E72D297353CC}">
                <c16:uniqueId val="{00000002-6277-42A5-848D-44A65C68D845}"/>
              </c:ext>
            </c:extLst>
          </c:dPt>
          <c:dPt>
            <c:idx val="3"/>
            <c:bubble3D val="0"/>
            <c:extLst>
              <c:ext xmlns:c16="http://schemas.microsoft.com/office/drawing/2014/chart" uri="{C3380CC4-5D6E-409C-BE32-E72D297353CC}">
                <c16:uniqueId val="{00000003-6277-42A5-848D-44A65C68D845}"/>
              </c:ext>
            </c:extLst>
          </c:dPt>
          <c:dLbls>
            <c:dLbl>
              <c:idx val="0"/>
              <c:spPr/>
              <c:txPr>
                <a:bodyPr/>
                <a:lstStyle/>
                <a:p>
                  <a:pPr>
                    <a:defRPr sz="1400" b="0" strike="noStrike" spc="-1">
                      <a:solidFill>
                        <a:srgbClr val="40404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6277-42A5-848D-44A65C68D845}"/>
                </c:ext>
              </c:extLst>
            </c:dLbl>
            <c:dLbl>
              <c:idx val="1"/>
              <c:spPr/>
              <c:txPr>
                <a:bodyPr/>
                <a:lstStyle/>
                <a:p>
                  <a:pPr>
                    <a:defRPr sz="1400" b="0" strike="noStrike" spc="-1">
                      <a:solidFill>
                        <a:srgbClr val="40404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6277-42A5-848D-44A65C68D845}"/>
                </c:ext>
              </c:extLst>
            </c:dLbl>
            <c:dLbl>
              <c:idx val="2"/>
              <c:spPr/>
              <c:txPr>
                <a:bodyPr/>
                <a:lstStyle/>
                <a:p>
                  <a:pPr>
                    <a:defRPr sz="1400" b="0" strike="noStrike" spc="-1">
                      <a:solidFill>
                        <a:srgbClr val="40404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6277-42A5-848D-44A65C68D845}"/>
                </c:ext>
              </c:extLst>
            </c:dLbl>
            <c:dLbl>
              <c:idx val="3"/>
              <c:spPr/>
              <c:txPr>
                <a:bodyPr/>
                <a:lstStyle/>
                <a:p>
                  <a:pPr>
                    <a:defRPr sz="1400" b="0" strike="noStrike" spc="-1">
                      <a:solidFill>
                        <a:srgbClr val="40404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6277-42A5-848D-44A65C68D845}"/>
                </c:ext>
              </c:extLst>
            </c:dLbl>
            <c:spPr>
              <a:noFill/>
              <a:ln>
                <a:noFill/>
              </a:ln>
              <a:effectLst/>
            </c:spPr>
            <c:txPr>
              <a:bodyPr/>
              <a:lstStyle/>
              <a:p>
                <a:pPr>
                  <a:defRPr sz="900" b="0" strike="noStrike" spc="-1">
                    <a:solidFill>
                      <a:srgbClr val="404040"/>
                    </a:solidFill>
                    <a:latin typeface="Calibri"/>
                  </a:defRPr>
                </a:pPr>
                <a:endParaRPr lang="uk-UA"/>
              </a:p>
            </c:txPr>
            <c:dLblPos val="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xVal>
            <c:numRef>
              <c:f>1</c:f>
              <c:numCache>
                <c:formatCode>General</c:formatCode>
                <c:ptCount val="4"/>
                <c:pt idx="0">
                  <c:v>2016</c:v>
                </c:pt>
                <c:pt idx="1">
                  <c:v>2017</c:v>
                </c:pt>
                <c:pt idx="2">
                  <c:v>2018</c:v>
                </c:pt>
                <c:pt idx="3">
                  <c:v>2019</c:v>
                </c:pt>
              </c:numCache>
            </c:numRef>
          </c:xVal>
          <c:yVal>
            <c:numRef>
              <c:f>0</c:f>
              <c:numCache>
                <c:formatCode>General</c:formatCode>
                <c:ptCount val="4"/>
                <c:pt idx="0">
                  <c:v>2</c:v>
                </c:pt>
                <c:pt idx="1">
                  <c:v>9</c:v>
                </c:pt>
                <c:pt idx="2">
                  <c:v>55</c:v>
                </c:pt>
                <c:pt idx="3">
                  <c:v>297</c:v>
                </c:pt>
              </c:numCache>
            </c:numRef>
          </c:yVal>
          <c:smooth val="0"/>
          <c:extLst>
            <c:ext xmlns:c16="http://schemas.microsoft.com/office/drawing/2014/chart" uri="{C3380CC4-5D6E-409C-BE32-E72D297353CC}">
              <c16:uniqueId val="{00000004-6277-42A5-848D-44A65C68D845}"/>
            </c:ext>
          </c:extLst>
        </c:ser>
        <c:dLbls>
          <c:showLegendKey val="0"/>
          <c:showVal val="0"/>
          <c:showCatName val="0"/>
          <c:showSerName val="0"/>
          <c:showPercent val="0"/>
          <c:showBubbleSize val="0"/>
        </c:dLbls>
        <c:axId val="62162135"/>
        <c:axId val="27761884"/>
      </c:scatterChart>
      <c:valAx>
        <c:axId val="62162135"/>
        <c:scaling>
          <c:orientation val="minMax"/>
          <c:max val="2019"/>
          <c:min val="2016"/>
        </c:scaling>
        <c:delete val="0"/>
        <c:axPos val="b"/>
        <c:title>
          <c:tx>
            <c:rich>
              <a:bodyPr rot="0"/>
              <a:lstStyle/>
              <a:p>
                <a:pPr>
                  <a:defRPr sz="1400" b="0" strike="noStrike" spc="-1">
                    <a:solidFill>
                      <a:srgbClr val="595959"/>
                    </a:solidFill>
                    <a:latin typeface="Times New Roman"/>
                  </a:defRPr>
                </a:pPr>
                <a:r>
                  <a:rPr lang="uk-UA" sz="1400" b="0" strike="noStrike" spc="-1">
                    <a:solidFill>
                      <a:srgbClr val="595959"/>
                    </a:solidFill>
                    <a:latin typeface="Times New Roman"/>
                  </a:rPr>
                  <a:t>РІК</a:t>
                </a:r>
              </a:p>
            </c:rich>
          </c:tx>
          <c:overlay val="0"/>
          <c:spPr>
            <a:noFill/>
            <a:ln>
              <a:noFill/>
            </a:ln>
          </c:spPr>
        </c:title>
        <c:numFmt formatCode="General" sourceLinked="0"/>
        <c:majorTickMark val="none"/>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uk-UA"/>
          </a:p>
        </c:txPr>
        <c:crossAx val="27761884"/>
        <c:crosses val="autoZero"/>
        <c:crossBetween val="midCat"/>
        <c:majorUnit val="1"/>
      </c:valAx>
      <c:valAx>
        <c:axId val="27761884"/>
        <c:scaling>
          <c:orientation val="minMax"/>
        </c:scaling>
        <c:delete val="0"/>
        <c:axPos val="l"/>
        <c:title>
          <c:tx>
            <c:rich>
              <a:bodyPr rot="-5400000"/>
              <a:lstStyle/>
              <a:p>
                <a:pPr>
                  <a:defRPr sz="1400" b="0" strike="noStrike" spc="-1">
                    <a:solidFill>
                      <a:srgbClr val="595959"/>
                    </a:solidFill>
                    <a:latin typeface="Times New Roman"/>
                  </a:defRPr>
                </a:pPr>
                <a:r>
                  <a:rPr lang="uk-UA" sz="1400" b="0" strike="noStrike" spc="-1">
                    <a:solidFill>
                      <a:srgbClr val="595959"/>
                    </a:solidFill>
                    <a:latin typeface="Times New Roman"/>
                  </a:rPr>
                  <a:t>КІЛЬКІСТЬ</a:t>
                </a:r>
              </a:p>
            </c:rich>
          </c:tx>
          <c:overlay val="0"/>
          <c:spPr>
            <a:noFill/>
            <a:ln>
              <a:noFill/>
            </a:ln>
          </c:spPr>
        </c:title>
        <c:numFmt formatCode="General" sourceLinked="0"/>
        <c:majorTickMark val="none"/>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uk-UA"/>
          </a:p>
        </c:txPr>
        <c:crossAx val="62162135"/>
        <c:crosses val="autoZero"/>
        <c:crossBetween val="midCat"/>
      </c:valAx>
      <c:spPr>
        <a:noFill/>
        <a:ln>
          <a:noFill/>
        </a:ln>
      </c:spPr>
    </c:plotArea>
    <c:plotVisOnly val="1"/>
    <c:dispBlanksAs val="gap"/>
    <c:showDLblsOverMax val="1"/>
  </c:chart>
  <c:spPr>
    <a:solidFill>
      <a:srgbClr val="FFFFFF"/>
    </a:solidFill>
    <a:ln w="9360">
      <a:solidFill>
        <a:srgbClr val="D9D9D9"/>
      </a:solidFill>
      <a:round/>
    </a:ln>
  </c:spPr>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barChart>
        <c:barDir val="col"/>
        <c:grouping val="clustered"/>
        <c:varyColors val="0"/>
        <c:ser>
          <c:idx val="0"/>
          <c:order val="0"/>
          <c:tx>
            <c:strRef>
              <c:f>label 0</c:f>
              <c:strCache>
                <c:ptCount val="1"/>
                <c:pt idx="0">
                  <c:v>Безымянные ряды 1</c:v>
                </c:pt>
              </c:strCache>
            </c:strRef>
          </c:tx>
          <c:spPr>
            <a:solidFill>
              <a:srgbClr val="5B9BD5"/>
            </a:solidFill>
            <a:ln>
              <a:noFill/>
            </a:ln>
          </c:spPr>
          <c:invertIfNegative val="0"/>
          <c:dLbls>
            <c:spPr>
              <a:noFill/>
              <a:ln>
                <a:noFill/>
              </a:ln>
              <a:effectLst/>
            </c:spPr>
            <c:txPr>
              <a:bodyPr/>
              <a:lstStyle/>
              <a:p>
                <a:pPr>
                  <a:defRPr sz="1400" b="0" strike="noStrike" spc="-1">
                    <a:solidFill>
                      <a:srgbClr val="404040"/>
                    </a:solidFill>
                    <a:latin typeface="Calibri"/>
                  </a:defRPr>
                </a:pPr>
                <a:endParaRPr lang="uk-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3"/>
                <c:pt idx="0">
                  <c:v>2017</c:v>
                </c:pt>
                <c:pt idx="1">
                  <c:v>2018</c:v>
                </c:pt>
                <c:pt idx="2">
                  <c:v>2019</c:v>
                </c:pt>
              </c:strCache>
            </c:strRef>
          </c:cat>
          <c:val>
            <c:numRef>
              <c:f>0</c:f>
              <c:numCache>
                <c:formatCode>General</c:formatCode>
                <c:ptCount val="3"/>
                <c:pt idx="0">
                  <c:v>8</c:v>
                </c:pt>
                <c:pt idx="1">
                  <c:v>38</c:v>
                </c:pt>
                <c:pt idx="2">
                  <c:v>199</c:v>
                </c:pt>
              </c:numCache>
            </c:numRef>
          </c:val>
          <c:extLst>
            <c:ext xmlns:c16="http://schemas.microsoft.com/office/drawing/2014/chart" uri="{C3380CC4-5D6E-409C-BE32-E72D297353CC}">
              <c16:uniqueId val="{00000000-4FB0-4C2F-AAB6-41205409BAE4}"/>
            </c:ext>
          </c:extLst>
        </c:ser>
        <c:dLbls>
          <c:showLegendKey val="0"/>
          <c:showVal val="0"/>
          <c:showCatName val="0"/>
          <c:showSerName val="0"/>
          <c:showPercent val="0"/>
          <c:showBubbleSize val="0"/>
        </c:dLbls>
        <c:gapWidth val="219"/>
        <c:overlap val="-27"/>
        <c:axId val="24881001"/>
        <c:axId val="16864359"/>
      </c:barChart>
      <c:catAx>
        <c:axId val="24881001"/>
        <c:scaling>
          <c:orientation val="minMax"/>
        </c:scaling>
        <c:delete val="0"/>
        <c:axPos val="b"/>
        <c:title>
          <c:tx>
            <c:rich>
              <a:bodyPr rot="0"/>
              <a:lstStyle/>
              <a:p>
                <a:pPr>
                  <a:defRPr sz="1400" b="0" strike="noStrike" spc="-1">
                    <a:solidFill>
                      <a:srgbClr val="595959"/>
                    </a:solidFill>
                    <a:latin typeface="Times New Roman"/>
                  </a:defRPr>
                </a:pPr>
                <a:r>
                  <a:rPr lang="uk-UA" sz="1400" b="0" strike="noStrike" spc="-1">
                    <a:solidFill>
                      <a:srgbClr val="595959"/>
                    </a:solidFill>
                    <a:latin typeface="Times New Roman"/>
                  </a:rPr>
                  <a:t>РІК</a:t>
                </a:r>
              </a:p>
            </c:rich>
          </c:tx>
          <c:overlay val="0"/>
          <c:spPr>
            <a:noFill/>
            <a:ln>
              <a:noFill/>
            </a:ln>
          </c:spPr>
        </c:title>
        <c:numFmt formatCode="General" sourceLinked="1"/>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16864359"/>
        <c:crosses val="autoZero"/>
        <c:auto val="1"/>
        <c:lblAlgn val="ctr"/>
        <c:lblOffset val="100"/>
        <c:noMultiLvlLbl val="1"/>
      </c:catAx>
      <c:valAx>
        <c:axId val="16864359"/>
        <c:scaling>
          <c:orientation val="minMax"/>
        </c:scaling>
        <c:delete val="0"/>
        <c:axPos val="l"/>
        <c:title>
          <c:tx>
            <c:rich>
              <a:bodyPr rot="-5400000"/>
              <a:lstStyle/>
              <a:p>
                <a:pPr>
                  <a:defRPr sz="1400" b="0" strike="noStrike" spc="-1">
                    <a:solidFill>
                      <a:srgbClr val="595959"/>
                    </a:solidFill>
                    <a:latin typeface="Times New Roman"/>
                  </a:defRPr>
                </a:pPr>
                <a:r>
                  <a:rPr lang="uk-UA" sz="1400" b="0" strike="noStrike" spc="-1">
                    <a:solidFill>
                      <a:srgbClr val="595959"/>
                    </a:solidFill>
                    <a:latin typeface="Times New Roman"/>
                  </a:rPr>
                  <a:t>КІЛЬКІСТЬ</a:t>
                </a:r>
              </a:p>
            </c:rich>
          </c:tx>
          <c:overlay val="0"/>
          <c:spPr>
            <a:noFill/>
            <a:ln>
              <a:noFill/>
            </a:ln>
          </c:spPr>
        </c:title>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uk-UA"/>
          </a:p>
        </c:txPr>
        <c:crossAx val="24881001"/>
        <c:crosses val="autoZero"/>
        <c:crossBetween val="between"/>
      </c:valAx>
      <c:spPr>
        <a:noFill/>
        <a:ln>
          <a:noFill/>
        </a:ln>
      </c:spPr>
    </c:plotArea>
    <c:plotVisOnly val="1"/>
    <c:dispBlanksAs val="gap"/>
    <c:showDLblsOverMax val="1"/>
  </c:chart>
  <c:spPr>
    <a:solidFill>
      <a:srgbClr val="FFFFFF"/>
    </a:solidFill>
    <a:ln w="9360">
      <a:solidFill>
        <a:srgbClr val="D9D9D9"/>
      </a:solidFill>
      <a:round/>
    </a:ln>
  </c:spPr>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barChart>
        <c:barDir val="col"/>
        <c:grouping val="clustered"/>
        <c:varyColors val="0"/>
        <c:ser>
          <c:idx val="0"/>
          <c:order val="0"/>
          <c:tx>
            <c:strRef>
              <c:f>label 0</c:f>
              <c:strCache>
                <c:ptCount val="1"/>
                <c:pt idx="0">
                  <c:v>Безымянные ряды 1</c:v>
                </c:pt>
              </c:strCache>
            </c:strRef>
          </c:tx>
          <c:spPr>
            <a:solidFill>
              <a:srgbClr val="5B9BD5"/>
            </a:solidFill>
            <a:ln>
              <a:noFill/>
            </a:ln>
          </c:spPr>
          <c:invertIfNegative val="0"/>
          <c:dLbls>
            <c:spPr>
              <a:noFill/>
              <a:ln>
                <a:noFill/>
              </a:ln>
              <a:effectLst/>
            </c:spPr>
            <c:txPr>
              <a:bodyPr/>
              <a:lstStyle/>
              <a:p>
                <a:pPr>
                  <a:defRPr sz="1400" b="1" strike="noStrike" spc="-1">
                    <a:solidFill>
                      <a:srgbClr val="404040"/>
                    </a:solidFill>
                    <a:latin typeface="Calibri"/>
                  </a:defRPr>
                </a:pPr>
                <a:endParaRPr lang="uk-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3"/>
                <c:pt idx="0">
                  <c:v>2017</c:v>
                </c:pt>
                <c:pt idx="1">
                  <c:v>2018</c:v>
                </c:pt>
                <c:pt idx="2">
                  <c:v>2019</c:v>
                </c:pt>
              </c:strCache>
            </c:strRef>
          </c:cat>
          <c:val>
            <c:numRef>
              <c:f>0</c:f>
              <c:numCache>
                <c:formatCode>General</c:formatCode>
                <c:ptCount val="3"/>
                <c:pt idx="0">
                  <c:v>5</c:v>
                </c:pt>
                <c:pt idx="1">
                  <c:v>36</c:v>
                </c:pt>
                <c:pt idx="2">
                  <c:v>403</c:v>
                </c:pt>
              </c:numCache>
            </c:numRef>
          </c:val>
          <c:extLst>
            <c:ext xmlns:c16="http://schemas.microsoft.com/office/drawing/2014/chart" uri="{C3380CC4-5D6E-409C-BE32-E72D297353CC}">
              <c16:uniqueId val="{00000000-6FDF-4F87-A4A5-ACDAF1565903}"/>
            </c:ext>
          </c:extLst>
        </c:ser>
        <c:dLbls>
          <c:showLegendKey val="0"/>
          <c:showVal val="0"/>
          <c:showCatName val="0"/>
          <c:showSerName val="0"/>
          <c:showPercent val="0"/>
          <c:showBubbleSize val="0"/>
        </c:dLbls>
        <c:gapWidth val="219"/>
        <c:overlap val="-27"/>
        <c:axId val="41776200"/>
        <c:axId val="67023502"/>
      </c:barChart>
      <c:catAx>
        <c:axId val="41776200"/>
        <c:scaling>
          <c:orientation val="minMax"/>
        </c:scaling>
        <c:delete val="0"/>
        <c:axPos val="b"/>
        <c:title>
          <c:tx>
            <c:rich>
              <a:bodyPr rot="0"/>
              <a:lstStyle/>
              <a:p>
                <a:pPr>
                  <a:defRPr sz="1400" b="0" strike="noStrike" spc="-1">
                    <a:solidFill>
                      <a:srgbClr val="595959"/>
                    </a:solidFill>
                    <a:latin typeface="Times New Roman"/>
                  </a:defRPr>
                </a:pPr>
                <a:r>
                  <a:rPr lang="uk-UA" sz="1400" b="0" strike="noStrike" spc="-1">
                    <a:solidFill>
                      <a:srgbClr val="595959"/>
                    </a:solidFill>
                    <a:latin typeface="Times New Roman"/>
                  </a:rPr>
                  <a:t>Рік</a:t>
                </a:r>
              </a:p>
            </c:rich>
          </c:tx>
          <c:overlay val="0"/>
          <c:spPr>
            <a:noFill/>
            <a:ln>
              <a:noFill/>
            </a:ln>
          </c:spPr>
        </c:title>
        <c:numFmt formatCode="General" sourceLinked="1"/>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67023502"/>
        <c:crosses val="autoZero"/>
        <c:auto val="1"/>
        <c:lblAlgn val="ctr"/>
        <c:lblOffset val="100"/>
        <c:noMultiLvlLbl val="1"/>
      </c:catAx>
      <c:valAx>
        <c:axId val="67023502"/>
        <c:scaling>
          <c:orientation val="minMax"/>
        </c:scaling>
        <c:delete val="0"/>
        <c:axPos val="l"/>
        <c:title>
          <c:tx>
            <c:rich>
              <a:bodyPr rot="-5400000"/>
              <a:lstStyle/>
              <a:p>
                <a:pPr>
                  <a:defRPr sz="1400" b="0" strike="noStrike" spc="-1">
                    <a:solidFill>
                      <a:srgbClr val="595959"/>
                    </a:solidFill>
                    <a:latin typeface="Times New Roman"/>
                  </a:defRPr>
                </a:pPr>
                <a:r>
                  <a:rPr lang="uk-UA" sz="1400" b="0" strike="noStrike" spc="-1">
                    <a:solidFill>
                      <a:srgbClr val="595959"/>
                    </a:solidFill>
                    <a:latin typeface="Times New Roman"/>
                  </a:rPr>
                  <a:t>Кількість документів</a:t>
                </a:r>
              </a:p>
            </c:rich>
          </c:tx>
          <c:overlay val="0"/>
          <c:spPr>
            <a:noFill/>
            <a:ln>
              <a:noFill/>
            </a:ln>
          </c:spPr>
        </c:title>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uk-UA"/>
          </a:p>
        </c:txPr>
        <c:crossAx val="41776200"/>
        <c:crosses val="autoZero"/>
        <c:crossBetween val="between"/>
      </c:valAx>
      <c:spPr>
        <a:noFill/>
        <a:ln>
          <a:noFill/>
        </a:ln>
      </c:spPr>
    </c:plotArea>
    <c:plotVisOnly val="1"/>
    <c:dispBlanksAs val="gap"/>
    <c:showDLblsOverMax val="1"/>
  </c:chart>
  <c:spPr>
    <a:solidFill>
      <a:srgbClr val="FFFFFF"/>
    </a:solidFill>
    <a:ln w="9360">
      <a:solidFill>
        <a:srgbClr val="D9D9D9"/>
      </a:solidFill>
      <a:round/>
    </a:ln>
  </c:spPr>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barChart>
        <c:barDir val="col"/>
        <c:grouping val="clustered"/>
        <c:varyColors val="0"/>
        <c:ser>
          <c:idx val="0"/>
          <c:order val="0"/>
          <c:tx>
            <c:strRef>
              <c:f>label 0</c:f>
              <c:strCache>
                <c:ptCount val="1"/>
                <c:pt idx="0">
                  <c:v>Безымянные ряды 1</c:v>
                </c:pt>
              </c:strCache>
            </c:strRef>
          </c:tx>
          <c:spPr>
            <a:solidFill>
              <a:srgbClr val="5B9BD5"/>
            </a:solidFill>
            <a:ln>
              <a:noFill/>
            </a:ln>
          </c:spPr>
          <c:invertIfNegative val="0"/>
          <c:dLbls>
            <c:spPr>
              <a:noFill/>
              <a:ln>
                <a:noFill/>
              </a:ln>
              <a:effectLst/>
            </c:spPr>
            <c:txPr>
              <a:bodyPr/>
              <a:lstStyle/>
              <a:p>
                <a:pPr>
                  <a:defRPr sz="1400" b="1" strike="noStrike" spc="-1">
                    <a:solidFill>
                      <a:srgbClr val="404040"/>
                    </a:solidFill>
                    <a:latin typeface="Calibri"/>
                  </a:defRPr>
                </a:pPr>
                <a:endParaRPr lang="uk-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3"/>
                <c:pt idx="0">
                  <c:v>2017</c:v>
                </c:pt>
                <c:pt idx="1">
                  <c:v>2018</c:v>
                </c:pt>
                <c:pt idx="2">
                  <c:v>2019</c:v>
                </c:pt>
              </c:strCache>
            </c:strRef>
          </c:cat>
          <c:val>
            <c:numRef>
              <c:f>0</c:f>
              <c:numCache>
                <c:formatCode>General</c:formatCode>
                <c:ptCount val="3"/>
                <c:pt idx="0">
                  <c:v>47</c:v>
                </c:pt>
                <c:pt idx="1">
                  <c:v>148</c:v>
                </c:pt>
                <c:pt idx="2">
                  <c:v>202</c:v>
                </c:pt>
              </c:numCache>
            </c:numRef>
          </c:val>
          <c:extLst>
            <c:ext xmlns:c16="http://schemas.microsoft.com/office/drawing/2014/chart" uri="{C3380CC4-5D6E-409C-BE32-E72D297353CC}">
              <c16:uniqueId val="{00000000-A5B2-480F-8A2E-7E55C1A78670}"/>
            </c:ext>
          </c:extLst>
        </c:ser>
        <c:dLbls>
          <c:showLegendKey val="0"/>
          <c:showVal val="0"/>
          <c:showCatName val="0"/>
          <c:showSerName val="0"/>
          <c:showPercent val="0"/>
          <c:showBubbleSize val="0"/>
        </c:dLbls>
        <c:gapWidth val="219"/>
        <c:overlap val="-27"/>
        <c:axId val="67400854"/>
        <c:axId val="64736065"/>
      </c:barChart>
      <c:catAx>
        <c:axId val="67400854"/>
        <c:scaling>
          <c:orientation val="minMax"/>
        </c:scaling>
        <c:delete val="0"/>
        <c:axPos val="b"/>
        <c:title>
          <c:tx>
            <c:rich>
              <a:bodyPr rot="0"/>
              <a:lstStyle/>
              <a:p>
                <a:pPr>
                  <a:defRPr sz="1400" b="0" strike="noStrike" spc="-1">
                    <a:solidFill>
                      <a:srgbClr val="595959"/>
                    </a:solidFill>
                    <a:latin typeface="Calibri"/>
                  </a:defRPr>
                </a:pPr>
                <a:r>
                  <a:rPr lang="uk-UA" sz="1400" b="0" strike="noStrike" spc="-1">
                    <a:solidFill>
                      <a:srgbClr val="595959"/>
                    </a:solidFill>
                    <a:latin typeface="Calibri"/>
                  </a:rPr>
                  <a:t>Рік патентування</a:t>
                </a:r>
              </a:p>
            </c:rich>
          </c:tx>
          <c:overlay val="0"/>
          <c:spPr>
            <a:noFill/>
            <a:ln>
              <a:noFill/>
            </a:ln>
          </c:spPr>
        </c:title>
        <c:numFmt formatCode="General" sourceLinked="1"/>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64736065"/>
        <c:crosses val="autoZero"/>
        <c:auto val="1"/>
        <c:lblAlgn val="ctr"/>
        <c:lblOffset val="100"/>
        <c:noMultiLvlLbl val="1"/>
      </c:catAx>
      <c:valAx>
        <c:axId val="64736065"/>
        <c:scaling>
          <c:orientation val="minMax"/>
        </c:scaling>
        <c:delete val="0"/>
        <c:axPos val="l"/>
        <c:title>
          <c:tx>
            <c:rich>
              <a:bodyPr rot="-5400000"/>
              <a:lstStyle/>
              <a:p>
                <a:pPr>
                  <a:defRPr sz="1400" b="0" strike="noStrike" spc="-1">
                    <a:solidFill>
                      <a:srgbClr val="595959"/>
                    </a:solidFill>
                    <a:latin typeface="Calibri"/>
                  </a:defRPr>
                </a:pPr>
                <a:r>
                  <a:rPr lang="uk-UA" sz="1400" b="0" strike="noStrike" spc="-1">
                    <a:solidFill>
                      <a:srgbClr val="595959"/>
                    </a:solidFill>
                    <a:latin typeface="Calibri"/>
                  </a:rPr>
                  <a:t>Кількість документів</a:t>
                </a:r>
              </a:p>
            </c:rich>
          </c:tx>
          <c:overlay val="0"/>
          <c:spPr>
            <a:noFill/>
            <a:ln>
              <a:noFill/>
            </a:ln>
          </c:spPr>
        </c:title>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uk-UA"/>
          </a:p>
        </c:txPr>
        <c:crossAx val="67400854"/>
        <c:crosses val="autoZero"/>
        <c:crossBetween val="between"/>
      </c:valAx>
      <c:spPr>
        <a:noFill/>
        <a:ln w="25560">
          <a:noFill/>
        </a:ln>
      </c:spPr>
    </c:plotArea>
    <c:plotVisOnly val="1"/>
    <c:dispBlanksAs val="gap"/>
    <c:showDLblsOverMax val="1"/>
  </c:chart>
  <c:spPr>
    <a:solidFill>
      <a:srgbClr val="FFFFFF"/>
    </a:solidFill>
    <a:ln w="9360">
      <a:solidFill>
        <a:srgbClr val="D9D9D9"/>
      </a:solidFill>
      <a:round/>
    </a:ln>
  </c:spPr>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barChart>
        <c:barDir val="col"/>
        <c:grouping val="clustered"/>
        <c:varyColors val="0"/>
        <c:ser>
          <c:idx val="0"/>
          <c:order val="0"/>
          <c:tx>
            <c:strRef>
              <c:f>label 0</c:f>
              <c:strCache>
                <c:ptCount val="1"/>
                <c:pt idx="0">
                  <c:v>Безымянные ряды 1</c:v>
                </c:pt>
              </c:strCache>
            </c:strRef>
          </c:tx>
          <c:spPr>
            <a:solidFill>
              <a:srgbClr val="5B9BD5">
                <a:alpha val="85000"/>
              </a:srgbClr>
            </a:solidFill>
            <a:ln w="9360">
              <a:solidFill>
                <a:srgbClr val="FFFFFF">
                  <a:alpha val="50000"/>
                </a:srgbClr>
              </a:solidFill>
              <a:round/>
            </a:ln>
          </c:spPr>
          <c:invertIfNegative val="0"/>
          <c:dLbls>
            <c:spPr>
              <a:noFill/>
              <a:ln>
                <a:noFill/>
              </a:ln>
              <a:effectLst/>
            </c:spPr>
            <c:txPr>
              <a:bodyPr/>
              <a:lstStyle/>
              <a:p>
                <a:pPr>
                  <a:defRPr sz="900" b="1" strike="noStrike" spc="-1">
                    <a:solidFill>
                      <a:srgbClr val="FFFFFF"/>
                    </a:solidFill>
                    <a:latin typeface="Calibri"/>
                  </a:defRPr>
                </a:pPr>
                <a:endParaRPr lang="uk-UA"/>
              </a:p>
            </c:txPr>
            <c:dLblPos val="in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3"/>
                <c:pt idx="0">
                  <c:v>2017</c:v>
                </c:pt>
                <c:pt idx="1">
                  <c:v>2018</c:v>
                </c:pt>
                <c:pt idx="2">
                  <c:v>2019</c:v>
                </c:pt>
              </c:strCache>
            </c:strRef>
          </c:cat>
          <c:val>
            <c:numRef>
              <c:f>0</c:f>
              <c:numCache>
                <c:formatCode>General</c:formatCode>
                <c:ptCount val="3"/>
                <c:pt idx="0">
                  <c:v>5</c:v>
                </c:pt>
                <c:pt idx="1">
                  <c:v>92</c:v>
                </c:pt>
                <c:pt idx="2">
                  <c:v>159</c:v>
                </c:pt>
              </c:numCache>
            </c:numRef>
          </c:val>
          <c:extLst>
            <c:ext xmlns:c16="http://schemas.microsoft.com/office/drawing/2014/chart" uri="{C3380CC4-5D6E-409C-BE32-E72D297353CC}">
              <c16:uniqueId val="{00000000-25FF-4D10-8004-066013EAD664}"/>
            </c:ext>
          </c:extLst>
        </c:ser>
        <c:dLbls>
          <c:showLegendKey val="0"/>
          <c:showVal val="0"/>
          <c:showCatName val="0"/>
          <c:showSerName val="0"/>
          <c:showPercent val="0"/>
          <c:showBubbleSize val="0"/>
        </c:dLbls>
        <c:gapWidth val="65"/>
        <c:axId val="38989868"/>
        <c:axId val="25631352"/>
      </c:barChart>
      <c:catAx>
        <c:axId val="38989868"/>
        <c:scaling>
          <c:orientation val="minMax"/>
        </c:scaling>
        <c:delete val="0"/>
        <c:axPos val="b"/>
        <c:title>
          <c:tx>
            <c:rich>
              <a:bodyPr rot="0"/>
              <a:lstStyle/>
              <a:p>
                <a:pPr>
                  <a:defRPr sz="1400" b="0" strike="noStrike" spc="-1">
                    <a:solidFill>
                      <a:srgbClr val="404040"/>
                    </a:solidFill>
                    <a:latin typeface="Times New Roman"/>
                  </a:defRPr>
                </a:pPr>
                <a:r>
                  <a:rPr lang="uk-UA" sz="1400" b="0" strike="noStrike" spc="-1">
                    <a:solidFill>
                      <a:srgbClr val="404040"/>
                    </a:solidFill>
                    <a:latin typeface="Times New Roman"/>
                  </a:rPr>
                  <a:t>Рік</a:t>
                </a:r>
              </a:p>
            </c:rich>
          </c:tx>
          <c:overlay val="0"/>
          <c:spPr>
            <a:noFill/>
            <a:ln>
              <a:noFill/>
            </a:ln>
          </c:spPr>
        </c:title>
        <c:numFmt formatCode="General" sourceLinked="1"/>
        <c:majorTickMark val="none"/>
        <c:minorTickMark val="none"/>
        <c:tickLblPos val="nextTo"/>
        <c:spPr>
          <a:ln w="19080">
            <a:solidFill>
              <a:srgbClr val="404040"/>
            </a:solidFill>
            <a:round/>
          </a:ln>
        </c:spPr>
        <c:txPr>
          <a:bodyPr/>
          <a:lstStyle/>
          <a:p>
            <a:pPr>
              <a:defRPr sz="900" b="0" strike="noStrike" spc="-1">
                <a:solidFill>
                  <a:srgbClr val="404040"/>
                </a:solidFill>
                <a:latin typeface="Calibri"/>
              </a:defRPr>
            </a:pPr>
            <a:endParaRPr lang="uk-UA"/>
          </a:p>
        </c:txPr>
        <c:crossAx val="25631352"/>
        <c:crosses val="autoZero"/>
        <c:auto val="1"/>
        <c:lblAlgn val="ctr"/>
        <c:lblOffset val="100"/>
        <c:noMultiLvlLbl val="1"/>
      </c:catAx>
      <c:valAx>
        <c:axId val="25631352"/>
        <c:scaling>
          <c:orientation val="minMax"/>
        </c:scaling>
        <c:delete val="1"/>
        <c:axPos val="l"/>
        <c:title>
          <c:tx>
            <c:rich>
              <a:bodyPr rot="-5400000"/>
              <a:lstStyle/>
              <a:p>
                <a:pPr>
                  <a:defRPr sz="1400" b="0" strike="noStrike" spc="-1">
                    <a:solidFill>
                      <a:srgbClr val="404040"/>
                    </a:solidFill>
                    <a:latin typeface="Times New Roman"/>
                  </a:defRPr>
                </a:pPr>
                <a:r>
                  <a:rPr lang="uk-UA" sz="1400" b="0" strike="noStrike" spc="-1">
                    <a:solidFill>
                      <a:srgbClr val="404040"/>
                    </a:solidFill>
                    <a:latin typeface="Times New Roman"/>
                  </a:rPr>
                  <a:t>Кількість патентних документів</a:t>
                </a:r>
              </a:p>
            </c:rich>
          </c:tx>
          <c:overlay val="0"/>
          <c:spPr>
            <a:noFill/>
            <a:ln>
              <a:noFill/>
            </a:ln>
          </c:spPr>
        </c:title>
        <c:numFmt formatCode="General" sourceLinked="0"/>
        <c:majorTickMark val="none"/>
        <c:minorTickMark val="none"/>
        <c:tickLblPos val="nextTo"/>
        <c:crossAx val="38989868"/>
        <c:crosses val="autoZero"/>
        <c:crossBetween val="between"/>
      </c:valAx>
      <c:spPr>
        <a:noFill/>
        <a:ln>
          <a:noFill/>
        </a:ln>
      </c:spPr>
    </c:plotArea>
    <c:plotVisOnly val="1"/>
    <c:dispBlanksAs val="gap"/>
    <c:showDLblsOverMax val="1"/>
  </c:chart>
  <c:spPr>
    <a:gradFill>
      <a:gsLst>
        <a:gs pos="0">
          <a:srgbClr val="FFFFFF"/>
        </a:gs>
        <a:gs pos="100000">
          <a:srgbClr val="BFBFBF"/>
        </a:gs>
      </a:gsLst>
      <a:path path="circle">
        <a:fillToRect l="50000" t="10000" r="50000" b="90000"/>
      </a:path>
    </a:gradFill>
    <a:ln w="9360">
      <a:solidFill>
        <a:srgbClr val="BFBFBF"/>
      </a:solidFill>
      <a:round/>
    </a:ln>
  </c:spPr>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scatterChart>
        <c:scatterStyle val="lineMarker"/>
        <c:varyColors val="0"/>
        <c:ser>
          <c:idx val="0"/>
          <c:order val="0"/>
          <c:tx>
            <c:strRef>
              <c:f>label 1</c:f>
              <c:strCache>
                <c:ptCount val="1"/>
                <c:pt idx="0">
                  <c:v>Безымянные ряды 2</c:v>
                </c:pt>
              </c:strCache>
            </c:strRef>
          </c:tx>
          <c:spPr>
            <a:ln w="19080">
              <a:solidFill>
                <a:srgbClr val="5B9BD5"/>
              </a:solidFill>
              <a:round/>
            </a:ln>
          </c:spPr>
          <c:marker>
            <c:symbol val="circle"/>
            <c:size val="5"/>
            <c:spPr>
              <a:solidFill>
                <a:srgbClr val="5B9BD5"/>
              </a:solidFill>
            </c:spPr>
          </c:marker>
          <c:dPt>
            <c:idx val="0"/>
            <c:bubble3D val="0"/>
            <c:extLst>
              <c:ext xmlns:c16="http://schemas.microsoft.com/office/drawing/2014/chart" uri="{C3380CC4-5D6E-409C-BE32-E72D297353CC}">
                <c16:uniqueId val="{00000000-BE4B-4F48-8151-B6E582B5DFC1}"/>
              </c:ext>
            </c:extLst>
          </c:dPt>
          <c:dPt>
            <c:idx val="1"/>
            <c:bubble3D val="0"/>
            <c:extLst>
              <c:ext xmlns:c16="http://schemas.microsoft.com/office/drawing/2014/chart" uri="{C3380CC4-5D6E-409C-BE32-E72D297353CC}">
                <c16:uniqueId val="{00000001-BE4B-4F48-8151-B6E582B5DFC1}"/>
              </c:ext>
            </c:extLst>
          </c:dPt>
          <c:dPt>
            <c:idx val="2"/>
            <c:bubble3D val="0"/>
            <c:extLst>
              <c:ext xmlns:c16="http://schemas.microsoft.com/office/drawing/2014/chart" uri="{C3380CC4-5D6E-409C-BE32-E72D297353CC}">
                <c16:uniqueId val="{00000002-BE4B-4F48-8151-B6E582B5DFC1}"/>
              </c:ext>
            </c:extLst>
          </c:dPt>
          <c:dPt>
            <c:idx val="3"/>
            <c:bubble3D val="0"/>
            <c:extLst>
              <c:ext xmlns:c16="http://schemas.microsoft.com/office/drawing/2014/chart" uri="{C3380CC4-5D6E-409C-BE32-E72D297353CC}">
                <c16:uniqueId val="{00000003-BE4B-4F48-8151-B6E582B5DFC1}"/>
              </c:ext>
            </c:extLst>
          </c:dPt>
          <c:dLbls>
            <c:dLbl>
              <c:idx val="0"/>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BE4B-4F48-8151-B6E582B5DFC1}"/>
                </c:ext>
              </c:extLst>
            </c:dLbl>
            <c:dLbl>
              <c:idx val="1"/>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BE4B-4F48-8151-B6E582B5DFC1}"/>
                </c:ext>
              </c:extLst>
            </c:dLbl>
            <c:dLbl>
              <c:idx val="2"/>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BE4B-4F48-8151-B6E582B5DFC1}"/>
                </c:ext>
              </c:extLst>
            </c:dLbl>
            <c:dLbl>
              <c:idx val="3"/>
              <c:spPr/>
              <c:txPr>
                <a:bodyPr/>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BE4B-4F48-8151-B6E582B5DFC1}"/>
                </c:ext>
              </c:extLst>
            </c:dLbl>
            <c:spPr>
              <a:noFill/>
              <a:ln>
                <a:noFill/>
              </a:ln>
              <a:effectLst/>
            </c:spPr>
            <c:txPr>
              <a:bodyPr/>
              <a:lstStyle/>
              <a:p>
                <a:pPr>
                  <a:defRPr sz="1400" b="0" strike="noStrike" spc="-1">
                    <a:solidFill>
                      <a:srgbClr val="404040"/>
                    </a:solidFill>
                    <a:latin typeface="Calibri"/>
                  </a:defRPr>
                </a:pPr>
                <a:endParaRPr lang="uk-UA"/>
              </a:p>
            </c:txPr>
            <c:dLblPos val="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xVal>
            <c:numRef>
              <c:f>1</c:f>
              <c:numCache>
                <c:formatCode>General</c:formatCode>
                <c:ptCount val="4"/>
                <c:pt idx="0">
                  <c:v>2016</c:v>
                </c:pt>
                <c:pt idx="1">
                  <c:v>2017</c:v>
                </c:pt>
                <c:pt idx="2">
                  <c:v>2018</c:v>
                </c:pt>
                <c:pt idx="3">
                  <c:v>2019</c:v>
                </c:pt>
              </c:numCache>
            </c:numRef>
          </c:xVal>
          <c:yVal>
            <c:numRef>
              <c:f>0</c:f>
              <c:numCache>
                <c:formatCode>General</c:formatCode>
                <c:ptCount val="4"/>
                <c:pt idx="0">
                  <c:v>12</c:v>
                </c:pt>
                <c:pt idx="1">
                  <c:v>27</c:v>
                </c:pt>
                <c:pt idx="2">
                  <c:v>74</c:v>
                </c:pt>
                <c:pt idx="3">
                  <c:v>66</c:v>
                </c:pt>
              </c:numCache>
            </c:numRef>
          </c:yVal>
          <c:smooth val="0"/>
          <c:extLst>
            <c:ext xmlns:c16="http://schemas.microsoft.com/office/drawing/2014/chart" uri="{C3380CC4-5D6E-409C-BE32-E72D297353CC}">
              <c16:uniqueId val="{00000004-BE4B-4F48-8151-B6E582B5DFC1}"/>
            </c:ext>
          </c:extLst>
        </c:ser>
        <c:dLbls>
          <c:showLegendKey val="0"/>
          <c:showVal val="0"/>
          <c:showCatName val="0"/>
          <c:showSerName val="0"/>
          <c:showPercent val="0"/>
          <c:showBubbleSize val="0"/>
        </c:dLbls>
        <c:axId val="11350422"/>
        <c:axId val="79453653"/>
      </c:scatterChart>
      <c:valAx>
        <c:axId val="11350422"/>
        <c:scaling>
          <c:orientation val="minMax"/>
          <c:max val="2019"/>
          <c:min val="2016"/>
        </c:scaling>
        <c:delete val="0"/>
        <c:axPos val="b"/>
        <c:title>
          <c:tx>
            <c:rich>
              <a:bodyPr rot="0"/>
              <a:lstStyle/>
              <a:p>
                <a:pPr>
                  <a:defRPr sz="1400" b="0" strike="noStrike" spc="-1">
                    <a:solidFill>
                      <a:srgbClr val="595959"/>
                    </a:solidFill>
                    <a:latin typeface="Calibri"/>
                  </a:defRPr>
                </a:pPr>
                <a:r>
                  <a:rPr lang="uk-UA" sz="1400" b="0" strike="noStrike" spc="-1">
                    <a:solidFill>
                      <a:srgbClr val="595959"/>
                    </a:solidFill>
                    <a:latin typeface="Calibri"/>
                  </a:rPr>
                  <a:t>Рік</a:t>
                </a:r>
              </a:p>
            </c:rich>
          </c:tx>
          <c:overlay val="0"/>
          <c:spPr>
            <a:noFill/>
            <a:ln>
              <a:noFill/>
            </a:ln>
          </c:spPr>
        </c:title>
        <c:numFmt formatCode="General" sourceLinked="0"/>
        <c:majorTickMark val="none"/>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uk-UA"/>
          </a:p>
        </c:txPr>
        <c:crossAx val="79453653"/>
        <c:crosses val="autoZero"/>
        <c:crossBetween val="midCat"/>
        <c:majorUnit val="1"/>
      </c:valAx>
      <c:valAx>
        <c:axId val="79453653"/>
        <c:scaling>
          <c:orientation val="minMax"/>
        </c:scaling>
        <c:delete val="0"/>
        <c:axPos val="l"/>
        <c:title>
          <c:tx>
            <c:rich>
              <a:bodyPr rot="-5400000"/>
              <a:lstStyle/>
              <a:p>
                <a:pPr>
                  <a:defRPr sz="1400" b="0" strike="noStrike" spc="-1">
                    <a:solidFill>
                      <a:srgbClr val="595959"/>
                    </a:solidFill>
                    <a:latin typeface="Calibri"/>
                  </a:defRPr>
                </a:pPr>
                <a:r>
                  <a:rPr lang="uk-UA" sz="1400" b="0" strike="noStrike" spc="-1">
                    <a:solidFill>
                      <a:srgbClr val="595959"/>
                    </a:solidFill>
                    <a:latin typeface="Calibri"/>
                  </a:rPr>
                  <a:t>Кількість документів</a:t>
                </a:r>
              </a:p>
            </c:rich>
          </c:tx>
          <c:overlay val="0"/>
          <c:spPr>
            <a:noFill/>
            <a:ln>
              <a:noFill/>
            </a:ln>
          </c:spPr>
        </c:title>
        <c:numFmt formatCode="General" sourceLinked="0"/>
        <c:majorTickMark val="none"/>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uk-UA"/>
          </a:p>
        </c:txPr>
        <c:crossAx val="11350422"/>
        <c:crosses val="autoZero"/>
        <c:crossBetween val="midCat"/>
      </c:valAx>
      <c:spPr>
        <a:noFill/>
        <a:ln>
          <a:noFill/>
        </a:ln>
      </c:spPr>
    </c:plotArea>
    <c:plotVisOnly val="1"/>
    <c:dispBlanksAs val="gap"/>
    <c:showDLblsOverMax val="1"/>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view3D>
      <c:rotX val="50"/>
      <c:rotY val="0"/>
      <c:rAngAx val="0"/>
    </c:view3D>
    <c:floor>
      <c:thickness val="0"/>
      <c:spPr>
        <a:solidFill>
          <a:srgbClr val="D9D9D9"/>
        </a:solidFill>
        <a:ln>
          <a:noFill/>
        </a:ln>
      </c:spPr>
    </c:floor>
    <c:sideWall>
      <c:thickness val="0"/>
      <c:spPr>
        <a:solidFill>
          <a:srgbClr val="D9D9D9"/>
        </a:solidFill>
        <a:ln>
          <a:noFill/>
        </a:ln>
      </c:spPr>
    </c:sideWall>
    <c:backWall>
      <c:thickness val="0"/>
      <c:spPr>
        <a:solidFill>
          <a:srgbClr val="D9D9D9"/>
        </a:solidFill>
        <a:ln>
          <a:noFill/>
        </a:ln>
      </c:spPr>
    </c:backWall>
    <c:plotArea>
      <c:layout/>
      <c:pie3DChart>
        <c:varyColors val="1"/>
        <c:ser>
          <c:idx val="0"/>
          <c:order val="0"/>
          <c:tx>
            <c:strRef>
              <c:f>label 0</c:f>
              <c:strCache>
                <c:ptCount val="1"/>
                <c:pt idx="0">
                  <c:v>Безымянные ряды 1</c:v>
                </c:pt>
              </c:strCache>
            </c:strRef>
          </c:tx>
          <c:spPr>
            <a:solidFill>
              <a:srgbClr val="5B9BD5"/>
            </a:solidFill>
            <a:ln>
              <a:noFill/>
            </a:ln>
          </c:spPr>
          <c:dPt>
            <c:idx val="0"/>
            <c:bubble3D val="0"/>
            <c:extLst>
              <c:ext xmlns:c16="http://schemas.microsoft.com/office/drawing/2014/chart" uri="{C3380CC4-5D6E-409C-BE32-E72D297353CC}">
                <c16:uniqueId val="{00000001-4F84-4A11-A6F3-9FB3C0A04B02}"/>
              </c:ext>
            </c:extLst>
          </c:dPt>
          <c:dPt>
            <c:idx val="1"/>
            <c:bubble3D val="0"/>
            <c:spPr>
              <a:solidFill>
                <a:srgbClr val="ED7D31"/>
              </a:solidFill>
              <a:ln>
                <a:noFill/>
              </a:ln>
            </c:spPr>
            <c:extLst>
              <c:ext xmlns:c16="http://schemas.microsoft.com/office/drawing/2014/chart" uri="{C3380CC4-5D6E-409C-BE32-E72D297353CC}">
                <c16:uniqueId val="{00000003-4F84-4A11-A6F3-9FB3C0A04B02}"/>
              </c:ext>
            </c:extLst>
          </c:dPt>
          <c:dPt>
            <c:idx val="2"/>
            <c:bubble3D val="0"/>
            <c:spPr>
              <a:solidFill>
                <a:srgbClr val="A5A5A5"/>
              </a:solidFill>
              <a:ln>
                <a:noFill/>
              </a:ln>
            </c:spPr>
            <c:extLst>
              <c:ext xmlns:c16="http://schemas.microsoft.com/office/drawing/2014/chart" uri="{C3380CC4-5D6E-409C-BE32-E72D297353CC}">
                <c16:uniqueId val="{00000005-4F84-4A11-A6F3-9FB3C0A04B02}"/>
              </c:ext>
            </c:extLst>
          </c:dPt>
          <c:dPt>
            <c:idx val="3"/>
            <c:bubble3D val="0"/>
            <c:spPr>
              <a:solidFill>
                <a:srgbClr val="FFC000"/>
              </a:solidFill>
              <a:ln>
                <a:noFill/>
              </a:ln>
            </c:spPr>
            <c:extLst>
              <c:ext xmlns:c16="http://schemas.microsoft.com/office/drawing/2014/chart" uri="{C3380CC4-5D6E-409C-BE32-E72D297353CC}">
                <c16:uniqueId val="{00000007-4F84-4A11-A6F3-9FB3C0A04B02}"/>
              </c:ext>
            </c:extLst>
          </c:dPt>
          <c:dPt>
            <c:idx val="4"/>
            <c:bubble3D val="0"/>
            <c:spPr>
              <a:solidFill>
                <a:srgbClr val="4472C4"/>
              </a:solidFill>
              <a:ln>
                <a:noFill/>
              </a:ln>
            </c:spPr>
            <c:extLst>
              <c:ext xmlns:c16="http://schemas.microsoft.com/office/drawing/2014/chart" uri="{C3380CC4-5D6E-409C-BE32-E72D297353CC}">
                <c16:uniqueId val="{00000009-4F84-4A11-A6F3-9FB3C0A04B02}"/>
              </c:ext>
            </c:extLst>
          </c:dPt>
          <c:dPt>
            <c:idx val="5"/>
            <c:bubble3D val="0"/>
            <c:spPr>
              <a:solidFill>
                <a:srgbClr val="70AD47"/>
              </a:solidFill>
              <a:ln>
                <a:noFill/>
              </a:ln>
            </c:spPr>
            <c:extLst>
              <c:ext xmlns:c16="http://schemas.microsoft.com/office/drawing/2014/chart" uri="{C3380CC4-5D6E-409C-BE32-E72D297353CC}">
                <c16:uniqueId val="{0000000B-4F84-4A11-A6F3-9FB3C0A04B02}"/>
              </c:ext>
            </c:extLst>
          </c:dPt>
          <c:dLbls>
            <c:dLbl>
              <c:idx val="0"/>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4F84-4A11-A6F3-9FB3C0A04B02}"/>
                </c:ext>
              </c:extLst>
            </c:dLbl>
            <c:dLbl>
              <c:idx val="1"/>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4F84-4A11-A6F3-9FB3C0A04B02}"/>
                </c:ext>
              </c:extLst>
            </c:dLbl>
            <c:dLbl>
              <c:idx val="2"/>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5-4F84-4A11-A6F3-9FB3C0A04B02}"/>
                </c:ext>
              </c:extLst>
            </c:dLbl>
            <c:dLbl>
              <c:idx val="3"/>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7-4F84-4A11-A6F3-9FB3C0A04B02}"/>
                </c:ext>
              </c:extLst>
            </c:dLbl>
            <c:dLbl>
              <c:idx val="4"/>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9-4F84-4A11-A6F3-9FB3C0A04B02}"/>
                </c:ext>
              </c:extLst>
            </c:dLbl>
            <c:dLbl>
              <c:idx val="5"/>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B-4F84-4A11-A6F3-9FB3C0A04B02}"/>
                </c:ext>
              </c:extLst>
            </c:dLbl>
            <c:spPr>
              <a:noFill/>
              <a:ln>
                <a:noFill/>
              </a:ln>
              <a:effectLst/>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separator>
</c:separator>
            <c:showLeaderLines val="0"/>
            <c:extLst>
              <c:ext xmlns:c15="http://schemas.microsoft.com/office/drawing/2012/chart" uri="{CE6537A1-D6FC-4f65-9D91-7224C49458BB}"/>
            </c:extLst>
          </c:dLbls>
          <c:cat>
            <c:strRef>
              <c:f>categories</c:f>
              <c:strCache>
                <c:ptCount val="6"/>
                <c:pt idx="0">
                  <c:v>КНР (1461)</c:v>
                </c:pt>
                <c:pt idx="1">
                  <c:v>США (1184)</c:v>
                </c:pt>
                <c:pt idx="2">
                  <c:v>ВОІВ (850)</c:v>
                </c:pt>
                <c:pt idx="3">
                  <c:v>Південна Корея (363)</c:v>
                </c:pt>
                <c:pt idx="4">
                  <c:v>ЄПВ (195)</c:v>
                </c:pt>
                <c:pt idx="5">
                  <c:v>Інші країни та організації (571)</c:v>
                </c:pt>
              </c:strCache>
            </c:strRef>
          </c:cat>
          <c:val>
            <c:numRef>
              <c:f>0</c:f>
              <c:numCache>
                <c:formatCode>General</c:formatCode>
                <c:ptCount val="6"/>
                <c:pt idx="0">
                  <c:v>1461</c:v>
                </c:pt>
                <c:pt idx="1">
                  <c:v>1184</c:v>
                </c:pt>
                <c:pt idx="2">
                  <c:v>850</c:v>
                </c:pt>
                <c:pt idx="3">
                  <c:v>363</c:v>
                </c:pt>
                <c:pt idx="4">
                  <c:v>195</c:v>
                </c:pt>
                <c:pt idx="5">
                  <c:v>571</c:v>
                </c:pt>
              </c:numCache>
            </c:numRef>
          </c:val>
          <c:extLst>
            <c:ext xmlns:c16="http://schemas.microsoft.com/office/drawing/2014/chart" uri="{C3380CC4-5D6E-409C-BE32-E72D297353CC}">
              <c16:uniqueId val="{0000000C-4F84-4A11-A6F3-9FB3C0A04B02}"/>
            </c:ext>
          </c:extLst>
        </c:ser>
        <c:dLbls>
          <c:showLegendKey val="0"/>
          <c:showVal val="0"/>
          <c:showCatName val="0"/>
          <c:showSerName val="0"/>
          <c:showPercent val="0"/>
          <c:showBubbleSize val="0"/>
          <c:showLeaderLines val="0"/>
        </c:dLbls>
      </c:pie3DChart>
    </c:plotArea>
    <c:legend>
      <c:legendPos val="b"/>
      <c:overlay val="0"/>
      <c:spPr>
        <a:solidFill>
          <a:srgbClr val="F2F2F2">
            <a:alpha val="39000"/>
          </a:srgbClr>
        </a:solidFill>
        <a:ln>
          <a:noFill/>
        </a:ln>
      </c:spPr>
      <c:txPr>
        <a:bodyPr/>
        <a:lstStyle/>
        <a:p>
          <a:pPr>
            <a:defRPr sz="900" b="0" strike="noStrike" spc="-1">
              <a:solidFill>
                <a:srgbClr val="404040"/>
              </a:solidFill>
              <a:latin typeface="Calibri"/>
            </a:defRPr>
          </a:pPr>
          <a:endParaRPr lang="uk-UA"/>
        </a:p>
      </c:txPr>
    </c:legend>
    <c:plotVisOnly val="1"/>
    <c:dispBlanksAs val="gap"/>
    <c:showDLblsOverMax val="1"/>
  </c:chart>
  <c:spPr>
    <a:gradFill>
      <a:gsLst>
        <a:gs pos="0">
          <a:srgbClr val="FFFFFF"/>
        </a:gs>
        <a:gs pos="100000">
          <a:srgbClr val="BFBFBF"/>
        </a:gs>
      </a:gsLst>
      <a:path path="circle">
        <a:fillToRect l="50000" t="10000" r="50000" b="90000"/>
      </a:path>
    </a:gradFill>
    <a:ln w="9360">
      <a:solidFill>
        <a:srgbClr val="BFBFBF"/>
      </a:solidFill>
      <a:round/>
    </a:ln>
  </c:spPr>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view3D>
      <c:rotX val="50"/>
      <c:rotY val="0"/>
      <c:rAngAx val="0"/>
    </c:view3D>
    <c:floor>
      <c:thickness val="0"/>
      <c:spPr>
        <a:solidFill>
          <a:srgbClr val="D9D9D9"/>
        </a:solidFill>
        <a:ln>
          <a:noFill/>
        </a:ln>
      </c:spPr>
    </c:floor>
    <c:sideWall>
      <c:thickness val="0"/>
      <c:spPr>
        <a:solidFill>
          <a:srgbClr val="D9D9D9"/>
        </a:solidFill>
        <a:ln>
          <a:noFill/>
        </a:ln>
      </c:spPr>
    </c:sideWall>
    <c:backWall>
      <c:thickness val="0"/>
      <c:spPr>
        <a:solidFill>
          <a:srgbClr val="D9D9D9"/>
        </a:solidFill>
        <a:ln>
          <a:noFill/>
        </a:ln>
      </c:spPr>
    </c:backWall>
    <c:plotArea>
      <c:layout/>
      <c:pie3DChart>
        <c:varyColors val="1"/>
        <c:ser>
          <c:idx val="0"/>
          <c:order val="0"/>
          <c:tx>
            <c:strRef>
              <c:f>label 0</c:f>
              <c:strCache>
                <c:ptCount val="1"/>
                <c:pt idx="0">
                  <c:v>Безымянные ряды 1</c:v>
                </c:pt>
              </c:strCache>
            </c:strRef>
          </c:tx>
          <c:spPr>
            <a:solidFill>
              <a:srgbClr val="5B9BD5"/>
            </a:solidFill>
            <a:ln>
              <a:noFill/>
            </a:ln>
          </c:spPr>
          <c:dPt>
            <c:idx val="0"/>
            <c:bubble3D val="0"/>
            <c:extLst>
              <c:ext xmlns:c16="http://schemas.microsoft.com/office/drawing/2014/chart" uri="{C3380CC4-5D6E-409C-BE32-E72D297353CC}">
                <c16:uniqueId val="{00000001-7DB3-430C-B9BF-FA40C860BEB1}"/>
              </c:ext>
            </c:extLst>
          </c:dPt>
          <c:dPt>
            <c:idx val="1"/>
            <c:bubble3D val="0"/>
            <c:spPr>
              <a:solidFill>
                <a:srgbClr val="ED7D31"/>
              </a:solidFill>
              <a:ln>
                <a:noFill/>
              </a:ln>
            </c:spPr>
            <c:extLst>
              <c:ext xmlns:c16="http://schemas.microsoft.com/office/drawing/2014/chart" uri="{C3380CC4-5D6E-409C-BE32-E72D297353CC}">
                <c16:uniqueId val="{00000003-7DB3-430C-B9BF-FA40C860BEB1}"/>
              </c:ext>
            </c:extLst>
          </c:dPt>
          <c:dPt>
            <c:idx val="2"/>
            <c:bubble3D val="0"/>
            <c:spPr>
              <a:solidFill>
                <a:srgbClr val="A5A5A5"/>
              </a:solidFill>
              <a:ln>
                <a:noFill/>
              </a:ln>
            </c:spPr>
            <c:extLst>
              <c:ext xmlns:c16="http://schemas.microsoft.com/office/drawing/2014/chart" uri="{C3380CC4-5D6E-409C-BE32-E72D297353CC}">
                <c16:uniqueId val="{00000005-7DB3-430C-B9BF-FA40C860BEB1}"/>
              </c:ext>
            </c:extLst>
          </c:dPt>
          <c:dPt>
            <c:idx val="3"/>
            <c:bubble3D val="0"/>
            <c:spPr>
              <a:solidFill>
                <a:srgbClr val="FFC000"/>
              </a:solidFill>
              <a:ln>
                <a:noFill/>
              </a:ln>
            </c:spPr>
            <c:extLst>
              <c:ext xmlns:c16="http://schemas.microsoft.com/office/drawing/2014/chart" uri="{C3380CC4-5D6E-409C-BE32-E72D297353CC}">
                <c16:uniqueId val="{00000007-7DB3-430C-B9BF-FA40C860BEB1}"/>
              </c:ext>
            </c:extLst>
          </c:dPt>
          <c:dPt>
            <c:idx val="4"/>
            <c:bubble3D val="0"/>
            <c:spPr>
              <a:solidFill>
                <a:srgbClr val="4472C4"/>
              </a:solidFill>
              <a:ln>
                <a:noFill/>
              </a:ln>
            </c:spPr>
            <c:extLst>
              <c:ext xmlns:c16="http://schemas.microsoft.com/office/drawing/2014/chart" uri="{C3380CC4-5D6E-409C-BE32-E72D297353CC}">
                <c16:uniqueId val="{00000009-7DB3-430C-B9BF-FA40C860BEB1}"/>
              </c:ext>
            </c:extLst>
          </c:dPt>
          <c:dPt>
            <c:idx val="5"/>
            <c:bubble3D val="0"/>
            <c:spPr>
              <a:solidFill>
                <a:srgbClr val="70AD47"/>
              </a:solidFill>
              <a:ln>
                <a:noFill/>
              </a:ln>
            </c:spPr>
            <c:extLst>
              <c:ext xmlns:c16="http://schemas.microsoft.com/office/drawing/2014/chart" uri="{C3380CC4-5D6E-409C-BE32-E72D297353CC}">
                <c16:uniqueId val="{0000000B-7DB3-430C-B9BF-FA40C860BEB1}"/>
              </c:ext>
            </c:extLst>
          </c:dPt>
          <c:dLbls>
            <c:dLbl>
              <c:idx val="0"/>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7DB3-430C-B9BF-FA40C860BEB1}"/>
                </c:ext>
              </c:extLst>
            </c:dLbl>
            <c:dLbl>
              <c:idx val="1"/>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7DB3-430C-B9BF-FA40C860BEB1}"/>
                </c:ext>
              </c:extLst>
            </c:dLbl>
            <c:dLbl>
              <c:idx val="2"/>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5-7DB3-430C-B9BF-FA40C860BEB1}"/>
                </c:ext>
              </c:extLst>
            </c:dLbl>
            <c:dLbl>
              <c:idx val="3"/>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7-7DB3-430C-B9BF-FA40C860BEB1}"/>
                </c:ext>
              </c:extLst>
            </c:dLbl>
            <c:dLbl>
              <c:idx val="4"/>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9-7DB3-430C-B9BF-FA40C860BEB1}"/>
                </c:ext>
              </c:extLst>
            </c:dLbl>
            <c:dLbl>
              <c:idx val="5"/>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B-7DB3-430C-B9BF-FA40C860BEB1}"/>
                </c:ext>
              </c:extLst>
            </c:dLbl>
            <c:spPr>
              <a:noFill/>
              <a:ln>
                <a:noFill/>
              </a:ln>
              <a:effectLst/>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separator>
</c:separator>
            <c:showLeaderLines val="0"/>
            <c:extLst>
              <c:ext xmlns:c15="http://schemas.microsoft.com/office/drawing/2012/chart" uri="{CE6537A1-D6FC-4f65-9D91-7224C49458BB}"/>
            </c:extLst>
          </c:dLbls>
          <c:cat>
            <c:strRef>
              <c:f>categories</c:f>
              <c:strCache>
                <c:ptCount val="6"/>
                <c:pt idx="0">
                  <c:v>Китай</c:v>
                </c:pt>
                <c:pt idx="1">
                  <c:v>США</c:v>
                </c:pt>
                <c:pt idx="2">
                  <c:v>ВОІВ</c:v>
                </c:pt>
                <c:pt idx="3">
                  <c:v>ЄПВ</c:v>
                </c:pt>
                <c:pt idx="4">
                  <c:v>Інші країни</c:v>
                </c:pt>
                <c:pt idx="5">
                  <c:v>Австралія</c:v>
                </c:pt>
              </c:strCache>
            </c:strRef>
          </c:cat>
          <c:val>
            <c:numRef>
              <c:f>0</c:f>
              <c:numCache>
                <c:formatCode>General</c:formatCode>
                <c:ptCount val="6"/>
                <c:pt idx="0">
                  <c:v>2545</c:v>
                </c:pt>
                <c:pt idx="1">
                  <c:v>1627</c:v>
                </c:pt>
                <c:pt idx="2">
                  <c:v>1371</c:v>
                </c:pt>
                <c:pt idx="3">
                  <c:v>353</c:v>
                </c:pt>
                <c:pt idx="4">
                  <c:v>957</c:v>
                </c:pt>
                <c:pt idx="5">
                  <c:v>252</c:v>
                </c:pt>
              </c:numCache>
            </c:numRef>
          </c:val>
          <c:extLst>
            <c:ext xmlns:c16="http://schemas.microsoft.com/office/drawing/2014/chart" uri="{C3380CC4-5D6E-409C-BE32-E72D297353CC}">
              <c16:uniqueId val="{0000000C-7DB3-430C-B9BF-FA40C860BEB1}"/>
            </c:ext>
          </c:extLst>
        </c:ser>
        <c:dLbls>
          <c:showLegendKey val="0"/>
          <c:showVal val="0"/>
          <c:showCatName val="0"/>
          <c:showSerName val="0"/>
          <c:showPercent val="0"/>
          <c:showBubbleSize val="0"/>
          <c:showLeaderLines val="0"/>
        </c:dLbls>
      </c:pie3DChart>
    </c:plotArea>
    <c:legend>
      <c:legendPos val="b"/>
      <c:overlay val="0"/>
      <c:spPr>
        <a:solidFill>
          <a:srgbClr val="F2F2F2">
            <a:alpha val="39000"/>
          </a:srgbClr>
        </a:solidFill>
        <a:ln>
          <a:noFill/>
        </a:ln>
      </c:spPr>
      <c:txPr>
        <a:bodyPr/>
        <a:lstStyle/>
        <a:p>
          <a:pPr>
            <a:defRPr sz="900" b="0" strike="noStrike" spc="-1">
              <a:solidFill>
                <a:srgbClr val="404040"/>
              </a:solidFill>
              <a:latin typeface="Calibri"/>
            </a:defRPr>
          </a:pPr>
          <a:endParaRPr lang="uk-UA"/>
        </a:p>
      </c:txPr>
    </c:legend>
    <c:plotVisOnly val="1"/>
    <c:dispBlanksAs val="gap"/>
    <c:showDLblsOverMax val="1"/>
  </c:chart>
  <c:spPr>
    <a:gradFill>
      <a:gsLst>
        <a:gs pos="0">
          <a:srgbClr val="FFFFFF"/>
        </a:gs>
        <a:gs pos="100000">
          <a:srgbClr val="BFBFBF"/>
        </a:gs>
      </a:gsLst>
      <a:path path="circle">
        <a:fillToRect l="50000" t="10000" r="50000" b="90000"/>
      </a:path>
    </a:gradFill>
    <a:ln w="9360">
      <a:solidFill>
        <a:srgbClr val="BFBFBF"/>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barChart>
        <c:barDir val="col"/>
        <c:grouping val="clustered"/>
        <c:varyColors val="0"/>
        <c:ser>
          <c:idx val="0"/>
          <c:order val="0"/>
          <c:tx>
            <c:strRef>
              <c:f>label 0</c:f>
              <c:strCache>
                <c:ptCount val="1"/>
                <c:pt idx="0">
                  <c:v>Безымянные ряды 1</c:v>
                </c:pt>
              </c:strCache>
            </c:strRef>
          </c:tx>
          <c:spPr>
            <a:solidFill>
              <a:srgbClr val="5B9BD5">
                <a:alpha val="85000"/>
              </a:srgbClr>
            </a:solidFill>
            <a:ln w="9360">
              <a:solidFill>
                <a:srgbClr val="FFFFFF">
                  <a:alpha val="50000"/>
                </a:srgbClr>
              </a:solidFill>
              <a:round/>
            </a:ln>
          </c:spPr>
          <c:invertIfNegative val="0"/>
          <c:dLbls>
            <c:spPr>
              <a:noFill/>
              <a:ln>
                <a:noFill/>
              </a:ln>
              <a:effectLst/>
            </c:spPr>
            <c:txPr>
              <a:bodyPr/>
              <a:lstStyle/>
              <a:p>
                <a:pPr>
                  <a:defRPr sz="900" b="1" strike="noStrike" spc="-1">
                    <a:solidFill>
                      <a:srgbClr val="FFFFFF"/>
                    </a:solidFill>
                    <a:latin typeface="Calibri"/>
                  </a:defRPr>
                </a:pPr>
                <a:endParaRPr lang="uk-UA"/>
              </a:p>
            </c:txPr>
            <c:dLblPos val="in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7"/>
                <c:pt idx="0">
                  <c:v>H04L9/32</c:v>
                </c:pt>
                <c:pt idx="1">
                  <c:v>G06Q20/38</c:v>
                </c:pt>
                <c:pt idx="2">
                  <c:v>H04L29/06</c:v>
                </c:pt>
                <c:pt idx="3">
                  <c:v>H04L9/06</c:v>
                </c:pt>
                <c:pt idx="4">
                  <c:v>H04L28/08</c:v>
                </c:pt>
                <c:pt idx="5">
                  <c:v>G06Q20/06</c:v>
                </c:pt>
                <c:pt idx="6">
                  <c:v>H04L9/08</c:v>
                </c:pt>
              </c:strCache>
            </c:strRef>
          </c:cat>
          <c:val>
            <c:numRef>
              <c:f>0</c:f>
              <c:numCache>
                <c:formatCode>General</c:formatCode>
                <c:ptCount val="7"/>
                <c:pt idx="0">
                  <c:v>1004</c:v>
                </c:pt>
                <c:pt idx="1">
                  <c:v>921</c:v>
                </c:pt>
                <c:pt idx="2">
                  <c:v>770</c:v>
                </c:pt>
                <c:pt idx="3">
                  <c:v>606</c:v>
                </c:pt>
                <c:pt idx="4">
                  <c:v>600</c:v>
                </c:pt>
                <c:pt idx="5">
                  <c:v>443</c:v>
                </c:pt>
                <c:pt idx="6">
                  <c:v>355</c:v>
                </c:pt>
              </c:numCache>
            </c:numRef>
          </c:val>
          <c:extLst>
            <c:ext xmlns:c16="http://schemas.microsoft.com/office/drawing/2014/chart" uri="{C3380CC4-5D6E-409C-BE32-E72D297353CC}">
              <c16:uniqueId val="{00000000-4E26-4C77-8589-7D546D8DEF5D}"/>
            </c:ext>
          </c:extLst>
        </c:ser>
        <c:dLbls>
          <c:showLegendKey val="0"/>
          <c:showVal val="0"/>
          <c:showCatName val="0"/>
          <c:showSerName val="0"/>
          <c:showPercent val="0"/>
          <c:showBubbleSize val="0"/>
        </c:dLbls>
        <c:gapWidth val="65"/>
        <c:axId val="10581575"/>
        <c:axId val="30819466"/>
      </c:barChart>
      <c:catAx>
        <c:axId val="10581575"/>
        <c:scaling>
          <c:orientation val="minMax"/>
        </c:scaling>
        <c:delete val="0"/>
        <c:axPos val="b"/>
        <c:title>
          <c:tx>
            <c:rich>
              <a:bodyPr rot="0"/>
              <a:lstStyle/>
              <a:p>
                <a:pPr>
                  <a:defRPr sz="1400" b="0" strike="noStrike" spc="-1">
                    <a:solidFill>
                      <a:srgbClr val="404040"/>
                    </a:solidFill>
                    <a:latin typeface="Times New Roman"/>
                  </a:defRPr>
                </a:pPr>
                <a:r>
                  <a:rPr lang="uk-UA" sz="1400" b="0" strike="noStrike" spc="-1">
                    <a:solidFill>
                      <a:srgbClr val="404040"/>
                    </a:solidFill>
                    <a:latin typeface="Times New Roman"/>
                  </a:rPr>
                  <a:t>МПК</a:t>
                </a:r>
              </a:p>
            </c:rich>
          </c:tx>
          <c:overlay val="0"/>
          <c:spPr>
            <a:noFill/>
            <a:ln>
              <a:noFill/>
            </a:ln>
          </c:spPr>
        </c:title>
        <c:numFmt formatCode="General" sourceLinked="1"/>
        <c:majorTickMark val="none"/>
        <c:minorTickMark val="none"/>
        <c:tickLblPos val="nextTo"/>
        <c:spPr>
          <a:ln w="19080">
            <a:solidFill>
              <a:srgbClr val="404040"/>
            </a:solidFill>
            <a:round/>
          </a:ln>
        </c:spPr>
        <c:txPr>
          <a:bodyPr/>
          <a:lstStyle/>
          <a:p>
            <a:pPr>
              <a:defRPr sz="900" b="0" strike="noStrike" spc="-1">
                <a:solidFill>
                  <a:srgbClr val="404040"/>
                </a:solidFill>
                <a:latin typeface="Calibri"/>
              </a:defRPr>
            </a:pPr>
            <a:endParaRPr lang="uk-UA"/>
          </a:p>
        </c:txPr>
        <c:crossAx val="30819466"/>
        <c:crosses val="autoZero"/>
        <c:auto val="1"/>
        <c:lblAlgn val="ctr"/>
        <c:lblOffset val="100"/>
        <c:noMultiLvlLbl val="1"/>
      </c:catAx>
      <c:valAx>
        <c:axId val="30819466"/>
        <c:scaling>
          <c:orientation val="minMax"/>
        </c:scaling>
        <c:delete val="1"/>
        <c:axPos val="l"/>
        <c:title>
          <c:tx>
            <c:rich>
              <a:bodyPr rot="-5400000"/>
              <a:lstStyle/>
              <a:p>
                <a:pPr>
                  <a:defRPr sz="1400" b="0" strike="noStrike" spc="-1">
                    <a:solidFill>
                      <a:srgbClr val="404040"/>
                    </a:solidFill>
                    <a:latin typeface="Times New Roman"/>
                  </a:defRPr>
                </a:pPr>
                <a:r>
                  <a:rPr lang="uk-UA" sz="1400" b="0" strike="noStrike" spc="-1">
                    <a:solidFill>
                      <a:srgbClr val="404040"/>
                    </a:solidFill>
                    <a:latin typeface="Times New Roman"/>
                  </a:rPr>
                  <a:t>Кількість</a:t>
                </a:r>
              </a:p>
            </c:rich>
          </c:tx>
          <c:overlay val="0"/>
          <c:spPr>
            <a:noFill/>
            <a:ln>
              <a:noFill/>
            </a:ln>
          </c:spPr>
        </c:title>
        <c:numFmt formatCode="General" sourceLinked="0"/>
        <c:majorTickMark val="none"/>
        <c:minorTickMark val="none"/>
        <c:tickLblPos val="nextTo"/>
        <c:crossAx val="10581575"/>
        <c:crosses val="autoZero"/>
        <c:crossBetween val="between"/>
      </c:valAx>
      <c:spPr>
        <a:noFill/>
        <a:ln>
          <a:noFill/>
        </a:ln>
      </c:spPr>
    </c:plotArea>
    <c:plotVisOnly val="1"/>
    <c:dispBlanksAs val="gap"/>
    <c:showDLblsOverMax val="1"/>
  </c:chart>
  <c:spPr>
    <a:gradFill>
      <a:gsLst>
        <a:gs pos="0">
          <a:srgbClr val="FFFFFF"/>
        </a:gs>
        <a:gs pos="100000">
          <a:srgbClr val="BFBFBF"/>
        </a:gs>
      </a:gsLst>
      <a:path path="circle">
        <a:fillToRect l="50000" t="10000" r="50000" b="90000"/>
      </a:path>
    </a:gradFill>
    <a:ln w="9360">
      <a:solidFill>
        <a:srgbClr val="BFBFBF"/>
      </a:solidFill>
      <a:round/>
    </a:ln>
  </c:spPr>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areaChart>
        <c:grouping val="stacked"/>
        <c:varyColors val="1"/>
        <c:ser>
          <c:idx val="0"/>
          <c:order val="0"/>
          <c:tx>
            <c:strRef>
              <c:f>label 0</c:f>
              <c:strCache>
                <c:ptCount val="1"/>
                <c:pt idx="0">
                  <c:v>Безымянные ряды 1</c:v>
                </c:pt>
              </c:strCache>
            </c:strRef>
          </c:tx>
          <c:spPr>
            <a:solidFill>
              <a:srgbClr val="5B9BD5"/>
            </a:solidFill>
            <a:ln>
              <a:noFill/>
            </a:ln>
          </c:spPr>
          <c:dPt>
            <c:idx val="0"/>
            <c:bubble3D val="0"/>
            <c:extLst>
              <c:ext xmlns:c16="http://schemas.microsoft.com/office/drawing/2014/chart" uri="{C3380CC4-5D6E-409C-BE32-E72D297353CC}">
                <c16:uniqueId val="{00000001-AF21-495B-9E1D-F32A66276143}"/>
              </c:ext>
            </c:extLst>
          </c:dPt>
          <c:dPt>
            <c:idx val="1"/>
            <c:bubble3D val="0"/>
            <c:extLst>
              <c:ext xmlns:c16="http://schemas.microsoft.com/office/drawing/2014/chart" uri="{C3380CC4-5D6E-409C-BE32-E72D297353CC}">
                <c16:uniqueId val="{00000003-AF21-495B-9E1D-F32A66276143}"/>
              </c:ext>
            </c:extLst>
          </c:dPt>
          <c:dPt>
            <c:idx val="2"/>
            <c:bubble3D val="0"/>
            <c:extLst>
              <c:ext xmlns:c16="http://schemas.microsoft.com/office/drawing/2014/chart" uri="{C3380CC4-5D6E-409C-BE32-E72D297353CC}">
                <c16:uniqueId val="{00000005-AF21-495B-9E1D-F32A66276143}"/>
              </c:ext>
            </c:extLst>
          </c:dPt>
          <c:dPt>
            <c:idx val="3"/>
            <c:bubble3D val="0"/>
            <c:extLst>
              <c:ext xmlns:c16="http://schemas.microsoft.com/office/drawing/2014/chart" uri="{C3380CC4-5D6E-409C-BE32-E72D297353CC}">
                <c16:uniqueId val="{00000007-AF21-495B-9E1D-F32A66276143}"/>
              </c:ext>
            </c:extLst>
          </c:dPt>
          <c:dLbls>
            <c:dLbl>
              <c:idx val="0"/>
              <c:spPr/>
              <c:txPr>
                <a:bodyPr/>
                <a:lstStyle/>
                <a:p>
                  <a:pPr>
                    <a:defRPr sz="1000" b="0" strike="noStrike" spc="-1">
                      <a:solidFill>
                        <a:srgbClr val="000000"/>
                      </a:solidFill>
                      <a:latin typeface="Calibri"/>
                    </a:defRPr>
                  </a:pPr>
                  <a:endParaRPr lang="uk-UA"/>
                </a:p>
              </c:txPr>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AF21-495B-9E1D-F32A66276143}"/>
                </c:ext>
              </c:extLst>
            </c:dLbl>
            <c:dLbl>
              <c:idx val="1"/>
              <c:spPr/>
              <c:txPr>
                <a:bodyPr/>
                <a:lstStyle/>
                <a:p>
                  <a:pPr>
                    <a:defRPr sz="1000" b="0" strike="noStrike" spc="-1">
                      <a:solidFill>
                        <a:srgbClr val="000000"/>
                      </a:solidFill>
                      <a:latin typeface="Calibri"/>
                    </a:defRPr>
                  </a:pPr>
                  <a:endParaRPr lang="uk-UA"/>
                </a:p>
              </c:txPr>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3-AF21-495B-9E1D-F32A66276143}"/>
                </c:ext>
              </c:extLst>
            </c:dLbl>
            <c:dLbl>
              <c:idx val="2"/>
              <c:spPr/>
              <c:txPr>
                <a:bodyPr/>
                <a:lstStyle/>
                <a:p>
                  <a:pPr>
                    <a:defRPr sz="1000" b="0" strike="noStrike" spc="-1">
                      <a:solidFill>
                        <a:srgbClr val="000000"/>
                      </a:solidFill>
                      <a:latin typeface="Calibri"/>
                    </a:defRPr>
                  </a:pPr>
                  <a:endParaRPr lang="uk-UA"/>
                </a:p>
              </c:txPr>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5-AF21-495B-9E1D-F32A66276143}"/>
                </c:ext>
              </c:extLst>
            </c:dLbl>
            <c:dLbl>
              <c:idx val="3"/>
              <c:spPr/>
              <c:txPr>
                <a:bodyPr/>
                <a:lstStyle/>
                <a:p>
                  <a:pPr>
                    <a:defRPr sz="1000" b="0" strike="noStrike" spc="-1">
                      <a:solidFill>
                        <a:srgbClr val="000000"/>
                      </a:solidFill>
                      <a:latin typeface="Calibri"/>
                    </a:defRPr>
                  </a:pPr>
                  <a:endParaRPr lang="uk-UA"/>
                </a:p>
              </c:txPr>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7-AF21-495B-9E1D-F32A66276143}"/>
                </c:ext>
              </c:extLst>
            </c:dLbl>
            <c:spPr>
              <a:noFill/>
              <a:ln>
                <a:noFill/>
              </a:ln>
              <a:effectLst/>
            </c:spPr>
            <c:txPr>
              <a:bodyPr/>
              <a:lstStyle/>
              <a:p>
                <a:pPr>
                  <a:defRPr sz="1400" b="0" strike="noStrike" spc="-1">
                    <a:solidFill>
                      <a:srgbClr val="404040"/>
                    </a:solidFill>
                    <a:latin typeface="Calibri"/>
                  </a:defRPr>
                </a:pPr>
                <a:endParaRPr lang="uk-UA"/>
              </a:p>
            </c:txP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4"/>
                <c:pt idx="0">
                  <c:v>2016</c:v>
                </c:pt>
                <c:pt idx="1">
                  <c:v>2017</c:v>
                </c:pt>
                <c:pt idx="2">
                  <c:v>2018</c:v>
                </c:pt>
                <c:pt idx="3">
                  <c:v>2019</c:v>
                </c:pt>
              </c:strCache>
            </c:strRef>
          </c:cat>
          <c:val>
            <c:numRef>
              <c:f>0</c:f>
              <c:numCache>
                <c:formatCode>General</c:formatCode>
                <c:ptCount val="4"/>
                <c:pt idx="0">
                  <c:v>8</c:v>
                </c:pt>
                <c:pt idx="1">
                  <c:v>72</c:v>
                </c:pt>
                <c:pt idx="2">
                  <c:v>382</c:v>
                </c:pt>
                <c:pt idx="3">
                  <c:v>542</c:v>
                </c:pt>
              </c:numCache>
            </c:numRef>
          </c:val>
          <c:extLst>
            <c:ext xmlns:c16="http://schemas.microsoft.com/office/drawing/2014/chart" uri="{C3380CC4-5D6E-409C-BE32-E72D297353CC}">
              <c16:uniqueId val="{00000008-AF21-495B-9E1D-F32A66276143}"/>
            </c:ext>
          </c:extLst>
        </c:ser>
        <c:dLbls>
          <c:showLegendKey val="0"/>
          <c:showVal val="0"/>
          <c:showCatName val="0"/>
          <c:showSerName val="0"/>
          <c:showPercent val="0"/>
          <c:showBubbleSize val="0"/>
        </c:dLbls>
        <c:axId val="16618051"/>
        <c:axId val="13636808"/>
      </c:areaChart>
      <c:catAx>
        <c:axId val="16618051"/>
        <c:scaling>
          <c:orientation val="minMax"/>
        </c:scaling>
        <c:delete val="0"/>
        <c:axPos val="b"/>
        <c:title>
          <c:tx>
            <c:rich>
              <a:bodyPr rot="0"/>
              <a:lstStyle/>
              <a:p>
                <a:pPr>
                  <a:defRPr sz="1400" b="1" strike="noStrike" spc="-1">
                    <a:solidFill>
                      <a:srgbClr val="595959"/>
                    </a:solidFill>
                    <a:latin typeface="Times New Roman"/>
                  </a:defRPr>
                </a:pPr>
                <a:r>
                  <a:rPr lang="uk-UA" sz="1400" b="1" strike="noStrike" spc="-1">
                    <a:solidFill>
                      <a:srgbClr val="595959"/>
                    </a:solidFill>
                    <a:latin typeface="Times New Roman"/>
                  </a:rPr>
                  <a:t>Рік</a:t>
                </a:r>
              </a:p>
            </c:rich>
          </c:tx>
          <c:overlay val="0"/>
          <c:spPr>
            <a:noFill/>
            <a:ln>
              <a:noFill/>
            </a:ln>
          </c:spPr>
        </c:title>
        <c:numFmt formatCode="General" sourceLinked="1"/>
        <c:majorTickMark val="out"/>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13636808"/>
        <c:crosses val="autoZero"/>
        <c:auto val="1"/>
        <c:lblAlgn val="ctr"/>
        <c:lblOffset val="100"/>
        <c:noMultiLvlLbl val="1"/>
      </c:catAx>
      <c:valAx>
        <c:axId val="13636808"/>
        <c:scaling>
          <c:orientation val="minMax"/>
        </c:scaling>
        <c:delete val="0"/>
        <c:axPos val="l"/>
        <c:title>
          <c:tx>
            <c:rich>
              <a:bodyPr rot="-5400000"/>
              <a:lstStyle/>
              <a:p>
                <a:pPr>
                  <a:defRPr sz="1400" b="1" strike="noStrike" spc="-1">
                    <a:solidFill>
                      <a:srgbClr val="595959"/>
                    </a:solidFill>
                    <a:latin typeface="Times New Roman"/>
                  </a:defRPr>
                </a:pPr>
                <a:r>
                  <a:rPr lang="uk-UA" sz="1400" b="1" strike="noStrike" spc="-1">
                    <a:solidFill>
                      <a:srgbClr val="595959"/>
                    </a:solidFill>
                    <a:latin typeface="Times New Roman"/>
                  </a:rPr>
                  <a:t>Кількість</a:t>
                </a:r>
              </a:p>
            </c:rich>
          </c:tx>
          <c:overlay val="0"/>
          <c:spPr>
            <a:noFill/>
            <a:ln>
              <a:noFill/>
            </a:ln>
          </c:spPr>
        </c:title>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uk-UA"/>
          </a:p>
        </c:txPr>
        <c:crossAx val="16618051"/>
        <c:crosses val="autoZero"/>
        <c:crossBetween val="midCat"/>
      </c:valAx>
      <c:spPr>
        <a:noFill/>
        <a:ln>
          <a:noFill/>
        </a:ln>
      </c:spPr>
    </c:plotArea>
    <c:plotVisOnly val="1"/>
    <c:dispBlanksAs val="zero"/>
    <c:showDLblsOverMax val="1"/>
  </c:chart>
  <c:spPr>
    <a:solidFill>
      <a:srgbClr val="FFFFFF"/>
    </a:solidFill>
    <a:ln w="9360">
      <a:solidFill>
        <a:srgbClr val="D9D9D9"/>
      </a:solidFill>
      <a:round/>
    </a:ln>
  </c:spPr>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areaChart>
        <c:grouping val="stacked"/>
        <c:varyColors val="1"/>
        <c:ser>
          <c:idx val="0"/>
          <c:order val="0"/>
          <c:tx>
            <c:strRef>
              <c:f>label 0</c:f>
              <c:strCache>
                <c:ptCount val="1"/>
                <c:pt idx="0">
                  <c:v>Безымянные ряды 1</c:v>
                </c:pt>
              </c:strCache>
            </c:strRef>
          </c:tx>
          <c:spPr>
            <a:solidFill>
              <a:srgbClr val="5B9BD5"/>
            </a:solidFill>
            <a:ln>
              <a:noFill/>
            </a:ln>
          </c:spPr>
          <c:dPt>
            <c:idx val="0"/>
            <c:bubble3D val="0"/>
            <c:extLst>
              <c:ext xmlns:c16="http://schemas.microsoft.com/office/drawing/2014/chart" uri="{C3380CC4-5D6E-409C-BE32-E72D297353CC}">
                <c16:uniqueId val="{00000001-A320-4EC9-A375-FD7593297A6A}"/>
              </c:ext>
            </c:extLst>
          </c:dPt>
          <c:dPt>
            <c:idx val="1"/>
            <c:bubble3D val="0"/>
            <c:extLst>
              <c:ext xmlns:c16="http://schemas.microsoft.com/office/drawing/2014/chart" uri="{C3380CC4-5D6E-409C-BE32-E72D297353CC}">
                <c16:uniqueId val="{00000003-A320-4EC9-A375-FD7593297A6A}"/>
              </c:ext>
            </c:extLst>
          </c:dPt>
          <c:dPt>
            <c:idx val="2"/>
            <c:bubble3D val="0"/>
            <c:extLst>
              <c:ext xmlns:c16="http://schemas.microsoft.com/office/drawing/2014/chart" uri="{C3380CC4-5D6E-409C-BE32-E72D297353CC}">
                <c16:uniqueId val="{00000005-A320-4EC9-A375-FD7593297A6A}"/>
              </c:ext>
            </c:extLst>
          </c:dPt>
          <c:dPt>
            <c:idx val="3"/>
            <c:bubble3D val="0"/>
            <c:extLst>
              <c:ext xmlns:c16="http://schemas.microsoft.com/office/drawing/2014/chart" uri="{C3380CC4-5D6E-409C-BE32-E72D297353CC}">
                <c16:uniqueId val="{00000007-A320-4EC9-A375-FD7593297A6A}"/>
              </c:ext>
            </c:extLst>
          </c:dPt>
          <c:dLbls>
            <c:dLbl>
              <c:idx val="0"/>
              <c:spPr/>
              <c:txPr>
                <a:bodyPr/>
                <a:lstStyle/>
                <a:p>
                  <a:pPr>
                    <a:defRPr sz="1200" b="0" strike="noStrike" spc="-1">
                      <a:solidFill>
                        <a:srgbClr val="404040"/>
                      </a:solidFill>
                      <a:latin typeface="Calibri"/>
                    </a:defRPr>
                  </a:pPr>
                  <a:endParaRPr lang="uk-UA"/>
                </a:p>
              </c:txPr>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A320-4EC9-A375-FD7593297A6A}"/>
                </c:ext>
              </c:extLst>
            </c:dLbl>
            <c:dLbl>
              <c:idx val="1"/>
              <c:spPr/>
              <c:txPr>
                <a:bodyPr/>
                <a:lstStyle/>
                <a:p>
                  <a:pPr>
                    <a:defRPr sz="1200" b="0" strike="noStrike" spc="-1">
                      <a:solidFill>
                        <a:srgbClr val="404040"/>
                      </a:solidFill>
                      <a:latin typeface="Calibri"/>
                    </a:defRPr>
                  </a:pPr>
                  <a:endParaRPr lang="uk-UA"/>
                </a:p>
              </c:txPr>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3-A320-4EC9-A375-FD7593297A6A}"/>
                </c:ext>
              </c:extLst>
            </c:dLbl>
            <c:dLbl>
              <c:idx val="2"/>
              <c:spPr/>
              <c:txPr>
                <a:bodyPr/>
                <a:lstStyle/>
                <a:p>
                  <a:pPr>
                    <a:defRPr sz="1200" b="0" strike="noStrike" spc="-1">
                      <a:solidFill>
                        <a:srgbClr val="404040"/>
                      </a:solidFill>
                      <a:latin typeface="Calibri"/>
                    </a:defRPr>
                  </a:pPr>
                  <a:endParaRPr lang="uk-UA"/>
                </a:p>
              </c:txPr>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5-A320-4EC9-A375-FD7593297A6A}"/>
                </c:ext>
              </c:extLst>
            </c:dLbl>
            <c:dLbl>
              <c:idx val="3"/>
              <c:spPr/>
              <c:txPr>
                <a:bodyPr/>
                <a:lstStyle/>
                <a:p>
                  <a:pPr>
                    <a:defRPr sz="1200" b="0" strike="noStrike" spc="-1">
                      <a:solidFill>
                        <a:srgbClr val="404040"/>
                      </a:solidFill>
                      <a:latin typeface="Calibri"/>
                    </a:defRPr>
                  </a:pPr>
                  <a:endParaRPr lang="uk-UA"/>
                </a:p>
              </c:txPr>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7-A320-4EC9-A375-FD7593297A6A}"/>
                </c:ext>
              </c:extLst>
            </c:dLbl>
            <c:spPr>
              <a:noFill/>
              <a:ln>
                <a:noFill/>
              </a:ln>
              <a:effectLst/>
            </c:spPr>
            <c:txPr>
              <a:bodyPr/>
              <a:lstStyle/>
              <a:p>
                <a:pPr>
                  <a:defRPr sz="900" b="0" strike="noStrike" spc="-1">
                    <a:solidFill>
                      <a:srgbClr val="404040"/>
                    </a:solidFill>
                    <a:latin typeface="Calibri"/>
                  </a:defRPr>
                </a:pPr>
                <a:endParaRPr lang="uk-UA"/>
              </a:p>
            </c:txP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4"/>
                <c:pt idx="0">
                  <c:v>2016</c:v>
                </c:pt>
                <c:pt idx="1">
                  <c:v>2017</c:v>
                </c:pt>
                <c:pt idx="2">
                  <c:v>2018</c:v>
                </c:pt>
                <c:pt idx="3">
                  <c:v>2019</c:v>
                </c:pt>
              </c:strCache>
            </c:strRef>
          </c:cat>
          <c:val>
            <c:numRef>
              <c:f>0</c:f>
              <c:numCache>
                <c:formatCode>General</c:formatCode>
                <c:ptCount val="4"/>
                <c:pt idx="0">
                  <c:v>14</c:v>
                </c:pt>
                <c:pt idx="1">
                  <c:v>90</c:v>
                </c:pt>
                <c:pt idx="2">
                  <c:v>377</c:v>
                </c:pt>
                <c:pt idx="3">
                  <c:v>474</c:v>
                </c:pt>
              </c:numCache>
            </c:numRef>
          </c:val>
          <c:extLst>
            <c:ext xmlns:c16="http://schemas.microsoft.com/office/drawing/2014/chart" uri="{C3380CC4-5D6E-409C-BE32-E72D297353CC}">
              <c16:uniqueId val="{00000008-A320-4EC9-A375-FD7593297A6A}"/>
            </c:ext>
          </c:extLst>
        </c:ser>
        <c:dLbls>
          <c:showLegendKey val="0"/>
          <c:showVal val="0"/>
          <c:showCatName val="0"/>
          <c:showSerName val="0"/>
          <c:showPercent val="0"/>
          <c:showBubbleSize val="0"/>
        </c:dLbls>
        <c:axId val="34961952"/>
        <c:axId val="18241838"/>
      </c:areaChart>
      <c:catAx>
        <c:axId val="34961952"/>
        <c:scaling>
          <c:orientation val="minMax"/>
        </c:scaling>
        <c:delete val="0"/>
        <c:axPos val="b"/>
        <c:title>
          <c:tx>
            <c:rich>
              <a:bodyPr rot="0"/>
              <a:lstStyle/>
              <a:p>
                <a:pPr>
                  <a:defRPr sz="1400" b="0" strike="noStrike" spc="-1">
                    <a:solidFill>
                      <a:srgbClr val="595959"/>
                    </a:solidFill>
                    <a:latin typeface="Times New Roman"/>
                  </a:defRPr>
                </a:pPr>
                <a:r>
                  <a:rPr lang="uk-UA" sz="1400" b="0" strike="noStrike" spc="-1">
                    <a:solidFill>
                      <a:srgbClr val="595959"/>
                    </a:solidFill>
                    <a:latin typeface="Times New Roman"/>
                  </a:rPr>
                  <a:t>РІК </a:t>
                </a:r>
              </a:p>
            </c:rich>
          </c:tx>
          <c:overlay val="0"/>
          <c:spPr>
            <a:noFill/>
            <a:ln>
              <a:noFill/>
            </a:ln>
          </c:spPr>
        </c:title>
        <c:numFmt formatCode="General" sourceLinked="1"/>
        <c:majorTickMark val="out"/>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18241838"/>
        <c:crosses val="autoZero"/>
        <c:auto val="1"/>
        <c:lblAlgn val="ctr"/>
        <c:lblOffset val="100"/>
        <c:noMultiLvlLbl val="1"/>
      </c:catAx>
      <c:valAx>
        <c:axId val="18241838"/>
        <c:scaling>
          <c:orientation val="minMax"/>
        </c:scaling>
        <c:delete val="0"/>
        <c:axPos val="l"/>
        <c:title>
          <c:tx>
            <c:rich>
              <a:bodyPr rot="-5400000"/>
              <a:lstStyle/>
              <a:p>
                <a:pPr>
                  <a:defRPr sz="1400" b="0" strike="noStrike" spc="-1">
                    <a:solidFill>
                      <a:srgbClr val="595959"/>
                    </a:solidFill>
                    <a:latin typeface="Times New Roman"/>
                  </a:defRPr>
                </a:pPr>
                <a:r>
                  <a:rPr lang="uk-UA" sz="1400" b="0" strike="noStrike" spc="-1">
                    <a:solidFill>
                      <a:srgbClr val="595959"/>
                    </a:solidFill>
                    <a:latin typeface="Times New Roman"/>
                  </a:rPr>
                  <a:t>КІЛЬКІСТЬ ПАТЕНТІВ</a:t>
                </a:r>
              </a:p>
            </c:rich>
          </c:tx>
          <c:overlay val="0"/>
          <c:spPr>
            <a:noFill/>
            <a:ln>
              <a:noFill/>
            </a:ln>
          </c:spPr>
        </c:title>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uk-UA"/>
          </a:p>
        </c:txPr>
        <c:crossAx val="34961952"/>
        <c:crosses val="autoZero"/>
        <c:crossBetween val="midCat"/>
      </c:valAx>
      <c:spPr>
        <a:noFill/>
        <a:ln w="25560">
          <a:noFill/>
        </a:ln>
      </c:spPr>
    </c:plotArea>
    <c:plotVisOnly val="1"/>
    <c:dispBlanksAs val="zero"/>
    <c:showDLblsOverMax val="1"/>
  </c:chart>
  <c:spPr>
    <a:solidFill>
      <a:srgbClr val="FFFFFF"/>
    </a:solidFill>
    <a:ln w="9360">
      <a:solidFill>
        <a:srgbClr val="D9D9D9"/>
      </a:solidFill>
      <a:round/>
    </a:ln>
  </c:spPr>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barChart>
        <c:barDir val="col"/>
        <c:grouping val="clustered"/>
        <c:varyColors val="0"/>
        <c:ser>
          <c:idx val="0"/>
          <c:order val="0"/>
          <c:tx>
            <c:strRef>
              <c:f>label 0</c:f>
              <c:strCache>
                <c:ptCount val="1"/>
                <c:pt idx="0">
                  <c:v>Nchain</c:v>
                </c:pt>
              </c:strCache>
            </c:strRef>
          </c:tx>
          <c:spPr>
            <a:solidFill>
              <a:srgbClr val="ED7D31">
                <a:alpha val="85000"/>
              </a:srgbClr>
            </a:solidFill>
            <a:ln w="9360">
              <a:solidFill>
                <a:srgbClr val="FFFFFF">
                  <a:alpha val="50000"/>
                </a:srgbClr>
              </a:solidFill>
              <a:round/>
            </a:ln>
          </c:spPr>
          <c:invertIfNegative val="0"/>
          <c:dLbls>
            <c:spPr>
              <a:noFill/>
              <a:ln>
                <a:noFill/>
              </a:ln>
              <a:effectLst/>
            </c:spPr>
            <c:txPr>
              <a:bodyPr/>
              <a:lstStyle/>
              <a:p>
                <a:pPr>
                  <a:defRPr sz="900" b="1" strike="noStrike" spc="-1">
                    <a:solidFill>
                      <a:srgbClr val="FFFFFF"/>
                    </a:solidFill>
                    <a:latin typeface="Calibri"/>
                  </a:defRPr>
                </a:pPr>
                <a:endParaRPr lang="uk-UA"/>
              </a:p>
            </c:txPr>
            <c:dLblPos val="in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1"/>
                <c:pt idx="0">
                  <c:v>1</c:v>
                </c:pt>
              </c:strCache>
            </c:strRef>
          </c:cat>
          <c:val>
            <c:numRef>
              <c:f>0</c:f>
              <c:numCache>
                <c:formatCode>General</c:formatCode>
                <c:ptCount val="1"/>
                <c:pt idx="0">
                  <c:v>126</c:v>
                </c:pt>
              </c:numCache>
            </c:numRef>
          </c:val>
          <c:extLst>
            <c:ext xmlns:c16="http://schemas.microsoft.com/office/drawing/2014/chart" uri="{C3380CC4-5D6E-409C-BE32-E72D297353CC}">
              <c16:uniqueId val="{00000000-7811-4D8F-BEF5-A16287C326C1}"/>
            </c:ext>
          </c:extLst>
        </c:ser>
        <c:ser>
          <c:idx val="1"/>
          <c:order val="1"/>
          <c:tx>
            <c:strRef>
              <c:f>label 1</c:f>
              <c:strCache>
                <c:ptCount val="1"/>
                <c:pt idx="0">
                  <c:v>Bizmodeline</c:v>
                </c:pt>
              </c:strCache>
            </c:strRef>
          </c:tx>
          <c:spPr>
            <a:solidFill>
              <a:srgbClr val="FFC000">
                <a:alpha val="85000"/>
              </a:srgbClr>
            </a:solidFill>
            <a:ln w="9360">
              <a:solidFill>
                <a:srgbClr val="FFFFFF">
                  <a:alpha val="50000"/>
                </a:srgbClr>
              </a:solidFill>
              <a:round/>
            </a:ln>
          </c:spPr>
          <c:invertIfNegative val="0"/>
          <c:dLbls>
            <c:spPr>
              <a:noFill/>
              <a:ln>
                <a:noFill/>
              </a:ln>
              <a:effectLst/>
            </c:spPr>
            <c:txPr>
              <a:bodyPr/>
              <a:lstStyle/>
              <a:p>
                <a:pPr>
                  <a:defRPr sz="900" b="1" strike="noStrike" spc="-1">
                    <a:solidFill>
                      <a:srgbClr val="FFFFFF"/>
                    </a:solidFill>
                    <a:latin typeface="Calibri"/>
                  </a:defRPr>
                </a:pPr>
                <a:endParaRPr lang="uk-UA"/>
              </a:p>
            </c:txPr>
            <c:dLblPos val="in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1"/>
                <c:pt idx="0">
                  <c:v>1</c:v>
                </c:pt>
              </c:strCache>
            </c:strRef>
          </c:cat>
          <c:val>
            <c:numRef>
              <c:f>1</c:f>
              <c:numCache>
                <c:formatCode>General</c:formatCode>
                <c:ptCount val="1"/>
                <c:pt idx="0">
                  <c:v>104</c:v>
                </c:pt>
              </c:numCache>
            </c:numRef>
          </c:val>
          <c:extLst>
            <c:ext xmlns:c16="http://schemas.microsoft.com/office/drawing/2014/chart" uri="{C3380CC4-5D6E-409C-BE32-E72D297353CC}">
              <c16:uniqueId val="{00000001-7811-4D8F-BEF5-A16287C326C1}"/>
            </c:ext>
          </c:extLst>
        </c:ser>
        <c:ser>
          <c:idx val="2"/>
          <c:order val="2"/>
          <c:tx>
            <c:strRef>
              <c:f>label 2</c:f>
              <c:strCache>
                <c:ptCount val="1"/>
                <c:pt idx="0">
                  <c:v>Mastercard</c:v>
                </c:pt>
              </c:strCache>
            </c:strRef>
          </c:tx>
          <c:spPr>
            <a:solidFill>
              <a:srgbClr val="70AD47">
                <a:alpha val="85000"/>
              </a:srgbClr>
            </a:solidFill>
            <a:ln w="9360">
              <a:solidFill>
                <a:srgbClr val="FFFFFF">
                  <a:alpha val="50000"/>
                </a:srgbClr>
              </a:solidFill>
              <a:round/>
            </a:ln>
          </c:spPr>
          <c:invertIfNegative val="0"/>
          <c:dLbls>
            <c:spPr>
              <a:noFill/>
              <a:ln>
                <a:noFill/>
              </a:ln>
              <a:effectLst/>
            </c:spPr>
            <c:txPr>
              <a:bodyPr/>
              <a:lstStyle/>
              <a:p>
                <a:pPr>
                  <a:defRPr sz="900" b="1" strike="noStrike" spc="-1">
                    <a:solidFill>
                      <a:srgbClr val="FFFFFF"/>
                    </a:solidFill>
                    <a:latin typeface="Calibri"/>
                  </a:defRPr>
                </a:pPr>
                <a:endParaRPr lang="uk-UA"/>
              </a:p>
            </c:txPr>
            <c:dLblPos val="in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1"/>
                <c:pt idx="0">
                  <c:v>1</c:v>
                </c:pt>
              </c:strCache>
            </c:strRef>
          </c:cat>
          <c:val>
            <c:numRef>
              <c:f>2</c:f>
              <c:numCache>
                <c:formatCode>General</c:formatCode>
                <c:ptCount val="1"/>
                <c:pt idx="0">
                  <c:v>57</c:v>
                </c:pt>
              </c:numCache>
            </c:numRef>
          </c:val>
          <c:extLst>
            <c:ext xmlns:c16="http://schemas.microsoft.com/office/drawing/2014/chart" uri="{C3380CC4-5D6E-409C-BE32-E72D297353CC}">
              <c16:uniqueId val="{00000002-7811-4D8F-BEF5-A16287C326C1}"/>
            </c:ext>
          </c:extLst>
        </c:ser>
        <c:ser>
          <c:idx val="3"/>
          <c:order val="3"/>
          <c:tx>
            <c:strRef>
              <c:f>label 3</c:f>
              <c:strCache>
                <c:ptCount val="1"/>
                <c:pt idx="0">
                  <c:v>Coinplug</c:v>
                </c:pt>
              </c:strCache>
            </c:strRef>
          </c:tx>
          <c:spPr>
            <a:solidFill>
              <a:srgbClr val="9E480E">
                <a:alpha val="85000"/>
              </a:srgbClr>
            </a:solidFill>
            <a:ln w="9360">
              <a:solidFill>
                <a:srgbClr val="FFFFFF">
                  <a:alpha val="50000"/>
                </a:srgbClr>
              </a:solidFill>
              <a:round/>
            </a:ln>
          </c:spPr>
          <c:invertIfNegative val="0"/>
          <c:dLbls>
            <c:spPr>
              <a:noFill/>
              <a:ln>
                <a:noFill/>
              </a:ln>
              <a:effectLst/>
            </c:spPr>
            <c:txPr>
              <a:bodyPr/>
              <a:lstStyle/>
              <a:p>
                <a:pPr>
                  <a:defRPr sz="900" b="1" strike="noStrike" spc="-1">
                    <a:solidFill>
                      <a:srgbClr val="FFFFFF"/>
                    </a:solidFill>
                    <a:latin typeface="Calibri"/>
                  </a:defRPr>
                </a:pPr>
                <a:endParaRPr lang="uk-UA"/>
              </a:p>
            </c:txPr>
            <c:dLblPos val="in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1"/>
                <c:pt idx="0">
                  <c:v>1</c:v>
                </c:pt>
              </c:strCache>
            </c:strRef>
          </c:cat>
          <c:val>
            <c:numRef>
              <c:f>3</c:f>
              <c:numCache>
                <c:formatCode>General</c:formatCode>
                <c:ptCount val="1"/>
                <c:pt idx="0">
                  <c:v>51</c:v>
                </c:pt>
              </c:numCache>
            </c:numRef>
          </c:val>
          <c:extLst>
            <c:ext xmlns:c16="http://schemas.microsoft.com/office/drawing/2014/chart" uri="{C3380CC4-5D6E-409C-BE32-E72D297353CC}">
              <c16:uniqueId val="{00000003-7811-4D8F-BEF5-A16287C326C1}"/>
            </c:ext>
          </c:extLst>
        </c:ser>
        <c:ser>
          <c:idx val="4"/>
          <c:order val="4"/>
          <c:tx>
            <c:strRef>
              <c:f>label 4</c:f>
              <c:strCache>
                <c:ptCount val="1"/>
                <c:pt idx="0">
                  <c:v>Alibaba</c:v>
                </c:pt>
              </c:strCache>
            </c:strRef>
          </c:tx>
          <c:spPr>
            <a:solidFill>
              <a:srgbClr val="997300">
                <a:alpha val="85000"/>
              </a:srgbClr>
            </a:solidFill>
            <a:ln w="9360">
              <a:solidFill>
                <a:srgbClr val="FFFFFF">
                  <a:alpha val="50000"/>
                </a:srgbClr>
              </a:solidFill>
              <a:round/>
            </a:ln>
          </c:spPr>
          <c:invertIfNegative val="0"/>
          <c:dLbls>
            <c:spPr>
              <a:noFill/>
              <a:ln>
                <a:noFill/>
              </a:ln>
              <a:effectLst/>
            </c:spPr>
            <c:txPr>
              <a:bodyPr/>
              <a:lstStyle/>
              <a:p>
                <a:pPr>
                  <a:defRPr sz="900" b="1" strike="noStrike" spc="-1">
                    <a:solidFill>
                      <a:srgbClr val="FFFFFF"/>
                    </a:solidFill>
                    <a:latin typeface="Calibri"/>
                  </a:defRPr>
                </a:pPr>
                <a:endParaRPr lang="uk-UA"/>
              </a:p>
            </c:txPr>
            <c:dLblPos val="in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1"/>
                <c:pt idx="0">
                  <c:v>1</c:v>
                </c:pt>
              </c:strCache>
            </c:strRef>
          </c:cat>
          <c:val>
            <c:numRef>
              <c:f>4</c:f>
              <c:numCache>
                <c:formatCode>General</c:formatCode>
                <c:ptCount val="1"/>
                <c:pt idx="0">
                  <c:v>34</c:v>
                </c:pt>
              </c:numCache>
            </c:numRef>
          </c:val>
          <c:extLst>
            <c:ext xmlns:c16="http://schemas.microsoft.com/office/drawing/2014/chart" uri="{C3380CC4-5D6E-409C-BE32-E72D297353CC}">
              <c16:uniqueId val="{00000004-7811-4D8F-BEF5-A16287C326C1}"/>
            </c:ext>
          </c:extLst>
        </c:ser>
        <c:ser>
          <c:idx val="5"/>
          <c:order val="5"/>
          <c:tx>
            <c:strRef>
              <c:f>label 5</c:f>
              <c:strCache>
                <c:ptCount val="1"/>
                <c:pt idx="0">
                  <c:v>IBM</c:v>
                </c:pt>
              </c:strCache>
            </c:strRef>
          </c:tx>
          <c:spPr>
            <a:solidFill>
              <a:srgbClr val="43682B">
                <a:alpha val="85000"/>
              </a:srgbClr>
            </a:solidFill>
            <a:ln w="9360">
              <a:solidFill>
                <a:srgbClr val="FFFFFF">
                  <a:alpha val="50000"/>
                </a:srgbClr>
              </a:solidFill>
              <a:round/>
            </a:ln>
          </c:spPr>
          <c:invertIfNegative val="0"/>
          <c:dLbls>
            <c:spPr>
              <a:noFill/>
              <a:ln>
                <a:noFill/>
              </a:ln>
              <a:effectLst/>
            </c:spPr>
            <c:txPr>
              <a:bodyPr/>
              <a:lstStyle/>
              <a:p>
                <a:pPr>
                  <a:defRPr sz="900" b="1" strike="noStrike" spc="-1">
                    <a:solidFill>
                      <a:srgbClr val="FFFFFF"/>
                    </a:solidFill>
                    <a:latin typeface="Calibri"/>
                  </a:defRPr>
                </a:pPr>
                <a:endParaRPr lang="uk-UA"/>
              </a:p>
            </c:txPr>
            <c:dLblPos val="in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1"/>
                <c:pt idx="0">
                  <c:v>1</c:v>
                </c:pt>
              </c:strCache>
            </c:strRef>
          </c:cat>
          <c:val>
            <c:numRef>
              <c:f>5</c:f>
              <c:numCache>
                <c:formatCode>General</c:formatCode>
                <c:ptCount val="1"/>
                <c:pt idx="0">
                  <c:v>19</c:v>
                </c:pt>
              </c:numCache>
            </c:numRef>
          </c:val>
          <c:extLst>
            <c:ext xmlns:c16="http://schemas.microsoft.com/office/drawing/2014/chart" uri="{C3380CC4-5D6E-409C-BE32-E72D297353CC}">
              <c16:uniqueId val="{00000005-7811-4D8F-BEF5-A16287C326C1}"/>
            </c:ext>
          </c:extLst>
        </c:ser>
        <c:dLbls>
          <c:showLegendKey val="0"/>
          <c:showVal val="0"/>
          <c:showCatName val="0"/>
          <c:showSerName val="0"/>
          <c:showPercent val="0"/>
          <c:showBubbleSize val="0"/>
        </c:dLbls>
        <c:gapWidth val="65"/>
        <c:axId val="333270"/>
        <c:axId val="15463426"/>
      </c:barChart>
      <c:catAx>
        <c:axId val="333270"/>
        <c:scaling>
          <c:orientation val="minMax"/>
        </c:scaling>
        <c:delete val="0"/>
        <c:axPos val="b"/>
        <c:numFmt formatCode="General" sourceLinked="1"/>
        <c:majorTickMark val="none"/>
        <c:minorTickMark val="none"/>
        <c:tickLblPos val="nextTo"/>
        <c:spPr>
          <a:ln w="19080">
            <a:solidFill>
              <a:srgbClr val="404040"/>
            </a:solidFill>
            <a:round/>
          </a:ln>
        </c:spPr>
        <c:txPr>
          <a:bodyPr/>
          <a:lstStyle/>
          <a:p>
            <a:pPr>
              <a:defRPr sz="900" b="0" strike="noStrike" spc="-1">
                <a:solidFill>
                  <a:srgbClr val="404040"/>
                </a:solidFill>
                <a:latin typeface="Calibri"/>
              </a:defRPr>
            </a:pPr>
            <a:endParaRPr lang="uk-UA"/>
          </a:p>
        </c:txPr>
        <c:crossAx val="15463426"/>
        <c:crosses val="autoZero"/>
        <c:auto val="1"/>
        <c:lblAlgn val="ctr"/>
        <c:lblOffset val="100"/>
        <c:noMultiLvlLbl val="1"/>
      </c:catAx>
      <c:valAx>
        <c:axId val="15463426"/>
        <c:scaling>
          <c:orientation val="minMax"/>
        </c:scaling>
        <c:delete val="1"/>
        <c:axPos val="l"/>
        <c:title>
          <c:tx>
            <c:rich>
              <a:bodyPr rot="-5400000"/>
              <a:lstStyle/>
              <a:p>
                <a:pPr>
                  <a:defRPr sz="1400" b="0" strike="noStrike" spc="-1">
                    <a:solidFill>
                      <a:srgbClr val="404040"/>
                    </a:solidFill>
                    <a:latin typeface="Times New Roman"/>
                  </a:defRPr>
                </a:pPr>
                <a:r>
                  <a:rPr lang="uk-UA" sz="1400" b="0" strike="noStrike" spc="-1">
                    <a:solidFill>
                      <a:srgbClr val="404040"/>
                    </a:solidFill>
                    <a:latin typeface="Times New Roman"/>
                  </a:rPr>
                  <a:t>КІЛЬКІСТЬ ДОКУМЕНТІВ</a:t>
                </a:r>
              </a:p>
            </c:rich>
          </c:tx>
          <c:overlay val="0"/>
          <c:spPr>
            <a:noFill/>
            <a:ln>
              <a:noFill/>
            </a:ln>
          </c:spPr>
        </c:title>
        <c:numFmt formatCode="General" sourceLinked="0"/>
        <c:majorTickMark val="none"/>
        <c:minorTickMark val="none"/>
        <c:tickLblPos val="nextTo"/>
        <c:crossAx val="333270"/>
        <c:crosses val="autoZero"/>
        <c:crossBetween val="between"/>
      </c:valAx>
      <c:spPr>
        <a:noFill/>
        <a:ln>
          <a:noFill/>
        </a:ln>
      </c:spPr>
    </c:plotArea>
    <c:legend>
      <c:legendPos val="b"/>
      <c:overlay val="0"/>
      <c:spPr>
        <a:solidFill>
          <a:srgbClr val="F2F2F2">
            <a:alpha val="39000"/>
          </a:srgbClr>
        </a:solidFill>
        <a:ln>
          <a:noFill/>
        </a:ln>
      </c:spPr>
      <c:txPr>
        <a:bodyPr/>
        <a:lstStyle/>
        <a:p>
          <a:pPr>
            <a:defRPr sz="900" b="0" strike="noStrike" spc="-1">
              <a:solidFill>
                <a:srgbClr val="404040"/>
              </a:solidFill>
              <a:latin typeface="Calibri"/>
            </a:defRPr>
          </a:pPr>
          <a:endParaRPr lang="uk-UA"/>
        </a:p>
      </c:txPr>
    </c:legend>
    <c:plotVisOnly val="1"/>
    <c:dispBlanksAs val="gap"/>
    <c:showDLblsOverMax val="1"/>
  </c:chart>
  <c:spPr>
    <a:gradFill>
      <a:gsLst>
        <a:gs pos="0">
          <a:srgbClr val="FFFFFF"/>
        </a:gs>
        <a:gs pos="100000">
          <a:srgbClr val="BFBFBF"/>
        </a:gs>
      </a:gsLst>
      <a:path path="circle">
        <a:fillToRect l="50000" t="10000" r="50000" b="90000"/>
      </a:path>
    </a:gradFill>
    <a:ln w="9360">
      <a:solidFill>
        <a:srgbClr val="BFBFBF"/>
      </a:solidFill>
      <a:round/>
    </a:ln>
  </c:spPr>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pieChart>
        <c:varyColors val="1"/>
        <c:ser>
          <c:idx val="0"/>
          <c:order val="0"/>
          <c:tx>
            <c:strRef>
              <c:f>label 0</c:f>
              <c:strCache>
                <c:ptCount val="1"/>
                <c:pt idx="0">
                  <c:v>Безымянные ряды 1</c:v>
                </c:pt>
              </c:strCache>
            </c:strRef>
          </c:tx>
          <c:spPr>
            <a:solidFill>
              <a:srgbClr val="5B9BD5"/>
            </a:solidFill>
            <a:ln>
              <a:noFill/>
            </a:ln>
          </c:spPr>
          <c:dPt>
            <c:idx val="0"/>
            <c:bubble3D val="0"/>
            <c:extLst>
              <c:ext xmlns:c16="http://schemas.microsoft.com/office/drawing/2014/chart" uri="{C3380CC4-5D6E-409C-BE32-E72D297353CC}">
                <c16:uniqueId val="{00000001-0FF4-4A21-97A5-5C2FC2634BA5}"/>
              </c:ext>
            </c:extLst>
          </c:dPt>
          <c:dPt>
            <c:idx val="1"/>
            <c:bubble3D val="0"/>
            <c:spPr>
              <a:solidFill>
                <a:srgbClr val="ED7D31"/>
              </a:solidFill>
              <a:ln>
                <a:noFill/>
              </a:ln>
            </c:spPr>
            <c:extLst>
              <c:ext xmlns:c16="http://schemas.microsoft.com/office/drawing/2014/chart" uri="{C3380CC4-5D6E-409C-BE32-E72D297353CC}">
                <c16:uniqueId val="{00000003-0FF4-4A21-97A5-5C2FC2634BA5}"/>
              </c:ext>
            </c:extLst>
          </c:dPt>
          <c:dPt>
            <c:idx val="2"/>
            <c:bubble3D val="0"/>
            <c:spPr>
              <a:solidFill>
                <a:srgbClr val="A5A5A5"/>
              </a:solidFill>
              <a:ln>
                <a:noFill/>
              </a:ln>
            </c:spPr>
            <c:extLst>
              <c:ext xmlns:c16="http://schemas.microsoft.com/office/drawing/2014/chart" uri="{C3380CC4-5D6E-409C-BE32-E72D297353CC}">
                <c16:uniqueId val="{00000005-0FF4-4A21-97A5-5C2FC2634BA5}"/>
              </c:ext>
            </c:extLst>
          </c:dPt>
          <c:dPt>
            <c:idx val="3"/>
            <c:bubble3D val="0"/>
            <c:spPr>
              <a:solidFill>
                <a:srgbClr val="FFC000"/>
              </a:solidFill>
              <a:ln>
                <a:noFill/>
              </a:ln>
            </c:spPr>
            <c:extLst>
              <c:ext xmlns:c16="http://schemas.microsoft.com/office/drawing/2014/chart" uri="{C3380CC4-5D6E-409C-BE32-E72D297353CC}">
                <c16:uniqueId val="{00000007-0FF4-4A21-97A5-5C2FC2634BA5}"/>
              </c:ext>
            </c:extLst>
          </c:dPt>
          <c:dPt>
            <c:idx val="4"/>
            <c:bubble3D val="0"/>
            <c:spPr>
              <a:solidFill>
                <a:srgbClr val="4472C4"/>
              </a:solidFill>
              <a:ln>
                <a:noFill/>
              </a:ln>
            </c:spPr>
            <c:extLst>
              <c:ext xmlns:c16="http://schemas.microsoft.com/office/drawing/2014/chart" uri="{C3380CC4-5D6E-409C-BE32-E72D297353CC}">
                <c16:uniqueId val="{00000009-0FF4-4A21-97A5-5C2FC2634BA5}"/>
              </c:ext>
            </c:extLst>
          </c:dPt>
          <c:dLbls>
            <c:dLbl>
              <c:idx val="0"/>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0FF4-4A21-97A5-5C2FC2634BA5}"/>
                </c:ext>
              </c:extLst>
            </c:dLbl>
            <c:dLbl>
              <c:idx val="1"/>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0FF4-4A21-97A5-5C2FC2634BA5}"/>
                </c:ext>
              </c:extLst>
            </c:dLbl>
            <c:dLbl>
              <c:idx val="2"/>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5-0FF4-4A21-97A5-5C2FC2634BA5}"/>
                </c:ext>
              </c:extLst>
            </c:dLbl>
            <c:dLbl>
              <c:idx val="3"/>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7-0FF4-4A21-97A5-5C2FC2634BA5}"/>
                </c:ext>
              </c:extLst>
            </c:dLbl>
            <c:dLbl>
              <c:idx val="4"/>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9-0FF4-4A21-97A5-5C2FC2634BA5}"/>
                </c:ext>
              </c:extLst>
            </c:dLbl>
            <c:spPr>
              <a:noFill/>
              <a:ln>
                <a:noFill/>
              </a:ln>
              <a:effectLst/>
            </c:spPr>
            <c:txPr>
              <a:bodyPr/>
              <a:lstStyle/>
              <a:p>
                <a:pPr>
                  <a:defRPr sz="1000" b="1" strike="noStrike" spc="-1">
                    <a:solidFill>
                      <a:srgbClr val="FFFFFF"/>
                    </a:solidFill>
                    <a:latin typeface="Calibri"/>
                  </a:defRPr>
                </a:pPr>
                <a:endParaRPr lang="uk-UA"/>
              </a:p>
            </c:txPr>
            <c:dLblPos val="ctr"/>
            <c:showLegendKey val="0"/>
            <c:showVal val="0"/>
            <c:showCatName val="0"/>
            <c:showSerName val="0"/>
            <c:showPercent val="1"/>
            <c:showBubbleSize val="1"/>
            <c:separator>
</c:separator>
            <c:showLeaderLines val="0"/>
            <c:extLst>
              <c:ext xmlns:c15="http://schemas.microsoft.com/office/drawing/2012/chart" uri="{CE6537A1-D6FC-4f65-9D91-7224C49458BB}"/>
            </c:extLst>
          </c:dLbls>
          <c:cat>
            <c:strRef>
              <c:f>categories</c:f>
              <c:strCache>
                <c:ptCount val="5"/>
                <c:pt idx="0">
                  <c:v>Blockchain Application</c:v>
                </c:pt>
                <c:pt idx="1">
                  <c:v>Blockchain Authentication</c:v>
                </c:pt>
                <c:pt idx="2">
                  <c:v>Blockchain Consensus Methods</c:v>
                </c:pt>
                <c:pt idx="3">
                  <c:v>Blockchain Platform</c:v>
                </c:pt>
                <c:pt idx="4">
                  <c:v>Blockchain Algorithm</c:v>
                </c:pt>
              </c:strCache>
            </c:strRef>
          </c:cat>
          <c:val>
            <c:numRef>
              <c:f>0</c:f>
              <c:numCache>
                <c:formatCode>General</c:formatCode>
                <c:ptCount val="5"/>
                <c:pt idx="0">
                  <c:v>779</c:v>
                </c:pt>
                <c:pt idx="1">
                  <c:v>567</c:v>
                </c:pt>
                <c:pt idx="2">
                  <c:v>437</c:v>
                </c:pt>
                <c:pt idx="3">
                  <c:v>423</c:v>
                </c:pt>
                <c:pt idx="4">
                  <c:v>342</c:v>
                </c:pt>
              </c:numCache>
            </c:numRef>
          </c:val>
          <c:extLst>
            <c:ext xmlns:c16="http://schemas.microsoft.com/office/drawing/2014/chart" uri="{C3380CC4-5D6E-409C-BE32-E72D297353CC}">
              <c16:uniqueId val="{0000000A-0FF4-4A21-97A5-5C2FC2634BA5}"/>
            </c:ext>
          </c:extLst>
        </c:ser>
        <c:dLbls>
          <c:showLegendKey val="0"/>
          <c:showVal val="0"/>
          <c:showCatName val="0"/>
          <c:showSerName val="0"/>
          <c:showPercent val="0"/>
          <c:showBubbleSize val="0"/>
          <c:showLeaderLines val="0"/>
        </c:dLbls>
        <c:firstSliceAng val="0"/>
      </c:pieChart>
      <c:spPr>
        <a:noFill/>
        <a:ln>
          <a:noFill/>
        </a:ln>
      </c:spPr>
    </c:plotArea>
    <c:legend>
      <c:legendPos val="b"/>
      <c:overlay val="0"/>
      <c:spPr>
        <a:solidFill>
          <a:srgbClr val="F2F2F2">
            <a:alpha val="39000"/>
          </a:srgbClr>
        </a:solidFill>
        <a:ln>
          <a:noFill/>
        </a:ln>
      </c:spPr>
      <c:txPr>
        <a:bodyPr/>
        <a:lstStyle/>
        <a:p>
          <a:pPr>
            <a:defRPr sz="900" b="0" strike="noStrike" spc="-1">
              <a:solidFill>
                <a:srgbClr val="404040"/>
              </a:solidFill>
              <a:latin typeface="Calibri"/>
            </a:defRPr>
          </a:pPr>
          <a:endParaRPr lang="uk-UA"/>
        </a:p>
      </c:txPr>
    </c:legend>
    <c:plotVisOnly val="1"/>
    <c:dispBlanksAs val="gap"/>
    <c:showDLblsOverMax val="1"/>
  </c:chart>
  <c:spPr>
    <a:gradFill>
      <a:gsLst>
        <a:gs pos="0">
          <a:srgbClr val="FFFFFF"/>
        </a:gs>
        <a:gs pos="100000">
          <a:srgbClr val="BFBFBF"/>
        </a:gs>
      </a:gsLst>
      <a:path path="circle">
        <a:fillToRect l="50000" t="10000" r="50000" b="90000"/>
      </a:path>
    </a:gradFill>
    <a:ln w="9360">
      <a:solidFill>
        <a:srgbClr val="BFBFBF"/>
      </a:solidFill>
      <a:round/>
    </a:ln>
  </c:spPr>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55D7D3-0514-45F6-8C6F-48D8EDCDD52C}" type="doc">
      <dgm:prSet loTypeId="urn:microsoft.com/office/officeart/2005/8/layout/process2" loCatId="process" qsTypeId="urn:microsoft.com/office/officeart/2005/8/quickstyle/simple1" qsCatId="simple" csTypeId="urn:microsoft.com/office/officeart/2005/8/colors/accent1_2" csCatId="accent1" phldr="1"/>
      <dgm:spPr/>
    </dgm:pt>
    <dgm:pt modelId="{A417BE9F-C060-493D-91E2-EBEFE022E1ED}">
      <dgm:prSet phldrT="[Текст]" custT="1"/>
      <dgm:spPr/>
      <dgm:t>
        <a:bodyPr/>
        <a:lstStyle/>
        <a:p>
          <a:r>
            <a:rPr lang="uk-UA" sz="1400"/>
            <a:t>Технологічний</a:t>
          </a:r>
          <a:r>
            <a:rPr lang="uk-UA" sz="800"/>
            <a:t> </a:t>
          </a:r>
          <a:r>
            <a:rPr lang="uk-UA" sz="1400"/>
            <a:t>аудит</a:t>
          </a:r>
          <a:endParaRPr lang="ru-RU" sz="1400"/>
        </a:p>
      </dgm:t>
    </dgm:pt>
    <dgm:pt modelId="{C0E671FE-C972-433B-8602-9D60F196A1A7}" type="parTrans" cxnId="{4E94192D-40DD-43CB-8B12-27B11AA60872}">
      <dgm:prSet/>
      <dgm:spPr/>
      <dgm:t>
        <a:bodyPr/>
        <a:lstStyle/>
        <a:p>
          <a:endParaRPr lang="ru-RU"/>
        </a:p>
      </dgm:t>
    </dgm:pt>
    <dgm:pt modelId="{A4D906EC-27B8-40ED-84A0-03D04FF954CC}" type="sibTrans" cxnId="{4E94192D-40DD-43CB-8B12-27B11AA60872}">
      <dgm:prSet/>
      <dgm:spPr/>
      <dgm:t>
        <a:bodyPr/>
        <a:lstStyle/>
        <a:p>
          <a:endParaRPr lang="ru-RU"/>
        </a:p>
      </dgm:t>
    </dgm:pt>
    <dgm:pt modelId="{0F2B8988-C054-417A-994E-FBD66A4014A7}">
      <dgm:prSet phldrT="[Текст]" custT="1"/>
      <dgm:spPr/>
      <dgm:t>
        <a:bodyPr/>
        <a:lstStyle/>
        <a:p>
          <a:r>
            <a:rPr lang="uk-UA" sz="1400"/>
            <a:t>Маркетингові дослідження</a:t>
          </a:r>
        </a:p>
        <a:p>
          <a:endParaRPr lang="ru-RU" sz="800"/>
        </a:p>
      </dgm:t>
    </dgm:pt>
    <dgm:pt modelId="{C5E9C0CF-FB0B-437E-A2AC-C27441A4B866}" type="parTrans" cxnId="{3D1F4F5E-E32D-4BF8-B7AC-31F4DC0C4BCA}">
      <dgm:prSet/>
      <dgm:spPr/>
      <dgm:t>
        <a:bodyPr/>
        <a:lstStyle/>
        <a:p>
          <a:endParaRPr lang="ru-RU"/>
        </a:p>
      </dgm:t>
    </dgm:pt>
    <dgm:pt modelId="{34780C63-A8F9-4640-9E44-B416E7F42111}" type="sibTrans" cxnId="{3D1F4F5E-E32D-4BF8-B7AC-31F4DC0C4BCA}">
      <dgm:prSet/>
      <dgm:spPr/>
      <dgm:t>
        <a:bodyPr/>
        <a:lstStyle/>
        <a:p>
          <a:endParaRPr lang="ru-RU"/>
        </a:p>
      </dgm:t>
    </dgm:pt>
    <dgm:pt modelId="{92DD543A-0181-4A50-959D-8F9BCB0875CC}">
      <dgm:prSet custT="1"/>
      <dgm:spPr/>
      <dgm:t>
        <a:bodyPr/>
        <a:lstStyle/>
        <a:p>
          <a:r>
            <a:rPr lang="uk-UA" sz="1400"/>
            <a:t>Економічний аудит</a:t>
          </a:r>
          <a:endParaRPr lang="ru-RU" sz="1400"/>
        </a:p>
      </dgm:t>
    </dgm:pt>
    <dgm:pt modelId="{0A225FAD-5A15-4E58-8A38-4371CD5C6569}" type="parTrans" cxnId="{34B3E890-F81F-4D55-B381-719B661AE3C9}">
      <dgm:prSet/>
      <dgm:spPr/>
      <dgm:t>
        <a:bodyPr/>
        <a:lstStyle/>
        <a:p>
          <a:endParaRPr lang="ru-RU"/>
        </a:p>
      </dgm:t>
    </dgm:pt>
    <dgm:pt modelId="{CA404C03-FC97-484F-B6AC-97603495E83A}" type="sibTrans" cxnId="{34B3E890-F81F-4D55-B381-719B661AE3C9}">
      <dgm:prSet/>
      <dgm:spPr/>
      <dgm:t>
        <a:bodyPr/>
        <a:lstStyle/>
        <a:p>
          <a:endParaRPr lang="ru-RU"/>
        </a:p>
      </dgm:t>
    </dgm:pt>
    <dgm:pt modelId="{BC4A6E91-4C79-4A20-9102-9223EDD4D142}">
      <dgm:prSet custT="1"/>
      <dgm:spPr/>
      <dgm:t>
        <a:bodyPr/>
        <a:lstStyle/>
        <a:p>
          <a:pPr algn="ctr"/>
          <a:r>
            <a:rPr lang="uk-UA" sz="1400"/>
            <a:t>Заявка на отримання охоронного документу</a:t>
          </a:r>
          <a:endParaRPr lang="ru-RU" sz="1400"/>
        </a:p>
      </dgm:t>
    </dgm:pt>
    <dgm:pt modelId="{06B0D219-24B0-4884-B15B-2BA198D6E04E}" type="parTrans" cxnId="{8C6788EA-B01F-4048-87FC-82F14BDB8728}">
      <dgm:prSet/>
      <dgm:spPr/>
      <dgm:t>
        <a:bodyPr/>
        <a:lstStyle/>
        <a:p>
          <a:endParaRPr lang="ru-RU"/>
        </a:p>
      </dgm:t>
    </dgm:pt>
    <dgm:pt modelId="{708CDBD6-6A6D-4536-BB85-22F831800180}" type="sibTrans" cxnId="{8C6788EA-B01F-4048-87FC-82F14BDB8728}">
      <dgm:prSet/>
      <dgm:spPr/>
      <dgm:t>
        <a:bodyPr/>
        <a:lstStyle/>
        <a:p>
          <a:endParaRPr lang="ru-RU"/>
        </a:p>
      </dgm:t>
    </dgm:pt>
    <dgm:pt modelId="{460DE7A1-0633-423D-AC1A-CE61E96A400A}">
      <dgm:prSet custT="1"/>
      <dgm:spPr/>
      <dgm:t>
        <a:bodyPr/>
        <a:lstStyle/>
        <a:p>
          <a:r>
            <a:rPr lang="uk-UA" sz="1400"/>
            <a:t>Просування власної розробки гна ринок</a:t>
          </a:r>
          <a:endParaRPr lang="ru-RU" sz="1400"/>
        </a:p>
      </dgm:t>
    </dgm:pt>
    <dgm:pt modelId="{2EE77072-B440-438E-A28F-8FDBB2C403B3}" type="parTrans" cxnId="{4A45AFA8-5AFC-4741-99C8-6A41DE9BEC68}">
      <dgm:prSet/>
      <dgm:spPr/>
      <dgm:t>
        <a:bodyPr/>
        <a:lstStyle/>
        <a:p>
          <a:endParaRPr lang="ru-RU"/>
        </a:p>
      </dgm:t>
    </dgm:pt>
    <dgm:pt modelId="{DC511792-9D01-4DB6-A6A9-4B8FC39D4267}" type="sibTrans" cxnId="{4A45AFA8-5AFC-4741-99C8-6A41DE9BEC68}">
      <dgm:prSet/>
      <dgm:spPr/>
      <dgm:t>
        <a:bodyPr/>
        <a:lstStyle/>
        <a:p>
          <a:endParaRPr lang="ru-RU"/>
        </a:p>
      </dgm:t>
    </dgm:pt>
    <dgm:pt modelId="{F9DB381B-835F-4005-8393-29D8D5A19F32}">
      <dgm:prSet custT="1"/>
      <dgm:spPr/>
      <dgm:t>
        <a:bodyPr/>
        <a:lstStyle/>
        <a:p>
          <a:r>
            <a:rPr lang="uk-UA" sz="1400"/>
            <a:t>Укладання договорів</a:t>
          </a:r>
          <a:endParaRPr lang="ru-RU" sz="1400"/>
        </a:p>
      </dgm:t>
    </dgm:pt>
    <dgm:pt modelId="{E4BE8C41-8631-4264-BC92-D1CCB2B93C30}" type="parTrans" cxnId="{ABD9C897-4546-4BEF-9CBF-A10D007BE2B1}">
      <dgm:prSet/>
      <dgm:spPr/>
      <dgm:t>
        <a:bodyPr/>
        <a:lstStyle/>
        <a:p>
          <a:endParaRPr lang="ru-RU"/>
        </a:p>
      </dgm:t>
    </dgm:pt>
    <dgm:pt modelId="{A579C816-8763-466C-B358-7CA291AB5952}" type="sibTrans" cxnId="{ABD9C897-4546-4BEF-9CBF-A10D007BE2B1}">
      <dgm:prSet/>
      <dgm:spPr/>
      <dgm:t>
        <a:bodyPr/>
        <a:lstStyle/>
        <a:p>
          <a:endParaRPr lang="ru-RU"/>
        </a:p>
      </dgm:t>
    </dgm:pt>
    <dgm:pt modelId="{4E68E478-0C07-4B05-8B64-31BAE41AEB29}" type="pres">
      <dgm:prSet presAssocID="{7555D7D3-0514-45F6-8C6F-48D8EDCDD52C}" presName="linearFlow" presStyleCnt="0">
        <dgm:presLayoutVars>
          <dgm:resizeHandles val="exact"/>
        </dgm:presLayoutVars>
      </dgm:prSet>
      <dgm:spPr/>
    </dgm:pt>
    <dgm:pt modelId="{83FD4AF8-A5CB-4463-BA6E-343E4D3EC2F4}" type="pres">
      <dgm:prSet presAssocID="{A417BE9F-C060-493D-91E2-EBEFE022E1ED}" presName="node" presStyleLbl="node1" presStyleIdx="0" presStyleCnt="6" custScaleX="240115">
        <dgm:presLayoutVars>
          <dgm:bulletEnabled val="1"/>
        </dgm:presLayoutVars>
      </dgm:prSet>
      <dgm:spPr/>
      <dgm:t>
        <a:bodyPr/>
        <a:lstStyle/>
        <a:p>
          <a:endParaRPr lang="ru-RU"/>
        </a:p>
      </dgm:t>
    </dgm:pt>
    <dgm:pt modelId="{021B0024-6CB3-4BBA-A491-89F2FB255BC1}" type="pres">
      <dgm:prSet presAssocID="{A4D906EC-27B8-40ED-84A0-03D04FF954CC}" presName="sibTrans" presStyleLbl="sibTrans2D1" presStyleIdx="0" presStyleCnt="5"/>
      <dgm:spPr/>
      <dgm:t>
        <a:bodyPr/>
        <a:lstStyle/>
        <a:p>
          <a:endParaRPr lang="ru-RU"/>
        </a:p>
      </dgm:t>
    </dgm:pt>
    <dgm:pt modelId="{764FFA3B-452D-45A0-93E7-1931155970F0}" type="pres">
      <dgm:prSet presAssocID="{A4D906EC-27B8-40ED-84A0-03D04FF954CC}" presName="connectorText" presStyleLbl="sibTrans2D1" presStyleIdx="0" presStyleCnt="5"/>
      <dgm:spPr/>
      <dgm:t>
        <a:bodyPr/>
        <a:lstStyle/>
        <a:p>
          <a:endParaRPr lang="ru-RU"/>
        </a:p>
      </dgm:t>
    </dgm:pt>
    <dgm:pt modelId="{16AD568B-4AF5-4EEB-A162-32FD0505DD82}" type="pres">
      <dgm:prSet presAssocID="{0F2B8988-C054-417A-994E-FBD66A4014A7}" presName="node" presStyleLbl="node1" presStyleIdx="1" presStyleCnt="6" custScaleX="241611">
        <dgm:presLayoutVars>
          <dgm:bulletEnabled val="1"/>
        </dgm:presLayoutVars>
      </dgm:prSet>
      <dgm:spPr/>
      <dgm:t>
        <a:bodyPr/>
        <a:lstStyle/>
        <a:p>
          <a:endParaRPr lang="ru-RU"/>
        </a:p>
      </dgm:t>
    </dgm:pt>
    <dgm:pt modelId="{5B3D4E5F-086F-4AA7-97D7-92CDB3DC8C98}" type="pres">
      <dgm:prSet presAssocID="{34780C63-A8F9-4640-9E44-B416E7F42111}" presName="sibTrans" presStyleLbl="sibTrans2D1" presStyleIdx="1" presStyleCnt="5"/>
      <dgm:spPr/>
      <dgm:t>
        <a:bodyPr/>
        <a:lstStyle/>
        <a:p>
          <a:endParaRPr lang="ru-RU"/>
        </a:p>
      </dgm:t>
    </dgm:pt>
    <dgm:pt modelId="{375A9285-E3CA-4321-A8C7-E53CFF430E1D}" type="pres">
      <dgm:prSet presAssocID="{34780C63-A8F9-4640-9E44-B416E7F42111}" presName="connectorText" presStyleLbl="sibTrans2D1" presStyleIdx="1" presStyleCnt="5"/>
      <dgm:spPr/>
      <dgm:t>
        <a:bodyPr/>
        <a:lstStyle/>
        <a:p>
          <a:endParaRPr lang="ru-RU"/>
        </a:p>
      </dgm:t>
    </dgm:pt>
    <dgm:pt modelId="{9E6C89D9-F9A8-42FB-9AA9-3D754F20D169}" type="pres">
      <dgm:prSet presAssocID="{92DD543A-0181-4A50-959D-8F9BCB0875CC}" presName="node" presStyleLbl="node1" presStyleIdx="2" presStyleCnt="6" custScaleX="238619">
        <dgm:presLayoutVars>
          <dgm:bulletEnabled val="1"/>
        </dgm:presLayoutVars>
      </dgm:prSet>
      <dgm:spPr/>
      <dgm:t>
        <a:bodyPr/>
        <a:lstStyle/>
        <a:p>
          <a:endParaRPr lang="ru-RU"/>
        </a:p>
      </dgm:t>
    </dgm:pt>
    <dgm:pt modelId="{9C2D2F54-2479-45A2-998C-854D1EC8AA4A}" type="pres">
      <dgm:prSet presAssocID="{CA404C03-FC97-484F-B6AC-97603495E83A}" presName="sibTrans" presStyleLbl="sibTrans2D1" presStyleIdx="2" presStyleCnt="5"/>
      <dgm:spPr/>
      <dgm:t>
        <a:bodyPr/>
        <a:lstStyle/>
        <a:p>
          <a:endParaRPr lang="ru-RU"/>
        </a:p>
      </dgm:t>
    </dgm:pt>
    <dgm:pt modelId="{3D731A73-9FE2-4AD4-9EB0-5A2AE23B3A5C}" type="pres">
      <dgm:prSet presAssocID="{CA404C03-FC97-484F-B6AC-97603495E83A}" presName="connectorText" presStyleLbl="sibTrans2D1" presStyleIdx="2" presStyleCnt="5"/>
      <dgm:spPr/>
      <dgm:t>
        <a:bodyPr/>
        <a:lstStyle/>
        <a:p>
          <a:endParaRPr lang="ru-RU"/>
        </a:p>
      </dgm:t>
    </dgm:pt>
    <dgm:pt modelId="{DFFDD308-A5E5-41C8-A11C-FA66CFEFEF3D}" type="pres">
      <dgm:prSet presAssocID="{BC4A6E91-4C79-4A20-9102-9223EDD4D142}" presName="node" presStyleLbl="node1" presStyleIdx="3" presStyleCnt="6" custScaleX="237123">
        <dgm:presLayoutVars>
          <dgm:bulletEnabled val="1"/>
        </dgm:presLayoutVars>
      </dgm:prSet>
      <dgm:spPr/>
      <dgm:t>
        <a:bodyPr/>
        <a:lstStyle/>
        <a:p>
          <a:endParaRPr lang="ru-RU"/>
        </a:p>
      </dgm:t>
    </dgm:pt>
    <dgm:pt modelId="{C17F67F5-2D79-4D97-9AC4-E3E339D74F3B}" type="pres">
      <dgm:prSet presAssocID="{708CDBD6-6A6D-4536-BB85-22F831800180}" presName="sibTrans" presStyleLbl="sibTrans2D1" presStyleIdx="3" presStyleCnt="5"/>
      <dgm:spPr/>
      <dgm:t>
        <a:bodyPr/>
        <a:lstStyle/>
        <a:p>
          <a:endParaRPr lang="ru-RU"/>
        </a:p>
      </dgm:t>
    </dgm:pt>
    <dgm:pt modelId="{8C134AC8-3E94-4B43-A7A8-08AC3C355FD3}" type="pres">
      <dgm:prSet presAssocID="{708CDBD6-6A6D-4536-BB85-22F831800180}" presName="connectorText" presStyleLbl="sibTrans2D1" presStyleIdx="3" presStyleCnt="5"/>
      <dgm:spPr/>
      <dgm:t>
        <a:bodyPr/>
        <a:lstStyle/>
        <a:p>
          <a:endParaRPr lang="ru-RU"/>
        </a:p>
      </dgm:t>
    </dgm:pt>
    <dgm:pt modelId="{ECC0458D-B884-4BE1-A377-2CE6A2738C7E}" type="pres">
      <dgm:prSet presAssocID="{460DE7A1-0633-423D-AC1A-CE61E96A400A}" presName="node" presStyleLbl="node1" presStyleIdx="4" presStyleCnt="6" custScaleX="234131">
        <dgm:presLayoutVars>
          <dgm:bulletEnabled val="1"/>
        </dgm:presLayoutVars>
      </dgm:prSet>
      <dgm:spPr/>
      <dgm:t>
        <a:bodyPr/>
        <a:lstStyle/>
        <a:p>
          <a:endParaRPr lang="ru-RU"/>
        </a:p>
      </dgm:t>
    </dgm:pt>
    <dgm:pt modelId="{0DAA3880-38DD-4FAB-98D6-756D9A364AD0}" type="pres">
      <dgm:prSet presAssocID="{DC511792-9D01-4DB6-A6A9-4B8FC39D4267}" presName="sibTrans" presStyleLbl="sibTrans2D1" presStyleIdx="4" presStyleCnt="5"/>
      <dgm:spPr/>
      <dgm:t>
        <a:bodyPr/>
        <a:lstStyle/>
        <a:p>
          <a:endParaRPr lang="ru-RU"/>
        </a:p>
      </dgm:t>
    </dgm:pt>
    <dgm:pt modelId="{0B9C6B13-423B-44A5-925F-9C793AF0B7D5}" type="pres">
      <dgm:prSet presAssocID="{DC511792-9D01-4DB6-A6A9-4B8FC39D4267}" presName="connectorText" presStyleLbl="sibTrans2D1" presStyleIdx="4" presStyleCnt="5"/>
      <dgm:spPr/>
      <dgm:t>
        <a:bodyPr/>
        <a:lstStyle/>
        <a:p>
          <a:endParaRPr lang="ru-RU"/>
        </a:p>
      </dgm:t>
    </dgm:pt>
    <dgm:pt modelId="{E16CAB2E-3AD6-479A-A377-3C79B7F87B7D}" type="pres">
      <dgm:prSet presAssocID="{F9DB381B-835F-4005-8393-29D8D5A19F32}" presName="node" presStyleLbl="node1" presStyleIdx="5" presStyleCnt="6" custScaleX="235627">
        <dgm:presLayoutVars>
          <dgm:bulletEnabled val="1"/>
        </dgm:presLayoutVars>
      </dgm:prSet>
      <dgm:spPr/>
      <dgm:t>
        <a:bodyPr/>
        <a:lstStyle/>
        <a:p>
          <a:endParaRPr lang="ru-RU"/>
        </a:p>
      </dgm:t>
    </dgm:pt>
  </dgm:ptLst>
  <dgm:cxnLst>
    <dgm:cxn modelId="{77BF359B-CA79-4542-99DB-045755DB4242}" type="presOf" srcId="{34780C63-A8F9-4640-9E44-B416E7F42111}" destId="{5B3D4E5F-086F-4AA7-97D7-92CDB3DC8C98}" srcOrd="0" destOrd="0" presId="urn:microsoft.com/office/officeart/2005/8/layout/process2"/>
    <dgm:cxn modelId="{4A45AFA8-5AFC-4741-99C8-6A41DE9BEC68}" srcId="{7555D7D3-0514-45F6-8C6F-48D8EDCDD52C}" destId="{460DE7A1-0633-423D-AC1A-CE61E96A400A}" srcOrd="4" destOrd="0" parTransId="{2EE77072-B440-438E-A28F-8FDBB2C403B3}" sibTransId="{DC511792-9D01-4DB6-A6A9-4B8FC39D4267}"/>
    <dgm:cxn modelId="{359F49B8-9AF3-4BA9-8656-8B125C9E2E23}" type="presOf" srcId="{CA404C03-FC97-484F-B6AC-97603495E83A}" destId="{3D731A73-9FE2-4AD4-9EB0-5A2AE23B3A5C}" srcOrd="1" destOrd="0" presId="urn:microsoft.com/office/officeart/2005/8/layout/process2"/>
    <dgm:cxn modelId="{8C6788EA-B01F-4048-87FC-82F14BDB8728}" srcId="{7555D7D3-0514-45F6-8C6F-48D8EDCDD52C}" destId="{BC4A6E91-4C79-4A20-9102-9223EDD4D142}" srcOrd="3" destOrd="0" parTransId="{06B0D219-24B0-4884-B15B-2BA198D6E04E}" sibTransId="{708CDBD6-6A6D-4536-BB85-22F831800180}"/>
    <dgm:cxn modelId="{384B47C9-15D7-4130-8BD6-115122DE1552}" type="presOf" srcId="{92DD543A-0181-4A50-959D-8F9BCB0875CC}" destId="{9E6C89D9-F9A8-42FB-9AA9-3D754F20D169}" srcOrd="0" destOrd="0" presId="urn:microsoft.com/office/officeart/2005/8/layout/process2"/>
    <dgm:cxn modelId="{16613410-922C-4D7A-93B4-6CEA3226B17B}" type="presOf" srcId="{DC511792-9D01-4DB6-A6A9-4B8FC39D4267}" destId="{0B9C6B13-423B-44A5-925F-9C793AF0B7D5}" srcOrd="1" destOrd="0" presId="urn:microsoft.com/office/officeart/2005/8/layout/process2"/>
    <dgm:cxn modelId="{5ECC1A26-6FDD-4215-9B6D-DEF7528DFFC2}" type="presOf" srcId="{708CDBD6-6A6D-4536-BB85-22F831800180}" destId="{8C134AC8-3E94-4B43-A7A8-08AC3C355FD3}" srcOrd="1" destOrd="0" presId="urn:microsoft.com/office/officeart/2005/8/layout/process2"/>
    <dgm:cxn modelId="{9A9C6360-E246-4821-A965-C00C2EA71A85}" type="presOf" srcId="{0F2B8988-C054-417A-994E-FBD66A4014A7}" destId="{16AD568B-4AF5-4EEB-A162-32FD0505DD82}" srcOrd="0" destOrd="0" presId="urn:microsoft.com/office/officeart/2005/8/layout/process2"/>
    <dgm:cxn modelId="{F1C49387-782B-439D-B693-4EC5D51AE9D7}" type="presOf" srcId="{A4D906EC-27B8-40ED-84A0-03D04FF954CC}" destId="{764FFA3B-452D-45A0-93E7-1931155970F0}" srcOrd="1" destOrd="0" presId="urn:microsoft.com/office/officeart/2005/8/layout/process2"/>
    <dgm:cxn modelId="{9241915E-4B56-48B1-9B13-CA323A28B49A}" type="presOf" srcId="{A417BE9F-C060-493D-91E2-EBEFE022E1ED}" destId="{83FD4AF8-A5CB-4463-BA6E-343E4D3EC2F4}" srcOrd="0" destOrd="0" presId="urn:microsoft.com/office/officeart/2005/8/layout/process2"/>
    <dgm:cxn modelId="{8A8B2867-F099-4975-978B-9F2C1DCBA132}" type="presOf" srcId="{7555D7D3-0514-45F6-8C6F-48D8EDCDD52C}" destId="{4E68E478-0C07-4B05-8B64-31BAE41AEB29}" srcOrd="0" destOrd="0" presId="urn:microsoft.com/office/officeart/2005/8/layout/process2"/>
    <dgm:cxn modelId="{ABD9C897-4546-4BEF-9CBF-A10D007BE2B1}" srcId="{7555D7D3-0514-45F6-8C6F-48D8EDCDD52C}" destId="{F9DB381B-835F-4005-8393-29D8D5A19F32}" srcOrd="5" destOrd="0" parTransId="{E4BE8C41-8631-4264-BC92-D1CCB2B93C30}" sibTransId="{A579C816-8763-466C-B358-7CA291AB5952}"/>
    <dgm:cxn modelId="{B79D9714-8520-4C32-9F73-B52AE213FC3A}" type="presOf" srcId="{DC511792-9D01-4DB6-A6A9-4B8FC39D4267}" destId="{0DAA3880-38DD-4FAB-98D6-756D9A364AD0}" srcOrd="0" destOrd="0" presId="urn:microsoft.com/office/officeart/2005/8/layout/process2"/>
    <dgm:cxn modelId="{25859197-7836-4BA2-8D37-BC9AF9B1CA22}" type="presOf" srcId="{34780C63-A8F9-4640-9E44-B416E7F42111}" destId="{375A9285-E3CA-4321-A8C7-E53CFF430E1D}" srcOrd="1" destOrd="0" presId="urn:microsoft.com/office/officeart/2005/8/layout/process2"/>
    <dgm:cxn modelId="{148EEEA4-C83B-4B8A-B326-BBB73143AFA5}" type="presOf" srcId="{F9DB381B-835F-4005-8393-29D8D5A19F32}" destId="{E16CAB2E-3AD6-479A-A377-3C79B7F87B7D}" srcOrd="0" destOrd="0" presId="urn:microsoft.com/office/officeart/2005/8/layout/process2"/>
    <dgm:cxn modelId="{90048243-67BE-4BF1-A026-F9053D43EBCC}" type="presOf" srcId="{BC4A6E91-4C79-4A20-9102-9223EDD4D142}" destId="{DFFDD308-A5E5-41C8-A11C-FA66CFEFEF3D}" srcOrd="0" destOrd="0" presId="urn:microsoft.com/office/officeart/2005/8/layout/process2"/>
    <dgm:cxn modelId="{34B3E890-F81F-4D55-B381-719B661AE3C9}" srcId="{7555D7D3-0514-45F6-8C6F-48D8EDCDD52C}" destId="{92DD543A-0181-4A50-959D-8F9BCB0875CC}" srcOrd="2" destOrd="0" parTransId="{0A225FAD-5A15-4E58-8A38-4371CD5C6569}" sibTransId="{CA404C03-FC97-484F-B6AC-97603495E83A}"/>
    <dgm:cxn modelId="{7F71546E-95FD-4348-BE13-5DB613A1CD53}" type="presOf" srcId="{708CDBD6-6A6D-4536-BB85-22F831800180}" destId="{C17F67F5-2D79-4D97-9AC4-E3E339D74F3B}" srcOrd="0" destOrd="0" presId="urn:microsoft.com/office/officeart/2005/8/layout/process2"/>
    <dgm:cxn modelId="{3D1F4F5E-E32D-4BF8-B7AC-31F4DC0C4BCA}" srcId="{7555D7D3-0514-45F6-8C6F-48D8EDCDD52C}" destId="{0F2B8988-C054-417A-994E-FBD66A4014A7}" srcOrd="1" destOrd="0" parTransId="{C5E9C0CF-FB0B-437E-A2AC-C27441A4B866}" sibTransId="{34780C63-A8F9-4640-9E44-B416E7F42111}"/>
    <dgm:cxn modelId="{73E63C3E-4012-4DA8-BDD6-CD6D1954C1C9}" type="presOf" srcId="{460DE7A1-0633-423D-AC1A-CE61E96A400A}" destId="{ECC0458D-B884-4BE1-A377-2CE6A2738C7E}" srcOrd="0" destOrd="0" presId="urn:microsoft.com/office/officeart/2005/8/layout/process2"/>
    <dgm:cxn modelId="{2E929D37-CB5E-4A81-8AE8-7309BBCF2634}" type="presOf" srcId="{A4D906EC-27B8-40ED-84A0-03D04FF954CC}" destId="{021B0024-6CB3-4BBA-A491-89F2FB255BC1}" srcOrd="0" destOrd="0" presId="urn:microsoft.com/office/officeart/2005/8/layout/process2"/>
    <dgm:cxn modelId="{20B00638-C64B-4814-AF00-95A6BC1D2D16}" type="presOf" srcId="{CA404C03-FC97-484F-B6AC-97603495E83A}" destId="{9C2D2F54-2479-45A2-998C-854D1EC8AA4A}" srcOrd="0" destOrd="0" presId="urn:microsoft.com/office/officeart/2005/8/layout/process2"/>
    <dgm:cxn modelId="{4E94192D-40DD-43CB-8B12-27B11AA60872}" srcId="{7555D7D3-0514-45F6-8C6F-48D8EDCDD52C}" destId="{A417BE9F-C060-493D-91E2-EBEFE022E1ED}" srcOrd="0" destOrd="0" parTransId="{C0E671FE-C972-433B-8602-9D60F196A1A7}" sibTransId="{A4D906EC-27B8-40ED-84A0-03D04FF954CC}"/>
    <dgm:cxn modelId="{3DAB63A4-C840-4DF8-B19D-F8F34517A758}" type="presParOf" srcId="{4E68E478-0C07-4B05-8B64-31BAE41AEB29}" destId="{83FD4AF8-A5CB-4463-BA6E-343E4D3EC2F4}" srcOrd="0" destOrd="0" presId="urn:microsoft.com/office/officeart/2005/8/layout/process2"/>
    <dgm:cxn modelId="{66CF7886-111E-481A-8B69-3DC569B9910E}" type="presParOf" srcId="{4E68E478-0C07-4B05-8B64-31BAE41AEB29}" destId="{021B0024-6CB3-4BBA-A491-89F2FB255BC1}" srcOrd="1" destOrd="0" presId="urn:microsoft.com/office/officeart/2005/8/layout/process2"/>
    <dgm:cxn modelId="{DE004B37-8731-4A31-99C3-06FB4E57D183}" type="presParOf" srcId="{021B0024-6CB3-4BBA-A491-89F2FB255BC1}" destId="{764FFA3B-452D-45A0-93E7-1931155970F0}" srcOrd="0" destOrd="0" presId="urn:microsoft.com/office/officeart/2005/8/layout/process2"/>
    <dgm:cxn modelId="{8C54986A-F052-4F5C-8227-86384329CDEC}" type="presParOf" srcId="{4E68E478-0C07-4B05-8B64-31BAE41AEB29}" destId="{16AD568B-4AF5-4EEB-A162-32FD0505DD82}" srcOrd="2" destOrd="0" presId="urn:microsoft.com/office/officeart/2005/8/layout/process2"/>
    <dgm:cxn modelId="{B4696BF7-0F65-465B-8AEF-4CCFA8B94BA1}" type="presParOf" srcId="{4E68E478-0C07-4B05-8B64-31BAE41AEB29}" destId="{5B3D4E5F-086F-4AA7-97D7-92CDB3DC8C98}" srcOrd="3" destOrd="0" presId="urn:microsoft.com/office/officeart/2005/8/layout/process2"/>
    <dgm:cxn modelId="{5280FF00-45B9-4DB3-A724-3A5516C2F79A}" type="presParOf" srcId="{5B3D4E5F-086F-4AA7-97D7-92CDB3DC8C98}" destId="{375A9285-E3CA-4321-A8C7-E53CFF430E1D}" srcOrd="0" destOrd="0" presId="urn:microsoft.com/office/officeart/2005/8/layout/process2"/>
    <dgm:cxn modelId="{4AE21874-F0CE-48CE-9C6A-AE2925A8F2A2}" type="presParOf" srcId="{4E68E478-0C07-4B05-8B64-31BAE41AEB29}" destId="{9E6C89D9-F9A8-42FB-9AA9-3D754F20D169}" srcOrd="4" destOrd="0" presId="urn:microsoft.com/office/officeart/2005/8/layout/process2"/>
    <dgm:cxn modelId="{9435B934-7308-4E90-B35D-D8895CBB19F0}" type="presParOf" srcId="{4E68E478-0C07-4B05-8B64-31BAE41AEB29}" destId="{9C2D2F54-2479-45A2-998C-854D1EC8AA4A}" srcOrd="5" destOrd="0" presId="urn:microsoft.com/office/officeart/2005/8/layout/process2"/>
    <dgm:cxn modelId="{62D4BDBD-8C84-450D-B2A5-B5D40653ABD1}" type="presParOf" srcId="{9C2D2F54-2479-45A2-998C-854D1EC8AA4A}" destId="{3D731A73-9FE2-4AD4-9EB0-5A2AE23B3A5C}" srcOrd="0" destOrd="0" presId="urn:microsoft.com/office/officeart/2005/8/layout/process2"/>
    <dgm:cxn modelId="{EF73BC34-D091-4C79-8F54-6F8CE937FE07}" type="presParOf" srcId="{4E68E478-0C07-4B05-8B64-31BAE41AEB29}" destId="{DFFDD308-A5E5-41C8-A11C-FA66CFEFEF3D}" srcOrd="6" destOrd="0" presId="urn:microsoft.com/office/officeart/2005/8/layout/process2"/>
    <dgm:cxn modelId="{E6F522E4-0DC2-419D-AC97-54F6AFEB8744}" type="presParOf" srcId="{4E68E478-0C07-4B05-8B64-31BAE41AEB29}" destId="{C17F67F5-2D79-4D97-9AC4-E3E339D74F3B}" srcOrd="7" destOrd="0" presId="urn:microsoft.com/office/officeart/2005/8/layout/process2"/>
    <dgm:cxn modelId="{F739037A-D347-49D4-85CA-9D3B0AFEC352}" type="presParOf" srcId="{C17F67F5-2D79-4D97-9AC4-E3E339D74F3B}" destId="{8C134AC8-3E94-4B43-A7A8-08AC3C355FD3}" srcOrd="0" destOrd="0" presId="urn:microsoft.com/office/officeart/2005/8/layout/process2"/>
    <dgm:cxn modelId="{30A08547-2ED5-4209-9402-4D6605BE3817}" type="presParOf" srcId="{4E68E478-0C07-4B05-8B64-31BAE41AEB29}" destId="{ECC0458D-B884-4BE1-A377-2CE6A2738C7E}" srcOrd="8" destOrd="0" presId="urn:microsoft.com/office/officeart/2005/8/layout/process2"/>
    <dgm:cxn modelId="{A4EA7527-B32E-4252-98E9-27767D790111}" type="presParOf" srcId="{4E68E478-0C07-4B05-8B64-31BAE41AEB29}" destId="{0DAA3880-38DD-4FAB-98D6-756D9A364AD0}" srcOrd="9" destOrd="0" presId="urn:microsoft.com/office/officeart/2005/8/layout/process2"/>
    <dgm:cxn modelId="{581E4AAF-F4C4-4206-8B7E-362EC66D7058}" type="presParOf" srcId="{0DAA3880-38DD-4FAB-98D6-756D9A364AD0}" destId="{0B9C6B13-423B-44A5-925F-9C793AF0B7D5}" srcOrd="0" destOrd="0" presId="urn:microsoft.com/office/officeart/2005/8/layout/process2"/>
    <dgm:cxn modelId="{7E094C3D-46F2-4860-9018-C723CD03FD19}" type="presParOf" srcId="{4E68E478-0C07-4B05-8B64-31BAE41AEB29}" destId="{E16CAB2E-3AD6-479A-A377-3C79B7F87B7D}" srcOrd="10" destOrd="0" presId="urn:microsoft.com/office/officeart/2005/8/layout/process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FD4AF8-A5CB-4463-BA6E-343E4D3EC2F4}">
      <dsp:nvSpPr>
        <dsp:cNvPr id="0" name=""/>
        <dsp:cNvSpPr/>
      </dsp:nvSpPr>
      <dsp:spPr>
        <a:xfrm>
          <a:off x="879832" y="2519"/>
          <a:ext cx="3212384" cy="3344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t>Технологічний</a:t>
          </a:r>
          <a:r>
            <a:rPr lang="uk-UA" sz="800" kern="1200"/>
            <a:t> </a:t>
          </a:r>
          <a:r>
            <a:rPr lang="uk-UA" sz="1400" kern="1200"/>
            <a:t>аудит</a:t>
          </a:r>
          <a:endParaRPr lang="ru-RU" sz="1400" kern="1200"/>
        </a:p>
      </dsp:txBody>
      <dsp:txXfrm>
        <a:off x="889628" y="12315"/>
        <a:ext cx="3192792" cy="314871"/>
      </dsp:txXfrm>
    </dsp:sp>
    <dsp:sp modelId="{021B0024-6CB3-4BBA-A491-89F2FB255BC1}">
      <dsp:nvSpPr>
        <dsp:cNvPr id="0" name=""/>
        <dsp:cNvSpPr/>
      </dsp:nvSpPr>
      <dsp:spPr>
        <a:xfrm rot="5400000">
          <a:off x="2423313" y="345344"/>
          <a:ext cx="125423" cy="15050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rot="-5400000">
        <a:off x="2440873" y="357887"/>
        <a:ext cx="90304" cy="87796"/>
      </dsp:txXfrm>
    </dsp:sp>
    <dsp:sp modelId="{16AD568B-4AF5-4EEB-A162-32FD0505DD82}">
      <dsp:nvSpPr>
        <dsp:cNvPr id="0" name=""/>
        <dsp:cNvSpPr/>
      </dsp:nvSpPr>
      <dsp:spPr>
        <a:xfrm>
          <a:off x="869825" y="504214"/>
          <a:ext cx="3232398" cy="3344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t>Маркетингові дослідження</a:t>
          </a:r>
        </a:p>
        <a:p>
          <a:pPr lvl="0" algn="ctr" defTabSz="622300">
            <a:lnSpc>
              <a:spcPct val="90000"/>
            </a:lnSpc>
            <a:spcBef>
              <a:spcPct val="0"/>
            </a:spcBef>
            <a:spcAft>
              <a:spcPct val="35000"/>
            </a:spcAft>
          </a:pPr>
          <a:endParaRPr lang="ru-RU" sz="800" kern="1200"/>
        </a:p>
      </dsp:txBody>
      <dsp:txXfrm>
        <a:off x="879621" y="514010"/>
        <a:ext cx="3212806" cy="314871"/>
      </dsp:txXfrm>
    </dsp:sp>
    <dsp:sp modelId="{5B3D4E5F-086F-4AA7-97D7-92CDB3DC8C98}">
      <dsp:nvSpPr>
        <dsp:cNvPr id="0" name=""/>
        <dsp:cNvSpPr/>
      </dsp:nvSpPr>
      <dsp:spPr>
        <a:xfrm rot="5400000">
          <a:off x="2423313" y="847038"/>
          <a:ext cx="125423" cy="15050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rot="-5400000">
        <a:off x="2440873" y="859581"/>
        <a:ext cx="90304" cy="87796"/>
      </dsp:txXfrm>
    </dsp:sp>
    <dsp:sp modelId="{9E6C89D9-F9A8-42FB-9AA9-3D754F20D169}">
      <dsp:nvSpPr>
        <dsp:cNvPr id="0" name=""/>
        <dsp:cNvSpPr/>
      </dsp:nvSpPr>
      <dsp:spPr>
        <a:xfrm>
          <a:off x="889840" y="1005908"/>
          <a:ext cx="3192369" cy="3344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t>Економічний аудит</a:t>
          </a:r>
          <a:endParaRPr lang="ru-RU" sz="1400" kern="1200"/>
        </a:p>
      </dsp:txBody>
      <dsp:txXfrm>
        <a:off x="899636" y="1015704"/>
        <a:ext cx="3172777" cy="314871"/>
      </dsp:txXfrm>
    </dsp:sp>
    <dsp:sp modelId="{9C2D2F54-2479-45A2-998C-854D1EC8AA4A}">
      <dsp:nvSpPr>
        <dsp:cNvPr id="0" name=""/>
        <dsp:cNvSpPr/>
      </dsp:nvSpPr>
      <dsp:spPr>
        <a:xfrm rot="5400000">
          <a:off x="2423313" y="1348733"/>
          <a:ext cx="125423" cy="15050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rot="-5400000">
        <a:off x="2440873" y="1361276"/>
        <a:ext cx="90304" cy="87796"/>
      </dsp:txXfrm>
    </dsp:sp>
    <dsp:sp modelId="{DFFDD308-A5E5-41C8-A11C-FA66CFEFEF3D}">
      <dsp:nvSpPr>
        <dsp:cNvPr id="0" name=""/>
        <dsp:cNvSpPr/>
      </dsp:nvSpPr>
      <dsp:spPr>
        <a:xfrm>
          <a:off x="899847" y="1507603"/>
          <a:ext cx="3172355" cy="3344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t>Заявка на отримання охоронного документу</a:t>
          </a:r>
          <a:endParaRPr lang="ru-RU" sz="1400" kern="1200"/>
        </a:p>
      </dsp:txBody>
      <dsp:txXfrm>
        <a:off x="909643" y="1517399"/>
        <a:ext cx="3152763" cy="314871"/>
      </dsp:txXfrm>
    </dsp:sp>
    <dsp:sp modelId="{C17F67F5-2D79-4D97-9AC4-E3E339D74F3B}">
      <dsp:nvSpPr>
        <dsp:cNvPr id="0" name=""/>
        <dsp:cNvSpPr/>
      </dsp:nvSpPr>
      <dsp:spPr>
        <a:xfrm rot="5400000">
          <a:off x="2423313" y="1850427"/>
          <a:ext cx="125423" cy="15050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rot="-5400000">
        <a:off x="2440873" y="1862970"/>
        <a:ext cx="90304" cy="87796"/>
      </dsp:txXfrm>
    </dsp:sp>
    <dsp:sp modelId="{ECC0458D-B884-4BE1-A377-2CE6A2738C7E}">
      <dsp:nvSpPr>
        <dsp:cNvPr id="0" name=""/>
        <dsp:cNvSpPr/>
      </dsp:nvSpPr>
      <dsp:spPr>
        <a:xfrm>
          <a:off x="919861" y="2009297"/>
          <a:ext cx="3132327" cy="3344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t>Просування власної розробки гна ринок</a:t>
          </a:r>
          <a:endParaRPr lang="ru-RU" sz="1400" kern="1200"/>
        </a:p>
      </dsp:txBody>
      <dsp:txXfrm>
        <a:off x="929657" y="2019093"/>
        <a:ext cx="3112735" cy="314871"/>
      </dsp:txXfrm>
    </dsp:sp>
    <dsp:sp modelId="{0DAA3880-38DD-4FAB-98D6-756D9A364AD0}">
      <dsp:nvSpPr>
        <dsp:cNvPr id="0" name=""/>
        <dsp:cNvSpPr/>
      </dsp:nvSpPr>
      <dsp:spPr>
        <a:xfrm rot="5400000">
          <a:off x="2423313" y="2352122"/>
          <a:ext cx="125423" cy="15050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rot="-5400000">
        <a:off x="2440873" y="2364665"/>
        <a:ext cx="90304" cy="87796"/>
      </dsp:txXfrm>
    </dsp:sp>
    <dsp:sp modelId="{E16CAB2E-3AD6-479A-A377-3C79B7F87B7D}">
      <dsp:nvSpPr>
        <dsp:cNvPr id="0" name=""/>
        <dsp:cNvSpPr/>
      </dsp:nvSpPr>
      <dsp:spPr>
        <a:xfrm>
          <a:off x="909854" y="2510992"/>
          <a:ext cx="3152341" cy="3344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t>Укладання договорів</a:t>
          </a:r>
          <a:endParaRPr lang="ru-RU" sz="1400" kern="1200"/>
        </a:p>
      </dsp:txBody>
      <dsp:txXfrm>
        <a:off x="919650" y="2520788"/>
        <a:ext cx="3132749" cy="31487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6D222-E666-4641-8B44-314C50682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111</Pages>
  <Words>94587</Words>
  <Characters>53916</Characters>
  <Application>Microsoft Office Word</Application>
  <DocSecurity>0</DocSecurity>
  <Lines>449</Lines>
  <Paragraphs>296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Olexsiy Paziy</dc:creator>
  <dc:description/>
  <cp:lastModifiedBy>Пазій Едуард</cp:lastModifiedBy>
  <cp:revision>2</cp:revision>
  <cp:lastPrinted>2019-12-12T09:57:00Z</cp:lastPrinted>
  <dcterms:created xsi:type="dcterms:W3CDTF">2019-12-12T10:01:00Z</dcterms:created>
  <dcterms:modified xsi:type="dcterms:W3CDTF">2019-12-12T10:01:00Z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