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B6163">
      <w:pPr>
        <w:spacing w:after="0" w:line="360" w:lineRule="auto"/>
        <w:jc w:val="center"/>
        <w:rPr>
          <w:rFonts w:ascii="Times New Roman" w:hAnsi="Times New Roman" w:eastAsia="Times New Roman" w:cs="Times New Roman"/>
          <w:sz w:val="28"/>
          <w:szCs w:val="28"/>
        </w:rPr>
      </w:pPr>
    </w:p>
    <w:p w14:paraId="18C3B1DE">
      <w:pPr>
        <w:spacing w:after="0" w:line="360" w:lineRule="auto"/>
        <w:jc w:val="center"/>
        <w:rPr>
          <w:rFonts w:ascii="Times New Roman" w:hAnsi="Times New Roman" w:eastAsia="Times New Roman" w:cs="Times New Roman"/>
          <w:sz w:val="28"/>
          <w:szCs w:val="28"/>
        </w:rPr>
      </w:pPr>
    </w:p>
    <w:p w14:paraId="476A3486">
      <w:pPr>
        <w:spacing w:after="0" w:line="360" w:lineRule="auto"/>
        <w:jc w:val="center"/>
        <w:rPr>
          <w:rFonts w:ascii="Times New Roman" w:hAnsi="Times New Roman" w:eastAsia="Times New Roman" w:cs="Times New Roman"/>
          <w:sz w:val="28"/>
          <w:szCs w:val="28"/>
        </w:rPr>
      </w:pPr>
    </w:p>
    <w:p w14:paraId="5B4DB79B">
      <w:pPr>
        <w:spacing w:after="0" w:line="360" w:lineRule="auto"/>
        <w:jc w:val="center"/>
        <w:rPr>
          <w:rFonts w:ascii="Times New Roman" w:hAnsi="Times New Roman" w:eastAsia="Times New Roman" w:cs="Times New Roman"/>
          <w:sz w:val="28"/>
          <w:szCs w:val="28"/>
        </w:rPr>
      </w:pPr>
      <w:bookmarkStart w:id="25" w:name="_GoBack"/>
      <w:bookmarkEnd w:id="25"/>
      <w:r>
        <w:rPr>
          <w:rFonts w:ascii="Times New Roman" w:hAnsi="Times New Roman" w:eastAsia="Times New Roman" w:cs="Times New Roman"/>
          <w:sz w:val="28"/>
          <w:szCs w:val="28"/>
        </w:rPr>
        <w:t>Львівський національний медичний університет імені Данила Галицького</w:t>
      </w:r>
    </w:p>
    <w:p w14:paraId="20BDC922">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факультет післядипломної освіти</w:t>
      </w:r>
    </w:p>
    <w:p w14:paraId="23FCB98C">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кафедра організації і економіки фармації,</w:t>
      </w:r>
    </w:p>
    <w:p w14:paraId="32545CE7">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Технології ліків та фармакоекономіки</w:t>
      </w:r>
    </w:p>
    <w:p w14:paraId="672A6659">
      <w:pPr>
        <w:jc w:val="center"/>
      </w:pPr>
    </w:p>
    <w:p w14:paraId="0A37501D">
      <w:pPr>
        <w:jc w:val="center"/>
      </w:pPr>
    </w:p>
    <w:p w14:paraId="5DAB6C7B">
      <w:pPr>
        <w:jc w:val="center"/>
      </w:pPr>
    </w:p>
    <w:p w14:paraId="02EB378F"/>
    <w:p w14:paraId="6A05A809">
      <w:pPr>
        <w:jc w:val="center"/>
      </w:pPr>
    </w:p>
    <w:p w14:paraId="5A39BBE3">
      <w:pPr>
        <w:spacing w:after="0"/>
        <w:jc w:val="center"/>
      </w:pPr>
    </w:p>
    <w:p w14:paraId="5E70F865">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Тема реферату:</w:t>
      </w:r>
    </w:p>
    <w:p w14:paraId="4FE0C36D">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“Особливості застосування лікарських засобів у похилому віці ’’</w:t>
      </w:r>
    </w:p>
    <w:p w14:paraId="41C8F396"/>
    <w:p w14:paraId="72A3D3EC"/>
    <w:p w14:paraId="0D0B940D"/>
    <w:p w14:paraId="0E27B00A"/>
    <w:p w14:paraId="60061E4C"/>
    <w:p w14:paraId="44EAFD9C"/>
    <w:p w14:paraId="4B94D5A5"/>
    <w:p w14:paraId="743B8BC0">
      <w:pPr>
        <w:spacing w:after="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Виконав:</w:t>
      </w:r>
    </w:p>
    <w:p w14:paraId="58A78954">
      <w:pPr>
        <w:spacing w:after="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Провізор-інтерн 1 групи</w:t>
      </w:r>
    </w:p>
    <w:p w14:paraId="1B112FE2">
      <w:pPr>
        <w:spacing w:after="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Берладин М.М.</w:t>
      </w:r>
    </w:p>
    <w:p w14:paraId="3DEEC669">
      <w:pPr>
        <w:jc w:val="right"/>
        <w:rPr>
          <w:rFonts w:ascii="Times New Roman" w:hAnsi="Times New Roman" w:eastAsia="Times New Roman" w:cs="Times New Roman"/>
        </w:rPr>
      </w:pPr>
    </w:p>
    <w:p w14:paraId="3656B9AB">
      <w:pPr>
        <w:jc w:val="right"/>
      </w:pPr>
    </w:p>
    <w:p w14:paraId="45FB0818">
      <w:pPr>
        <w:jc w:val="right"/>
      </w:pPr>
    </w:p>
    <w:p w14:paraId="049F31CB">
      <w:pPr>
        <w:jc w:val="right"/>
      </w:pPr>
    </w:p>
    <w:p w14:paraId="4E01218B">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Львів 2024 </w:t>
      </w:r>
    </w:p>
    <w:p w14:paraId="7DA043D5">
      <w:pPr>
        <w:spacing w:after="0" w:line="360" w:lineRule="auto"/>
        <w:jc w:val="center"/>
        <w:rPr>
          <w:rFonts w:ascii="Times New Roman" w:hAnsi="Times New Roman" w:eastAsia="Times New Roman" w:cs="Times New Roman"/>
          <w:sz w:val="28"/>
          <w:szCs w:val="28"/>
        </w:rPr>
      </w:pPr>
    </w:p>
    <w:p w14:paraId="56086120">
      <w:pPr>
        <w:spacing w:after="0" w:line="360" w:lineRule="auto"/>
        <w:jc w:val="center"/>
        <w:rPr>
          <w:rFonts w:ascii="Times New Roman" w:hAnsi="Times New Roman" w:eastAsia="Times New Roman" w:cs="Times New Roman"/>
          <w:sz w:val="28"/>
          <w:szCs w:val="28"/>
        </w:rPr>
      </w:pPr>
    </w:p>
    <w:p w14:paraId="6710FFD7">
      <w:pPr>
        <w:spacing w:after="0" w:line="360" w:lineRule="auto"/>
        <w:jc w:val="center"/>
        <w:rPr>
          <w:rFonts w:ascii="Times New Roman" w:hAnsi="Times New Roman" w:eastAsia="Times New Roman" w:cs="Times New Roman"/>
          <w:sz w:val="28"/>
          <w:szCs w:val="28"/>
        </w:rPr>
      </w:pPr>
    </w:p>
    <w:p w14:paraId="68F3E10E">
      <w:pPr>
        <w:spacing w:after="0" w:line="360" w:lineRule="auto"/>
        <w:rPr>
          <w:rFonts w:ascii="Times New Roman" w:hAnsi="Times New Roman" w:eastAsia="Times New Roman" w:cs="Times New Roman"/>
          <w:b/>
          <w:bCs/>
          <w:sz w:val="28"/>
          <w:szCs w:val="28"/>
        </w:rPr>
      </w:pPr>
    </w:p>
    <w:p w14:paraId="0781457C">
      <w:pPr>
        <w:spacing w:after="0" w:line="360" w:lineRule="auto"/>
        <w:jc w:val="center"/>
        <w:rPr>
          <w:rFonts w:ascii="Times New Roman" w:hAnsi="Times New Roman" w:eastAsia="Times New Roman" w:cs="Times New Roman"/>
          <w:b/>
          <w:bCs/>
          <w:sz w:val="28"/>
          <w:szCs w:val="28"/>
        </w:rPr>
      </w:pPr>
    </w:p>
    <w:p w14:paraId="147027AF">
      <w:pPr>
        <w:spacing w:after="0" w:line="360" w:lineRule="auto"/>
        <w:jc w:val="center"/>
        <w:rPr>
          <w:rFonts w:ascii="Times New Roman" w:hAnsi="Times New Roman" w:eastAsia="Times New Roman" w:cs="Times New Roman"/>
          <w:sz w:val="28"/>
          <w:szCs w:val="28"/>
          <w:lang w:val="uk"/>
        </w:rPr>
      </w:pPr>
      <w:r>
        <w:rPr>
          <w:rFonts w:ascii="Times New Roman" w:hAnsi="Times New Roman" w:eastAsia="Times New Roman" w:cs="Times New Roman"/>
          <w:b/>
          <w:bCs/>
          <w:sz w:val="28"/>
          <w:szCs w:val="28"/>
        </w:rPr>
        <w:t>Зміст</w:t>
      </w:r>
      <w:r>
        <w:rPr>
          <w:rFonts w:ascii="Times New Roman" w:hAnsi="Times New Roman" w:eastAsia="Times New Roman" w:cs="Times New Roman"/>
          <w:sz w:val="28"/>
          <w:szCs w:val="28"/>
          <w:lang w:val="uk"/>
        </w:rPr>
        <w:t xml:space="preserve"> </w:t>
      </w:r>
    </w:p>
    <w:p w14:paraId="687D6BF4">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I. Вступ</w:t>
      </w:r>
    </w:p>
    <w:p w14:paraId="0135CF29">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A. Визначення похилого віку </w:t>
      </w:r>
    </w:p>
    <w:p w14:paraId="3503B37D">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B. Важливість дослідження застосування ліків у похилому віці</w:t>
      </w:r>
    </w:p>
    <w:p w14:paraId="1CE7DD96">
      <w:pPr>
        <w:shd w:val="clear" w:color="auto" w:fill="FFFFFF" w:themeFill="background1"/>
        <w:bidi w:val="0"/>
        <w:spacing w:before="300" w:beforeAutospacing="0" w:after="300" w:afterAutospacing="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II. Фізіологічні зміни в організмі людини у похилому віці</w:t>
      </w:r>
    </w:p>
    <w:p w14:paraId="11C020B0">
      <w:pPr>
        <w:shd w:val="clear" w:color="auto" w:fill="FFFFFF" w:themeFill="background1"/>
        <w:bidi w:val="0"/>
        <w:spacing w:before="300" w:beforeAutospacing="0" w:after="300" w:afterAutospacing="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 A. Зміни в фармакокінетиці та фармакодинаміці</w:t>
      </w:r>
    </w:p>
    <w:p w14:paraId="252EB60C">
      <w:pPr>
        <w:shd w:val="clear" w:color="auto" w:fill="FFFFFF" w:themeFill="background1"/>
        <w:bidi w:val="0"/>
        <w:spacing w:before="300" w:beforeAutospacing="0" w:after="300" w:afterAutospacing="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III. Особливості фармакотерапії у похилому віці</w:t>
      </w:r>
    </w:p>
    <w:p w14:paraId="7629CFBE">
      <w:pPr>
        <w:shd w:val="clear" w:color="auto" w:fill="FFFFFF" w:themeFill="background1"/>
        <w:bidi w:val="0"/>
        <w:spacing w:before="300" w:beforeAutospacing="0" w:after="300" w:afterAutospacing="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A. Поліфармакотерапія </w:t>
      </w:r>
    </w:p>
    <w:p w14:paraId="6F2D0BA0">
      <w:pPr>
        <w:shd w:val="clear" w:color="auto" w:fill="FFFFFF" w:themeFill="background1"/>
        <w:bidi w:val="0"/>
        <w:spacing w:before="300" w:beforeAutospacing="0" w:after="300" w:afterAutospacing="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B. Взаємодія ліків та небажані ефекти лікування</w:t>
      </w:r>
    </w:p>
    <w:p w14:paraId="41922F16">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IV. Фармацевтичні форми та методи застосування </w:t>
      </w:r>
    </w:p>
    <w:p w14:paraId="23D9E43D">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A. Вибір лікарської форми</w:t>
      </w:r>
    </w:p>
    <w:p w14:paraId="02748E31">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B. Дозування та режими прийому</w:t>
      </w:r>
    </w:p>
    <w:p w14:paraId="4D51BAD7">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V. Практичні рекомендації для медичного персоналу</w:t>
      </w:r>
    </w:p>
    <w:p w14:paraId="48AE8A61">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A. Оцінка стану хворого перед призначенням ліків</w:t>
      </w:r>
    </w:p>
    <w:p w14:paraId="3C258E56">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 B. Індивідуалізація терапії</w:t>
      </w:r>
    </w:p>
    <w:p w14:paraId="29A6FCE9">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Результати досліджень</w:t>
      </w:r>
    </w:p>
    <w:p w14:paraId="1E1937B6">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Висновки</w:t>
      </w:r>
      <w:r>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t xml:space="preserve"> </w:t>
      </w:r>
    </w:p>
    <w:p w14:paraId="221B0623">
      <w:pPr>
        <w:bidi w:val="0"/>
        <w:spacing w:after="0" w:line="360" w:lineRule="auto"/>
        <w:jc w:val="both"/>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pPr>
      <w:r>
        <w:rPr>
          <w:rFonts w:ascii="Times New Roman" w:hAnsi="Times New Roman" w:eastAsia="Times New Roman" w:cs="Times New Roman"/>
          <w:b/>
          <w:bCs/>
          <w:i w:val="0"/>
          <w:iCs w:val="0"/>
          <w:caps w:val="0"/>
          <w:smallCaps w:val="0"/>
          <w:color w:val="0D0D0D" w:themeColor="text1" w:themeTint="F2"/>
          <w:sz w:val="28"/>
          <w:szCs w:val="28"/>
          <w:lang w:val="uk"/>
          <w14:textFill>
            <w14:solidFill>
              <w14:schemeClr w14:val="tx1">
                <w14:lumMod w14:val="95000"/>
                <w14:lumOff w14:val="5000"/>
              </w14:schemeClr>
            </w14:solidFill>
          </w14:textFill>
        </w:rPr>
        <w:t>Використана література</w:t>
      </w:r>
    </w:p>
    <w:p w14:paraId="5CAC4740">
      <w:pPr>
        <w:bidi w:val="0"/>
        <w:spacing w:after="0" w:line="360" w:lineRule="auto"/>
        <w:jc w:val="both"/>
        <w:rPr>
          <w:rFonts w:ascii="Times New Roman" w:hAnsi="Times New Roman" w:eastAsia="Times New Roman" w:cs="Times New Roman"/>
          <w:b w:val="0"/>
          <w:bCs w:val="0"/>
          <w:i w:val="0"/>
          <w:iCs w:val="0"/>
          <w:caps w:val="0"/>
          <w:smallCaps w:val="0"/>
          <w:color w:val="0D0D0D" w:themeColor="text1" w:themeTint="F2"/>
          <w:sz w:val="28"/>
          <w:szCs w:val="28"/>
          <w:lang w:val="uk"/>
          <w14:textFill>
            <w14:solidFill>
              <w14:schemeClr w14:val="tx1">
                <w14:lumMod w14:val="95000"/>
                <w14:lumOff w14:val="5000"/>
              </w14:schemeClr>
            </w14:solidFill>
          </w14:textFill>
        </w:rPr>
      </w:pPr>
    </w:p>
    <w:p w14:paraId="0C1AC90E">
      <w:pPr>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Вступ</w:t>
      </w:r>
    </w:p>
    <w:p w14:paraId="29D6B04F">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w14:paraId="026D46C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Старіння пов'язане зі змінами фармакокінетики та фармакодинаміки, які можуть впливати на метаболізм, розподіл та виведення ліків з організму. Одночасно з цим, похилі пацієнти часто стикаються з поліфармакотерапією, що може збільшувати ризик взаємодій ліків та побічних ефектів.</w:t>
      </w:r>
    </w:p>
    <w:p w14:paraId="687E7C03">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Особливості фізіологічного стану, наявність хронічних захворювань, зміни в організмі та психічний стан створюють складні умови для надання ефективного та безпечного медичного догляду.</w:t>
      </w:r>
    </w:p>
    <w:p w14:paraId="4101652C">
      <w:pPr>
        <w:spacing w:after="0" w:line="360" w:lineRule="auto"/>
        <w:ind w:left="709"/>
        <w:jc w:val="both"/>
        <w:rPr>
          <w:rFonts w:ascii="Times New Roman" w:hAnsi="Times New Roman" w:eastAsia="Times New Roman" w:cs="Times New Roman"/>
          <w:sz w:val="28"/>
          <w:szCs w:val="28"/>
        </w:rPr>
      </w:pPr>
    </w:p>
    <w:p w14:paraId="0387787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Попри те, що ліки можуть бути необхідними для управління хворобами та поліпшення якості життя, важливо усвідомлювати, що старіння впливає на сприйняття та реакцію організму на ліки. </w:t>
      </w:r>
    </w:p>
    <w:p w14:paraId="091AAC8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 цього приводу, детальне вивчення особливостей застосування лікарських засобів у похилому віці є важливою передумовою для розробки індивідуалізованих та безпечних лікувальних стратегій.</w:t>
      </w:r>
    </w:p>
    <w:p w14:paraId="4B99056E">
      <w:pPr>
        <w:spacing w:after="0" w:line="360" w:lineRule="auto"/>
        <w:ind w:left="709"/>
        <w:jc w:val="both"/>
        <w:rPr>
          <w:rFonts w:ascii="Times New Roman" w:hAnsi="Times New Roman" w:eastAsia="Times New Roman" w:cs="Times New Roman"/>
          <w:sz w:val="28"/>
          <w:szCs w:val="28"/>
        </w:rPr>
      </w:pPr>
    </w:p>
    <w:p w14:paraId="416BD03D">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У даній роботі буде розглянуто ряд аспектів, що стосуються застосування ліків у похилому віці, зокрема фармакокінетичні та фармакодинамічні особливості, поліфармакотерапія, побічні ефекти, адаптація доз, а також важливість індивідуалізованого підходу до лікування. </w:t>
      </w:r>
    </w:p>
    <w:p w14:paraId="3461D779">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Подальше розглядання цих аспектів дозволить отримати глибше розуміння проблем, пов'язаних з медичним доглядом за літніми людьми, та визначити шляхи покращення якості фармацевтичної допомоги цій категорії населення.</w:t>
      </w:r>
    </w:p>
    <w:p w14:paraId="3DB0AAA1">
      <w:pPr>
        <w:spacing w:after="0" w:line="360" w:lineRule="auto"/>
        <w:ind w:left="709"/>
        <w:jc w:val="both"/>
        <w:rPr>
          <w:rFonts w:ascii="Times New Roman" w:hAnsi="Times New Roman" w:eastAsia="Times New Roman" w:cs="Times New Roman"/>
          <w:sz w:val="28"/>
          <w:szCs w:val="28"/>
        </w:rPr>
      </w:pPr>
    </w:p>
    <w:p w14:paraId="3920C7E0">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Похилість</w:t>
      </w:r>
      <w:r>
        <w:rPr>
          <w:rFonts w:ascii="Times New Roman" w:hAnsi="Times New Roman" w:eastAsia="Times New Roman" w:cs="Times New Roman"/>
          <w:sz w:val="28"/>
          <w:szCs w:val="28"/>
        </w:rPr>
        <w:t xml:space="preserve"> - це період життя, коли організм досвідчує природні зміни, пов'язані з віком, що впливають на різні аспекти фізіології та функціонування органів і систем. Однією з найважливіших аспектів догляду за старіючим організмом є відповідальне та ефективне використання лікарських засобів. </w:t>
      </w:r>
    </w:p>
    <w:p w14:paraId="43CE89E9">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Застосування лікарських засобів у похилому віці вимагає уважного підходу через фізіологічні та патологічні особливості старіючого організму. </w:t>
      </w:r>
    </w:p>
    <w:p w14:paraId="3CF2D8B6">
      <w:pPr>
        <w:spacing w:after="0" w:line="360" w:lineRule="auto"/>
        <w:ind w:left="709"/>
        <w:jc w:val="both"/>
        <w:rPr>
          <w:rFonts w:ascii="Times New Roman" w:hAnsi="Times New Roman" w:eastAsia="Times New Roman" w:cs="Times New Roman"/>
          <w:sz w:val="28"/>
          <w:szCs w:val="28"/>
        </w:rPr>
      </w:pPr>
    </w:p>
    <w:p w14:paraId="3AC5A268">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Ось деякі </w:t>
      </w:r>
      <w:r>
        <w:rPr>
          <w:rFonts w:ascii="Times New Roman" w:hAnsi="Times New Roman" w:eastAsia="Times New Roman" w:cs="Times New Roman"/>
          <w:i/>
          <w:sz w:val="28"/>
          <w:szCs w:val="28"/>
        </w:rPr>
        <w:t>ключові аспекти</w:t>
      </w:r>
      <w:r>
        <w:rPr>
          <w:rFonts w:ascii="Times New Roman" w:hAnsi="Times New Roman" w:eastAsia="Times New Roman" w:cs="Times New Roman"/>
          <w:sz w:val="28"/>
          <w:szCs w:val="28"/>
        </w:rPr>
        <w:t>, які слід враховувати при застосуванні лікарських засобів у людей старечого віку:</w:t>
      </w:r>
    </w:p>
    <w:p w14:paraId="0FB78278">
      <w:pPr>
        <w:spacing w:after="0" w:line="360" w:lineRule="auto"/>
        <w:ind w:left="709"/>
        <w:jc w:val="both"/>
        <w:rPr>
          <w:rFonts w:ascii="Times New Roman" w:hAnsi="Times New Roman" w:eastAsia="Times New Roman" w:cs="Times New Roman"/>
          <w:sz w:val="28"/>
          <w:szCs w:val="28"/>
        </w:rPr>
      </w:pPr>
    </w:p>
    <w:p w14:paraId="71E33522">
      <w:pPr>
        <w:numPr>
          <w:ilvl w:val="0"/>
          <w:numId w:val="1"/>
        </w:numPr>
        <w:spacing w:after="0" w:line="360" w:lineRule="auto"/>
        <w:ind w:left="1069"/>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Фармакокінетика та фармакодинаміка:</w:t>
      </w:r>
    </w:p>
    <w:p w14:paraId="6F134015">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Помірні зміни в обсягу розподілу та кліренсі:</w:t>
      </w:r>
      <w:r>
        <w:rPr>
          <w:rFonts w:ascii="Times New Roman" w:hAnsi="Times New Roman" w:eastAsia="Times New Roman" w:cs="Times New Roman"/>
          <w:color w:val="000000"/>
          <w:sz w:val="28"/>
          <w:szCs w:val="28"/>
        </w:rPr>
        <w:t xml:space="preserve"> У старших людей можуть спостерігатися зміни в фармакокінетиці (розподіл та виведення ліків). Це може впливати на концентрацію лікарського засобу в організмі та час його дії.</w:t>
      </w:r>
    </w:p>
    <w:p w14:paraId="7D9A3078">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Зниження резервної маси організму:</w:t>
      </w:r>
      <w:r>
        <w:rPr>
          <w:rFonts w:ascii="Times New Roman" w:hAnsi="Times New Roman" w:eastAsia="Times New Roman" w:cs="Times New Roman"/>
          <w:color w:val="000000"/>
          <w:sz w:val="28"/>
          <w:szCs w:val="28"/>
        </w:rPr>
        <w:t xml:space="preserve"> Зменшення маси тіла та води може впливати на обсяг розподілу ліків.</w:t>
      </w:r>
    </w:p>
    <w:p w14:paraId="2FB609BC">
      <w:pPr>
        <w:numPr>
          <w:ilvl w:val="0"/>
          <w:numId w:val="2"/>
        </w:numPr>
        <w:spacing w:after="0" w:line="360" w:lineRule="auto"/>
        <w:ind w:left="1069"/>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Поліфармакотерапія:</w:t>
      </w:r>
    </w:p>
    <w:p w14:paraId="51D7D2A3">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Уникання поліфармакотерапії:</w:t>
      </w:r>
      <w:r>
        <w:rPr>
          <w:rFonts w:ascii="Times New Roman" w:hAnsi="Times New Roman" w:eastAsia="Times New Roman" w:cs="Times New Roman"/>
          <w:color w:val="000000"/>
          <w:sz w:val="28"/>
          <w:szCs w:val="28"/>
        </w:rPr>
        <w:t xml:space="preserve"> Враховуйте кількість ліків, які приймає пацієнт. Поліфармакотерапія може призводити до небажаних взаємодій та побічних ефектів.</w:t>
      </w:r>
    </w:p>
    <w:p w14:paraId="76A64EE9">
      <w:pPr>
        <w:numPr>
          <w:ilvl w:val="0"/>
          <w:numId w:val="2"/>
        </w:numPr>
        <w:spacing w:after="0" w:line="360" w:lineRule="auto"/>
        <w:ind w:left="1069"/>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Побічні ефекти та взаємодії ліків:</w:t>
      </w:r>
    </w:p>
    <w:p w14:paraId="449443B2">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Схильність до побічних ефектів:</w:t>
      </w:r>
      <w:r>
        <w:rPr>
          <w:rFonts w:ascii="Times New Roman" w:hAnsi="Times New Roman" w:eastAsia="Times New Roman" w:cs="Times New Roman"/>
          <w:color w:val="000000"/>
          <w:sz w:val="28"/>
          <w:szCs w:val="28"/>
        </w:rPr>
        <w:t xml:space="preserve"> Старші пацієнти можуть бути більш схильні до побічних ефектів ліків через зміни в системах обробки та виведення лікарських засобів.</w:t>
      </w:r>
    </w:p>
    <w:p w14:paraId="3DEADC8D">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Взаємодії з харчуванням та іншими ліками:</w:t>
      </w:r>
      <w:r>
        <w:rPr>
          <w:rFonts w:ascii="Times New Roman" w:hAnsi="Times New Roman" w:eastAsia="Times New Roman" w:cs="Times New Roman"/>
          <w:color w:val="000000"/>
          <w:sz w:val="28"/>
          <w:szCs w:val="28"/>
        </w:rPr>
        <w:t xml:space="preserve"> Враховуйте можливі взаємодії ліків з харчуванням та іншими медикаментами.</w:t>
      </w:r>
    </w:p>
    <w:p w14:paraId="787AE8FE">
      <w:pPr>
        <w:numPr>
          <w:ilvl w:val="0"/>
          <w:numId w:val="2"/>
        </w:numPr>
        <w:spacing w:after="0" w:line="360" w:lineRule="auto"/>
        <w:ind w:left="1069"/>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Специфічні захворювання та стани:</w:t>
      </w:r>
    </w:p>
    <w:p w14:paraId="7969E839">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Дегенеративні зміни в органах та системах:</w:t>
      </w:r>
      <w:r>
        <w:rPr>
          <w:rFonts w:ascii="Times New Roman" w:hAnsi="Times New Roman" w:eastAsia="Times New Roman" w:cs="Times New Roman"/>
          <w:color w:val="000000"/>
          <w:sz w:val="28"/>
          <w:szCs w:val="28"/>
        </w:rPr>
        <w:t xml:space="preserve"> Ураховуйте, що старший вік часто супроводжується дегенеративними змінами в органах та системах, що може впливати на обрані лікувальні стратегії.</w:t>
      </w:r>
    </w:p>
    <w:p w14:paraId="292DE919">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Психічні стани та синдроми:</w:t>
      </w:r>
      <w:r>
        <w:rPr>
          <w:rFonts w:ascii="Times New Roman" w:hAnsi="Times New Roman" w:eastAsia="Times New Roman" w:cs="Times New Roman"/>
          <w:color w:val="000000"/>
          <w:sz w:val="28"/>
          <w:szCs w:val="28"/>
        </w:rPr>
        <w:t xml:space="preserve"> При </w:t>
      </w:r>
      <w:r>
        <w:rPr>
          <w:rFonts w:ascii="Times New Roman" w:hAnsi="Times New Roman" w:eastAsia="Times New Roman" w:cs="Times New Roman"/>
          <w:sz w:val="28"/>
          <w:szCs w:val="28"/>
        </w:rPr>
        <w:t>лікуванні старечого</w:t>
      </w:r>
      <w:r>
        <w:rPr>
          <w:rFonts w:ascii="Times New Roman" w:hAnsi="Times New Roman" w:eastAsia="Times New Roman" w:cs="Times New Roman"/>
          <w:color w:val="000000"/>
          <w:sz w:val="28"/>
          <w:szCs w:val="28"/>
        </w:rPr>
        <w:t xml:space="preserve"> населення слід враховувати можливість психічних станів, таких як депресія чи деменція, які можуть впливати на дотримання режиму лікування.</w:t>
      </w:r>
    </w:p>
    <w:p w14:paraId="2006CE00">
      <w:pPr>
        <w:numPr>
          <w:ilvl w:val="0"/>
          <w:numId w:val="2"/>
        </w:numPr>
        <w:spacing w:after="0" w:line="360" w:lineRule="auto"/>
        <w:ind w:left="1069"/>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Оптимізація дозування та вибір ліків:</w:t>
      </w:r>
    </w:p>
    <w:p w14:paraId="59D45DF2">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Індивідуалізація та адаптація доз:</w:t>
      </w:r>
      <w:r>
        <w:rPr>
          <w:rFonts w:ascii="Times New Roman" w:hAnsi="Times New Roman" w:eastAsia="Times New Roman" w:cs="Times New Roman"/>
          <w:color w:val="000000"/>
          <w:sz w:val="28"/>
          <w:szCs w:val="28"/>
        </w:rPr>
        <w:t xml:space="preserve"> Дозування ліків слід індивідуалізувати з урахуванням особливостей кожного пацієнта.</w:t>
      </w:r>
    </w:p>
    <w:p w14:paraId="22EFBC91">
      <w:pPr>
        <w:numPr>
          <w:ilvl w:val="1"/>
          <w:numId w:val="2"/>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Використання ліків з меншим ризиком побічних ефектів:</w:t>
      </w:r>
      <w:r>
        <w:rPr>
          <w:rFonts w:ascii="Times New Roman" w:hAnsi="Times New Roman" w:eastAsia="Times New Roman" w:cs="Times New Roman"/>
          <w:color w:val="000000"/>
          <w:sz w:val="28"/>
          <w:szCs w:val="28"/>
        </w:rPr>
        <w:t xml:space="preserve"> Вибір ліків з меншим ризиком побічних ефектів є важливим аспектом лікування в похилому віці.</w:t>
      </w:r>
    </w:p>
    <w:p w14:paraId="1FC39945">
      <w:pPr>
        <w:spacing w:after="0" w:line="360" w:lineRule="auto"/>
        <w:ind w:left="709"/>
        <w:jc w:val="both"/>
        <w:rPr>
          <w:rFonts w:ascii="Times New Roman" w:hAnsi="Times New Roman" w:eastAsia="Times New Roman" w:cs="Times New Roman"/>
          <w:sz w:val="28"/>
          <w:szCs w:val="28"/>
        </w:rPr>
      </w:pPr>
    </w:p>
    <w:p w14:paraId="0496BE32">
      <w:pPr>
        <w:spacing w:after="0" w:line="360" w:lineRule="auto"/>
        <w:ind w:left="709"/>
        <w:jc w:val="center"/>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Особливості геріатричної фармакокінетика</w:t>
      </w:r>
    </w:p>
    <w:p w14:paraId="0389E87C">
      <w:pPr>
        <w:spacing w:after="0" w:line="360" w:lineRule="auto"/>
        <w:ind w:left="709"/>
        <w:jc w:val="center"/>
        <w:rPr>
          <w:rFonts w:ascii="Times New Roman" w:hAnsi="Times New Roman" w:eastAsia="Times New Roman" w:cs="Times New Roman"/>
          <w:b/>
          <w:bCs/>
          <w:sz w:val="28"/>
          <w:szCs w:val="28"/>
        </w:rPr>
      </w:pPr>
    </w:p>
    <w:p w14:paraId="3F9B3286">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Атрофія слизової шлунка і кишечника – зниження всмоктувальної, секреторної, моторної функцій, а це веде до зниження швидкості й повноти всмоктування ЛЗ, що знижує концентрацію.</w:t>
      </w:r>
    </w:p>
    <w:p w14:paraId="75635ED7">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При парентеральному введенні має значення знижена швидкість кровотоку, тому ЛЗ повільно розсмоктується і розподіляється.</w:t>
      </w:r>
    </w:p>
    <w:p w14:paraId="52B57C7F">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З віком змінюються фізико-хімічні властивості мембран, проникність капілярів, розвивається гіпоальбумінемія, що зменшує рівновагу між двома формами ЛР в сторону вільної фракції та посилення її дії, аж до інтоксикації. Ризик її посилюється при введенні кількох речовин і конкуренції за білок.</w:t>
      </w:r>
    </w:p>
    <w:p w14:paraId="18389DB6">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Зміна ферментів печінки – зменшена біотрансформація і передумови до інтоксикації.</w:t>
      </w:r>
    </w:p>
    <w:p w14:paraId="30AD52B4">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Тому в геріатрії терапію починають з 1/2 – 1/3 дози дорослих.</w:t>
      </w:r>
    </w:p>
    <w:p w14:paraId="2DDCA502">
      <w:pPr>
        <w:numPr>
          <w:ilvl w:val="0"/>
          <w:numId w:val="3"/>
        </w:numPr>
        <w:spacing w:after="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Виведення ліків у старших погіршується, оскільки всі функції нирки зменшуються, подовжується час циркуляції й кумуляція введених препаратів.</w:t>
      </w:r>
    </w:p>
    <w:p w14:paraId="0562CB0E">
      <w:pPr>
        <w:spacing w:after="0" w:line="360" w:lineRule="auto"/>
        <w:rPr>
          <w:rFonts w:ascii="Times New Roman" w:hAnsi="Times New Roman" w:eastAsia="Times New Roman" w:cs="Times New Roman"/>
          <w:sz w:val="28"/>
          <w:szCs w:val="28"/>
        </w:rPr>
      </w:pPr>
    </w:p>
    <w:p w14:paraId="280AD615">
      <w:pPr>
        <w:spacing w:after="0" w:line="360" w:lineRule="auto"/>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Особливості геріатричної фармакодинаміки</w:t>
      </w:r>
    </w:p>
    <w:p w14:paraId="34CE0A41">
      <w:pPr>
        <w:spacing w:after="0" w:line="360" w:lineRule="auto"/>
        <w:ind w:firstLine="709"/>
        <w:jc w:val="center"/>
        <w:rPr>
          <w:rFonts w:ascii="Times New Roman" w:hAnsi="Times New Roman" w:eastAsia="Times New Roman" w:cs="Times New Roman"/>
          <w:b/>
          <w:sz w:val="28"/>
          <w:szCs w:val="28"/>
        </w:rPr>
      </w:pPr>
    </w:p>
    <w:p w14:paraId="54CE9B1C">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0" w:name="_Toc1387999574"/>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Зміни в чутливості старіючого організму до ЛЗ неоднорідні, тому не існує єдиного узагальнюючого показника ступеня і характеру цих змін.</w:t>
      </w:r>
      <w:bookmarkEnd w:id="0"/>
    </w:p>
    <w:p w14:paraId="7E2E718A">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1" w:name="_Toc1365186008"/>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Вікові зміни чутливості різних тканин до дії одних і тих же речовин неоднозначні.</w:t>
      </w:r>
      <w:bookmarkEnd w:id="1"/>
    </w:p>
    <w:p w14:paraId="6DFBA498">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2" w:name="_Toc450259144"/>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У старості може мати місце якісна зміна чутливості тканини до ряду речовин.</w:t>
      </w:r>
      <w:bookmarkEnd w:id="2"/>
    </w:p>
    <w:p w14:paraId="6645332D">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3" w:name="_Toc1891388418"/>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У глибокій старості підвищення чутливості тканини до ЛЗ може змінитися її зниженням.</w:t>
      </w:r>
      <w:bookmarkEnd w:id="3"/>
    </w:p>
    <w:p w14:paraId="69C432A5">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4" w:name="_Toc868021410"/>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Зміна структури й чутливості периферичних рецепторів та зниження реактивної спроможності клітин зменшують адаптивні можливості організму, лежать в основі генезу неадекватних реакцій.</w:t>
      </w:r>
      <w:bookmarkEnd w:id="4"/>
    </w:p>
    <w:p w14:paraId="48B86FF7">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5" w:name="_Toc1394938541"/>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Зменшення активної протоплазматичної маси тіла (в середньому на 20 - 30%) позначається на фармакодинаміці. Тому з метою досягнення відповідності вже з 50 років дозу ЛЗ знижують з розрахунку 1% за кожен рік понад 50.</w:t>
      </w:r>
      <w:bookmarkEnd w:id="5"/>
    </w:p>
    <w:p w14:paraId="56D1E8CB">
      <w:pPr>
        <w:pStyle w:val="3"/>
        <w:keepNext w:val="0"/>
        <w:keepLines w:val="0"/>
        <w:numPr>
          <w:ilvl w:val="0"/>
          <w:numId w:val="4"/>
        </w:numPr>
        <w:spacing w:before="0" w:line="360" w:lineRule="auto"/>
        <w:ind w:left="106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w:t>
      </w:r>
      <w:bookmarkStart w:id="6" w:name="_Toc1515906086"/>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перелічені вікові особливості спричиняють до того, що дія ЛЗ проявляється своєрідно, з індивідуальною переносністю, розвитком інтоксикації.</w:t>
      </w:r>
      <w:bookmarkEnd w:id="6"/>
    </w:p>
    <w:p w14:paraId="62EBF3C5">
      <w:pPr>
        <w:spacing w:after="0" w:line="360" w:lineRule="auto"/>
        <w:ind w:left="709"/>
        <w:jc w:val="both"/>
        <w:rPr>
          <w:rFonts w:ascii="Times New Roman" w:hAnsi="Times New Roman" w:eastAsia="Times New Roman" w:cs="Times New Roman"/>
          <w:color w:val="1C1C1C"/>
          <w:sz w:val="28"/>
          <w:szCs w:val="28"/>
        </w:rPr>
      </w:pPr>
    </w:p>
    <w:p w14:paraId="109D0E0C">
      <w:pPr>
        <w:pStyle w:val="3"/>
        <w:spacing w:before="0" w:line="360" w:lineRule="auto"/>
        <w:ind w:left="709" w:firstLine="709"/>
        <w:jc w:val="both"/>
        <w:rPr>
          <w:rFonts w:ascii="Times New Roman" w:hAnsi="Times New Roman" w:eastAsia="Times New Roman" w:cs="Times New Roman"/>
          <w:b/>
          <w:bCs/>
          <w:color w:val="000000"/>
          <w:sz w:val="28"/>
          <w:szCs w:val="28"/>
        </w:rPr>
      </w:pPr>
      <w:bookmarkStart w:id="7" w:name="_Toc329923403"/>
      <w:r>
        <w:rPr>
          <w:rFonts w:ascii="Times New Roman" w:hAnsi="Times New Roman" w:eastAsia="Times New Roman" w:cs="Times New Roman"/>
          <w:b/>
          <w:bCs/>
          <w:color w:val="000000" w:themeColor="text1" w:themeTint="FF"/>
          <w:sz w:val="28"/>
          <w:szCs w:val="28"/>
          <w14:textFill>
            <w14:solidFill>
              <w14:schemeClr w14:val="tx1">
                <w14:lumMod w14:val="100000"/>
                <w14:lumOff w14:val="0"/>
              </w14:schemeClr>
            </w14:solidFill>
          </w14:textFill>
        </w:rPr>
        <w:t>Основні групи ЛЗ, що використовуються в геріатрії:</w:t>
      </w:r>
      <w:bookmarkEnd w:id="7"/>
    </w:p>
    <w:p w14:paraId="6D94E917">
      <w:pPr>
        <w:pStyle w:val="3"/>
        <w:spacing w:before="0" w:line="360" w:lineRule="auto"/>
        <w:ind w:left="709" w:firstLine="709"/>
        <w:jc w:val="both"/>
        <w:rPr>
          <w:rFonts w:ascii="Times New Roman" w:hAnsi="Times New Roman" w:eastAsia="Times New Roman" w:cs="Times New Roman"/>
          <w:color w:val="000000"/>
          <w:sz w:val="28"/>
          <w:szCs w:val="28"/>
        </w:rPr>
      </w:pPr>
      <w:bookmarkStart w:id="8" w:name="_Toc1176291230"/>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кардіотонічні (серцеві глікозиди)</w:t>
      </w:r>
      <w:bookmarkEnd w:id="8"/>
    </w:p>
    <w:p w14:paraId="3BC8DA23">
      <w:pPr>
        <w:pStyle w:val="3"/>
        <w:spacing w:before="0" w:line="360" w:lineRule="auto"/>
        <w:ind w:left="709" w:firstLine="709"/>
        <w:jc w:val="both"/>
        <w:rPr>
          <w:rFonts w:ascii="Times New Roman" w:hAnsi="Times New Roman" w:eastAsia="Times New Roman" w:cs="Times New Roman"/>
          <w:color w:val="000000"/>
          <w:sz w:val="28"/>
          <w:szCs w:val="28"/>
        </w:rPr>
      </w:pPr>
      <w:bookmarkStart w:id="9" w:name="_Toc1869627449"/>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антиангінальні (нітрати)</w:t>
      </w:r>
      <w:bookmarkEnd w:id="9"/>
    </w:p>
    <w:p w14:paraId="1C1DABDC">
      <w:pPr>
        <w:pStyle w:val="3"/>
        <w:spacing w:before="0" w:line="360" w:lineRule="auto"/>
        <w:ind w:left="709" w:firstLine="709"/>
        <w:jc w:val="both"/>
        <w:rPr>
          <w:rFonts w:ascii="Times New Roman" w:hAnsi="Times New Roman" w:eastAsia="Times New Roman" w:cs="Times New Roman"/>
          <w:color w:val="000000"/>
          <w:sz w:val="28"/>
          <w:szCs w:val="28"/>
        </w:rPr>
      </w:pPr>
      <w:bookmarkStart w:id="10" w:name="_Toc1090002626"/>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антиаритмічні</w:t>
      </w:r>
      <w:bookmarkEnd w:id="10"/>
    </w:p>
    <w:p w14:paraId="05861214">
      <w:pPr>
        <w:pStyle w:val="3"/>
        <w:spacing w:before="0" w:line="360" w:lineRule="auto"/>
        <w:ind w:left="709" w:firstLine="709"/>
        <w:jc w:val="both"/>
        <w:rPr>
          <w:rFonts w:ascii="Times New Roman" w:hAnsi="Times New Roman" w:eastAsia="Times New Roman" w:cs="Times New Roman"/>
          <w:color w:val="000000"/>
          <w:sz w:val="28"/>
          <w:szCs w:val="28"/>
        </w:rPr>
      </w:pPr>
      <w:bookmarkStart w:id="11" w:name="_Toc555895632"/>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блокатори кальцієвих каналів</w:t>
      </w:r>
      <w:bookmarkEnd w:id="11"/>
    </w:p>
    <w:p w14:paraId="7C8D1BEA">
      <w:pPr>
        <w:pStyle w:val="3"/>
        <w:spacing w:before="0" w:line="360" w:lineRule="auto"/>
        <w:ind w:left="709" w:firstLine="709"/>
        <w:jc w:val="both"/>
        <w:rPr>
          <w:rFonts w:ascii="Times New Roman" w:hAnsi="Times New Roman" w:eastAsia="Times New Roman" w:cs="Times New Roman"/>
          <w:color w:val="000000"/>
          <w:sz w:val="28"/>
          <w:szCs w:val="28"/>
        </w:rPr>
      </w:pPr>
      <w:bookmarkStart w:id="12" w:name="_Toc1660794748"/>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гіпотензивні</w:t>
      </w:r>
      <w:bookmarkEnd w:id="12"/>
    </w:p>
    <w:p w14:paraId="3E39A9E7">
      <w:pPr>
        <w:pStyle w:val="3"/>
        <w:spacing w:before="0" w:line="360" w:lineRule="auto"/>
        <w:ind w:left="709" w:firstLine="709"/>
        <w:jc w:val="both"/>
        <w:rPr>
          <w:rFonts w:ascii="Times New Roman" w:hAnsi="Times New Roman" w:eastAsia="Times New Roman" w:cs="Times New Roman"/>
          <w:color w:val="000000"/>
          <w:sz w:val="28"/>
          <w:szCs w:val="28"/>
        </w:rPr>
      </w:pPr>
      <w:bookmarkStart w:id="13" w:name="_Toc1761512656"/>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діуретики</w:t>
      </w:r>
      <w:bookmarkEnd w:id="13"/>
    </w:p>
    <w:p w14:paraId="69A44923">
      <w:pPr>
        <w:pStyle w:val="3"/>
        <w:spacing w:before="0" w:line="360" w:lineRule="auto"/>
        <w:ind w:left="709" w:firstLine="709"/>
        <w:jc w:val="both"/>
        <w:rPr>
          <w:rFonts w:ascii="Times New Roman" w:hAnsi="Times New Roman" w:eastAsia="Times New Roman" w:cs="Times New Roman"/>
          <w:color w:val="000000"/>
          <w:sz w:val="28"/>
          <w:szCs w:val="28"/>
        </w:rPr>
      </w:pPr>
      <w:bookmarkStart w:id="14" w:name="_Toc843951713"/>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психотропні (нейролептики, антидепресанти)</w:t>
      </w:r>
      <w:bookmarkEnd w:id="14"/>
    </w:p>
    <w:p w14:paraId="69B452CC">
      <w:pPr>
        <w:pStyle w:val="3"/>
        <w:spacing w:before="0" w:line="360" w:lineRule="auto"/>
        <w:ind w:left="709" w:firstLine="709"/>
        <w:jc w:val="both"/>
        <w:rPr>
          <w:rFonts w:ascii="Times New Roman" w:hAnsi="Times New Roman" w:eastAsia="Times New Roman" w:cs="Times New Roman"/>
          <w:color w:val="000000"/>
          <w:sz w:val="28"/>
          <w:szCs w:val="28"/>
        </w:rPr>
      </w:pPr>
      <w:bookmarkStart w:id="15" w:name="_Toc1352256395"/>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анальгетики</w:t>
      </w:r>
      <w:bookmarkEnd w:id="15"/>
    </w:p>
    <w:p w14:paraId="7A67238C">
      <w:pPr>
        <w:pStyle w:val="3"/>
        <w:spacing w:before="0" w:line="360" w:lineRule="auto"/>
        <w:ind w:left="709" w:firstLine="709"/>
        <w:jc w:val="both"/>
        <w:rPr>
          <w:rFonts w:ascii="Times New Roman" w:hAnsi="Times New Roman" w:eastAsia="Times New Roman" w:cs="Times New Roman"/>
          <w:color w:val="000000"/>
          <w:sz w:val="28"/>
          <w:szCs w:val="28"/>
        </w:rPr>
      </w:pPr>
      <w:bookmarkStart w:id="16" w:name="_Toc1769758465"/>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антибіотики</w:t>
      </w:r>
      <w:bookmarkEnd w:id="16"/>
    </w:p>
    <w:p w14:paraId="2EC8753D">
      <w:pPr>
        <w:pStyle w:val="3"/>
        <w:spacing w:before="0" w:line="360" w:lineRule="auto"/>
        <w:ind w:left="709" w:firstLine="709"/>
        <w:jc w:val="both"/>
        <w:rPr>
          <w:rFonts w:ascii="Times New Roman" w:hAnsi="Times New Roman" w:eastAsia="Times New Roman" w:cs="Times New Roman"/>
          <w:color w:val="000000"/>
          <w:sz w:val="28"/>
          <w:szCs w:val="28"/>
        </w:rPr>
      </w:pPr>
      <w:bookmarkStart w:id="17" w:name="_Toc2099484274"/>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геропротектори</w:t>
      </w:r>
      <w:bookmarkEnd w:id="17"/>
    </w:p>
    <w:p w14:paraId="68439ACA"/>
    <w:p w14:paraId="48B77ED2">
      <w:pPr>
        <w:pStyle w:val="3"/>
        <w:spacing w:before="0" w:line="360" w:lineRule="auto"/>
        <w:ind w:firstLine="709"/>
        <w:jc w:val="center"/>
        <w:rPr>
          <w:rFonts w:ascii="Times New Roman" w:hAnsi="Times New Roman" w:eastAsia="Times New Roman" w:cs="Times New Roman"/>
          <w:b/>
          <w:bCs/>
          <w:color w:val="000000" w:themeColor="text1" w:themeTint="FF"/>
          <w:sz w:val="28"/>
          <w:szCs w:val="28"/>
          <w14:textFill>
            <w14:solidFill>
              <w14:schemeClr w14:val="tx1">
                <w14:lumMod w14:val="100000"/>
                <w14:lumOff w14:val="0"/>
              </w14:schemeClr>
            </w14:solidFill>
          </w14:textFill>
        </w:rPr>
      </w:pPr>
      <w:bookmarkStart w:id="18" w:name="_Toc1492603465"/>
      <w:r>
        <w:rPr>
          <w:rFonts w:ascii="Times New Roman" w:hAnsi="Times New Roman" w:eastAsia="Times New Roman" w:cs="Times New Roman"/>
          <w:b/>
          <w:bCs/>
          <w:color w:val="000000" w:themeColor="text1" w:themeTint="FF"/>
          <w:sz w:val="28"/>
          <w:szCs w:val="28"/>
          <w14:textFill>
            <w14:solidFill>
              <w14:schemeClr w14:val="tx1">
                <w14:lumMod w14:val="100000"/>
                <w14:lumOff w14:val="0"/>
              </w14:schemeClr>
            </w14:solidFill>
          </w14:textFill>
        </w:rPr>
        <w:t>Особливості взаємодії ліків</w:t>
      </w:r>
      <w:bookmarkEnd w:id="18"/>
    </w:p>
    <w:p w14:paraId="3A388D66">
      <w:pPr>
        <w:pStyle w:val="3"/>
        <w:spacing w:before="0" w:line="360" w:lineRule="auto"/>
        <w:ind w:left="709"/>
        <w:jc w:val="both"/>
        <w:rPr>
          <w:rFonts w:ascii="Times New Roman" w:hAnsi="Times New Roman" w:eastAsia="Times New Roman" w:cs="Times New Roman"/>
          <w:color w:val="000000"/>
          <w:sz w:val="28"/>
          <w:szCs w:val="28"/>
        </w:rPr>
      </w:pPr>
      <w:bookmarkStart w:id="19" w:name="_Toc530340059"/>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Поліморбідність у людей старших вікових груп викликає необхідність застосування декількох лікарських засобів. Це створює ризик розвитку побічних реацій. З кількістю препаратів зростає число побічних реакцій. Крім того., різні види антагонізму між ЛР знижують терапевтичний ефект. Тому геріатр повинен виділити </w:t>
      </w:r>
      <w:r>
        <w:rPr>
          <w:rFonts w:ascii="Times New Roman" w:hAnsi="Times New Roman" w:eastAsia="Times New Roman" w:cs="Times New Roman"/>
          <w:i/>
          <w:iCs/>
          <w:color w:val="000000" w:themeColor="text1" w:themeTint="FF"/>
          <w:sz w:val="28"/>
          <w:szCs w:val="28"/>
          <w14:textFill>
            <w14:solidFill>
              <w14:schemeClr w14:val="tx1">
                <w14:lumMod w14:val="100000"/>
                <w14:lumOff w14:val="0"/>
              </w14:schemeClr>
            </w14:solidFill>
          </w14:textFill>
        </w:rPr>
        <w:t>основні моменти терапії</w:t>
      </w: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 xml:space="preserve"> в комплексі лікувальних заходів.</w:t>
      </w:r>
      <w:bookmarkEnd w:id="19"/>
    </w:p>
    <w:p w14:paraId="1DF3C728">
      <w:pPr>
        <w:pStyle w:val="3"/>
        <w:spacing w:before="0" w:line="360" w:lineRule="auto"/>
        <w:ind w:left="709" w:firstLine="709"/>
        <w:jc w:val="both"/>
        <w:rPr>
          <w:rFonts w:ascii="Times New Roman" w:hAnsi="Times New Roman" w:eastAsia="Times New Roman" w:cs="Times New Roman"/>
          <w:color w:val="000000"/>
          <w:sz w:val="28"/>
          <w:szCs w:val="28"/>
        </w:rPr>
      </w:pPr>
      <w:bookmarkStart w:id="20" w:name="_Toc242015285"/>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Необхідно враховувати, що віком звужується інтервал терапевтичної дії ЛП, тому прогнозувати кінцевий підсумок взаємодії дуже важко.</w:t>
      </w:r>
      <w:bookmarkEnd w:id="20"/>
    </w:p>
    <w:p w14:paraId="17FF89BA">
      <w:pPr>
        <w:pStyle w:val="3"/>
        <w:spacing w:before="0" w:line="360" w:lineRule="auto"/>
        <w:ind w:left="709" w:firstLine="709"/>
        <w:jc w:val="both"/>
        <w:rPr>
          <w:rFonts w:ascii="Times New Roman" w:hAnsi="Times New Roman" w:eastAsia="Times New Roman" w:cs="Times New Roman"/>
          <w:color w:val="000000"/>
          <w:sz w:val="28"/>
          <w:szCs w:val="28"/>
        </w:rPr>
      </w:pPr>
      <w:bookmarkStart w:id="21" w:name="_Toc1368037960"/>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Прикладом антагоністичних відносин між різними препаратами може бути ефект сповільненого всмоктування ліків кислотної структури (саліцилатів, барбітуратів) при одночасному призначені антацидів.</w:t>
      </w:r>
      <w:bookmarkEnd w:id="21"/>
    </w:p>
    <w:p w14:paraId="21BB0AF2">
      <w:pPr>
        <w:pStyle w:val="3"/>
        <w:keepNext w:val="0"/>
        <w:keepLines w:val="0"/>
        <w:spacing w:before="0" w:line="360" w:lineRule="auto"/>
        <w:ind w:left="709" w:firstLine="709"/>
        <w:jc w:val="both"/>
        <w:rPr>
          <w:rFonts w:ascii="Times New Roman" w:hAnsi="Times New Roman" w:eastAsia="Times New Roman" w:cs="Times New Roman"/>
          <w:color w:val="000000"/>
          <w:sz w:val="28"/>
          <w:szCs w:val="28"/>
        </w:rPr>
      </w:pPr>
      <w:bookmarkStart w:id="22" w:name="_Toc1722232934"/>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Нейролептики і антидепресанти знижують тонус м’язевої стінки кишечника за рахунок вираженої холінолітичної дії. Це створює сповільнену перистальтику і можливість розвитку інтоксикації. Пеніциліни затримуються в організмі при блокаді екскреторних транспортних систем НСПЗ. Так само на виведення СГ впливають верошпірон, на виведення індометацину – фуросемід.</w:t>
      </w:r>
      <w:bookmarkEnd w:id="22"/>
    </w:p>
    <w:p w14:paraId="0A64D3EE">
      <w:pPr>
        <w:pStyle w:val="3"/>
        <w:keepNext w:val="0"/>
        <w:keepLines w:val="0"/>
        <w:spacing w:before="0" w:line="360" w:lineRule="auto"/>
        <w:ind w:left="709" w:firstLine="709"/>
        <w:jc w:val="both"/>
        <w:rPr>
          <w:rFonts w:ascii="Times New Roman" w:hAnsi="Times New Roman" w:eastAsia="Times New Roman" w:cs="Times New Roman"/>
          <w:color w:val="000000"/>
          <w:sz w:val="28"/>
          <w:szCs w:val="28"/>
        </w:rPr>
      </w:pPr>
      <w:bookmarkStart w:id="23" w:name="_Toc245754848"/>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Вікові зміни органів накладають відбиток і на фармакодинамічну взаємодію ЛР. На фоні зниженого вмісту К в міокарді і крові у старих людей комбінація діуретиків і серцевих глікозидів посилює токсичність останніх.</w:t>
      </w:r>
      <w:bookmarkEnd w:id="23"/>
    </w:p>
    <w:p w14:paraId="2A145A7B">
      <w:pPr>
        <w:pStyle w:val="3"/>
        <w:keepNext w:val="0"/>
        <w:keepLines w:val="0"/>
        <w:spacing w:before="0" w:line="360" w:lineRule="auto"/>
        <w:ind w:left="709" w:firstLine="709"/>
        <w:jc w:val="both"/>
        <w:rPr>
          <w:rFonts w:ascii="Times New Roman" w:hAnsi="Times New Roman" w:eastAsia="Times New Roman" w:cs="Times New Roman"/>
          <w:color w:val="000000"/>
          <w:sz w:val="28"/>
          <w:szCs w:val="28"/>
        </w:rPr>
      </w:pPr>
      <w:bookmarkStart w:id="24" w:name="_Toc1217737975"/>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У літніх посилюється активність гіпотензивних (змінена чутливість периферичних рецепторів).</w:t>
      </w:r>
      <w:bookmarkEnd w:id="24"/>
    </w:p>
    <w:p w14:paraId="6D98A12B">
      <w:pPr>
        <w:spacing w:after="0" w:line="360" w:lineRule="auto"/>
        <w:ind w:left="709"/>
        <w:jc w:val="both"/>
        <w:rPr>
          <w:rFonts w:ascii="Times New Roman" w:hAnsi="Times New Roman" w:eastAsia="Times New Roman" w:cs="Times New Roman"/>
          <w:sz w:val="28"/>
          <w:szCs w:val="28"/>
        </w:rPr>
      </w:pPr>
    </w:p>
    <w:p w14:paraId="2946DB82"/>
    <w:p w14:paraId="6B23A1F5">
      <w:pPr>
        <w:spacing w:before="300" w:after="3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Найчастіші побічні реакції у людей літнього віку при проведенні фармакотерапії</w:t>
      </w:r>
    </w:p>
    <w:p w14:paraId="77F60FE1">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Гострий делірій</w:t>
      </w:r>
    </w:p>
    <w:p w14:paraId="071B9BA6">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Гіпокаліємія</w:t>
      </w:r>
    </w:p>
    <w:p w14:paraId="30A11E2B">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Парестезія</w:t>
      </w:r>
    </w:p>
    <w:p w14:paraId="0734C7B8">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Хорея</w:t>
      </w:r>
    </w:p>
    <w:p w14:paraId="21BEA3EB">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Втомленість</w:t>
      </w:r>
    </w:p>
    <w:p w14:paraId="5E876B38">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Порушення сечовипускання</w:t>
      </w:r>
    </w:p>
    <w:p w14:paraId="1F3088E2">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Психічні розлади</w:t>
      </w:r>
    </w:p>
    <w:p w14:paraId="03C11FBD">
      <w:pPr>
        <w:numPr>
          <w:ilvl w:val="0"/>
          <w:numId w:val="5"/>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Рухові розлади</w:t>
      </w:r>
    </w:p>
    <w:p w14:paraId="6A534D12">
      <w:pPr>
        <w:numPr>
          <w:ilvl w:val="0"/>
          <w:numId w:val="5"/>
        </w:numPr>
        <w:spacing w:after="0" w:line="360" w:lineRule="auto"/>
        <w:ind w:left="709"/>
        <w:jc w:val="both"/>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pPr>
      <w:r>
        <w:rPr>
          <w:rFonts w:ascii="Times New Roman" w:hAnsi="Times New Roman" w:eastAsia="Times New Roman" w:cs="Times New Roman"/>
          <w:color w:val="000000" w:themeColor="text1" w:themeTint="FF"/>
          <w:sz w:val="28"/>
          <w:szCs w:val="28"/>
          <w14:textFill>
            <w14:solidFill>
              <w14:schemeClr w14:val="tx1">
                <w14:lumMod w14:val="100000"/>
                <w14:lumOff w14:val="0"/>
              </w14:schemeClr>
            </w14:solidFill>
          </w14:textFill>
        </w:rPr>
        <w:t>Сплутаність свідомості</w:t>
      </w:r>
    </w:p>
    <w:p w14:paraId="2C28CC40">
      <w:pPr>
        <w:spacing w:after="0" w:line="360" w:lineRule="auto"/>
        <w:ind w:left="709"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Розглядаючи геріатричний аспект ускладнень фармакотерапії, необхідно враховувати наступні моменти при лікуванні хворих відповідного віку (Байрак Д.М., 2009):</w:t>
      </w:r>
    </w:p>
    <w:p w14:paraId="41E3A534">
      <w:pPr>
        <w:numPr>
          <w:ilvl w:val="0"/>
          <w:numId w:val="6"/>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Ризик виникнення ПР від застосовуваних ЛЗ у пацієнтів літнього віку в 5-7 разів вищий, ніж у молодших;</w:t>
      </w:r>
    </w:p>
    <w:p w14:paraId="3D04DB88">
      <w:pPr>
        <w:numPr>
          <w:ilvl w:val="0"/>
          <w:numId w:val="6"/>
        </w:numPr>
        <w:spacing w:after="0" w:line="360" w:lineRule="auto"/>
        <w:ind w:left="709" w:firstLine="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Особи літнього віку в 2-3 рази частіше, ніж пацієнти молодого та середнього віку, госпіталізуються у зв’язку з ПР ЛЗ;</w:t>
      </w:r>
    </w:p>
    <w:p w14:paraId="33568E25">
      <w:pPr>
        <w:numPr>
          <w:ilvl w:val="0"/>
          <w:numId w:val="6"/>
        </w:numPr>
        <w:spacing w:after="0" w:line="360" w:lineRule="auto"/>
        <w:ind w:left="709" w:firstLine="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Найбільша кількість смертельних випадків, які пов’язані з ПР ЛЗ у пацієнтів літнього та старечого віку, припадає на вік 80-90 років;</w:t>
      </w:r>
    </w:p>
    <w:p w14:paraId="04C3A933">
      <w:pPr>
        <w:numPr>
          <w:ilvl w:val="0"/>
          <w:numId w:val="6"/>
        </w:numPr>
        <w:spacing w:after="0" w:line="360" w:lineRule="auto"/>
        <w:ind w:left="709" w:firstLine="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При призначенні трьох або більше препаратів, пов’язаних із ПР у старечому віці, ймовірність їх виникнення збільшується в 10 та більше разів.</w:t>
      </w:r>
    </w:p>
    <w:p w14:paraId="5997CC1D">
      <w:pPr>
        <w:spacing w:after="0" w:line="360" w:lineRule="auto"/>
        <w:jc w:val="both"/>
        <w:rPr>
          <w:rFonts w:ascii="Times New Roman" w:hAnsi="Times New Roman" w:eastAsia="Times New Roman" w:cs="Times New Roman"/>
          <w:sz w:val="28"/>
          <w:szCs w:val="28"/>
        </w:rPr>
      </w:pPr>
    </w:p>
    <w:p w14:paraId="6133FE61">
      <w:pPr>
        <w:spacing w:after="0" w:line="360" w:lineRule="auto"/>
        <w:jc w:val="center"/>
        <w:rPr>
          <w:rFonts w:ascii="Times New Roman" w:hAnsi="Times New Roman" w:eastAsia="Times New Roman" w:cs="Times New Roman"/>
          <w:b/>
          <w:color w:val="1C1C1C"/>
          <w:sz w:val="28"/>
          <w:szCs w:val="28"/>
        </w:rPr>
      </w:pPr>
      <w:r>
        <w:rPr>
          <w:rFonts w:ascii="Times New Roman" w:hAnsi="Times New Roman" w:eastAsia="Times New Roman" w:cs="Times New Roman"/>
          <w:b/>
          <w:color w:val="1C1C1C"/>
          <w:sz w:val="28"/>
          <w:szCs w:val="28"/>
        </w:rPr>
        <w:t>Атипові реакції при медичному застосуванні лікарського засобу у людей літнього віку</w:t>
      </w:r>
    </w:p>
    <w:p w14:paraId="110FFD37">
      <w:pPr>
        <w:spacing w:after="0" w:line="360" w:lineRule="auto"/>
        <w:jc w:val="center"/>
        <w:rPr>
          <w:rFonts w:ascii="Times New Roman" w:hAnsi="Times New Roman" w:eastAsia="Times New Roman" w:cs="Times New Roman"/>
          <w:b/>
          <w:color w:val="1C1C1C"/>
          <w:sz w:val="28"/>
          <w:szCs w:val="28"/>
        </w:rPr>
      </w:pPr>
    </w:p>
    <w:p w14:paraId="7A8459D3">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Новокаїнамід - периферична нейропатія</w:t>
      </w:r>
    </w:p>
    <w:p w14:paraId="08D80E6A">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Пропранолол- тяжка діарея, галюцинації</w:t>
      </w:r>
    </w:p>
    <w:p w14:paraId="0BCD42DB">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Препарати дигіталісу- анорексія, аритмія, порушення зору</w:t>
      </w:r>
    </w:p>
    <w:p w14:paraId="33EC68C4">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Прокаїнамід - аритмія, депресія, лейкопенія, агранулоцитоз, тромбоцитопенія, шкірні реакції</w:t>
      </w:r>
    </w:p>
    <w:p w14:paraId="5D0A1985">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Фуросемід- електролітичний дисбаланс, порушення слуху, порушення функції печінки, панкреатит, лейкопенія, тромбоцитопенія</w:t>
      </w:r>
    </w:p>
    <w:p w14:paraId="0F9F1C8B">
      <w:pPr>
        <w:numPr>
          <w:ilvl w:val="0"/>
          <w:numId w:val="7"/>
        </w:numPr>
        <w:spacing w:after="0" w:line="360" w:lineRule="auto"/>
        <w:ind w:left="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1C1C1C"/>
          <w:sz w:val="28"/>
          <w:szCs w:val="28"/>
        </w:rPr>
        <w:t>Метилдопа- порушення функції печінки, депресія, тахікардія, тремор</w:t>
      </w:r>
    </w:p>
    <w:p w14:paraId="6B699379">
      <w:pPr>
        <w:spacing w:after="0" w:line="360" w:lineRule="auto"/>
        <w:ind w:left="709"/>
        <w:jc w:val="both"/>
        <w:rPr>
          <w:rFonts w:ascii="Times New Roman" w:hAnsi="Times New Roman" w:eastAsia="Times New Roman" w:cs="Times New Roman"/>
          <w:sz w:val="28"/>
          <w:szCs w:val="28"/>
        </w:rPr>
      </w:pPr>
    </w:p>
    <w:p w14:paraId="7E027E44">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У зв`язку з вищевикладеним для дотримання основних принципів призначення лікарських засобів пацієнтам похилого віку слід:</w:t>
      </w:r>
    </w:p>
    <w:p w14:paraId="3FE9F23F">
      <w:pPr>
        <w:spacing w:after="0" w:line="360" w:lineRule="auto"/>
        <w:ind w:left="709"/>
        <w:jc w:val="both"/>
        <w:rPr>
          <w:rFonts w:ascii="Times New Roman" w:hAnsi="Times New Roman" w:eastAsia="Times New Roman" w:cs="Times New Roman"/>
          <w:sz w:val="28"/>
          <w:szCs w:val="28"/>
        </w:rPr>
      </w:pPr>
    </w:p>
    <w:p w14:paraId="3DF8F8C5">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1. Встановити необхідність призначення лікарського засобу:   </w:t>
      </w:r>
    </w:p>
    <w:p w14:paraId="19479D23">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всі хвороби осіб похилого віку вимагають медикаментозного лікування </w:t>
      </w:r>
    </w:p>
    <w:p w14:paraId="4C713B29">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встановити точний діагноз перед початком лікування ( консультація з лікарем)</w:t>
      </w:r>
    </w:p>
    <w:p w14:paraId="6EB3292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по можливості уникати застосування лікарських засобів, але не обов`язково призначати їх, якщо є актуальним питання якості життя. </w:t>
      </w:r>
    </w:p>
    <w:p w14:paraId="1F72F646">
      <w:pPr>
        <w:spacing w:after="0" w:line="360" w:lineRule="auto"/>
        <w:jc w:val="both"/>
        <w:rPr>
          <w:rFonts w:ascii="Times New Roman" w:hAnsi="Times New Roman" w:eastAsia="Times New Roman" w:cs="Times New Roman"/>
          <w:sz w:val="28"/>
          <w:szCs w:val="28"/>
        </w:rPr>
      </w:pPr>
    </w:p>
    <w:p w14:paraId="629BF547">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Ретельно виявити всі умови застосування лікарських засобів пацієнтом:</w:t>
      </w:r>
    </w:p>
    <w:p w14:paraId="2A2FEE8E">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хворий може отримувати рекомендації і лікування від декількох лікарів, тому відомості про вже проведеної терапії дозволяють уникнути небажаних лікарських взаємодій</w:t>
      </w:r>
    </w:p>
    <w:p w14:paraId="0515DC21">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куріння, алкоголь, вживання кави можуть призвести до посилення дії лікарських засобів. </w:t>
      </w:r>
    </w:p>
    <w:p w14:paraId="41F3C427">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3. Добре знати механізм дії призначається препарату: </w:t>
      </w:r>
    </w:p>
    <w:p w14:paraId="38CD822B">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пам`ятати про можливість вікових змін в розподілі лікарських речовин</w:t>
      </w:r>
    </w:p>
    <w:p w14:paraId="3114B189">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призначати добре вивчені лікарські засоби. </w:t>
      </w:r>
    </w:p>
    <w:p w14:paraId="1408FBD7">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4. Починати терапію з невисоких доз лікарських засобів: </w:t>
      </w:r>
    </w:p>
    <w:p w14:paraId="2878CD37">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стандартна доза часто висока для пацієнтів похилого віку</w:t>
      </w:r>
    </w:p>
    <w:p w14:paraId="0CBB3BD8">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вплив віку на печінковий метаболізм лікарського речовини в печінці не завжди прогнозовано, але ниркова екскрекції ліків і їх метаболітів з віком знижується</w:t>
      </w:r>
    </w:p>
    <w:p w14:paraId="1916EB4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хворі похилого віку більш сприйнятливі до лікарських засобів, що впливає на центральну нервову систему. </w:t>
      </w:r>
    </w:p>
    <w:p w14:paraId="3BC4503D">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5. Титровать дози до потрібного ефекту:</w:t>
      </w:r>
    </w:p>
    <w:p w14:paraId="45D0FBD6">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визначити досягається терапевтичний ефект</w:t>
      </w:r>
    </w:p>
    <w:p w14:paraId="767A61BF">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поступово довести дозу до такої, застосування якої дає граничний терапевтичний результат. Якщо досягти бажаного не вдається, необхідно прагнути використовувати максимальну переноситься дозу (коли подальше збільшення дози призводить до виникнення побічних реакцій) </w:t>
      </w:r>
    </w:p>
    <w:p w14:paraId="3A566787">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в окремих випадках комбінована терапія більш адекватна і ефективна.</w:t>
      </w:r>
    </w:p>
    <w:p w14:paraId="311E56D4">
      <w:pPr>
        <w:spacing w:after="0" w:line="360" w:lineRule="auto"/>
        <w:ind w:left="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6. Спростити режим застосування лікарських засобів, забезпечувати відданість терапії: </w:t>
      </w:r>
    </w:p>
    <w:p w14:paraId="7014B825">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уникати складних режимів дозування, найбільш прийнятний для лікарських речовин - 1-2 рази на добу</w:t>
      </w:r>
    </w:p>
    <w:p w14:paraId="5ED67195">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ретельно інструктувати хворих і їх родичів щодо прийому лікарських засобів-   - пояснити, для чого виписано лікарський засіб</w:t>
      </w:r>
    </w:p>
    <w:p w14:paraId="415E649E">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запропонувати вести запис прийому лікарських засобів </w:t>
      </w:r>
    </w:p>
    <w:p w14:paraId="775B9310">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постійно контролювати дотримання хворим похилого віку режиму прийому лікарських речовин.</w:t>
      </w:r>
    </w:p>
    <w:p w14:paraId="08CE6F91">
      <w:pPr>
        <w:spacing w:after="0" w:line="360" w:lineRule="auto"/>
        <w:ind w:left="709"/>
        <w:jc w:val="both"/>
        <w:rPr>
          <w:rFonts w:ascii="Times New Roman" w:hAnsi="Times New Roman" w:eastAsia="Times New Roman" w:cs="Times New Roman"/>
          <w:sz w:val="28"/>
          <w:szCs w:val="28"/>
        </w:rPr>
      </w:pPr>
    </w:p>
    <w:p w14:paraId="0821E9C4">
      <w:pPr>
        <w:spacing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Результати дослідження</w:t>
      </w:r>
    </w:p>
    <w:p w14:paraId="62ACDA7D">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color w:val="1C1C1C"/>
          <w:sz w:val="28"/>
          <w:szCs w:val="28"/>
        </w:rPr>
        <w:t xml:space="preserve">Як свідчать результати </w:t>
      </w:r>
      <w:r>
        <w:rPr>
          <w:rFonts w:ascii="Times New Roman" w:hAnsi="Times New Roman" w:eastAsia="Times New Roman" w:cs="Times New Roman"/>
          <w:i/>
          <w:color w:val="1C1C1C"/>
          <w:sz w:val="28"/>
          <w:szCs w:val="28"/>
        </w:rPr>
        <w:t>клінічних досліджень</w:t>
      </w:r>
      <w:r>
        <w:rPr>
          <w:rFonts w:ascii="Times New Roman" w:hAnsi="Times New Roman" w:eastAsia="Times New Roman" w:cs="Times New Roman"/>
          <w:color w:val="1C1C1C"/>
          <w:sz w:val="28"/>
          <w:szCs w:val="28"/>
        </w:rPr>
        <w:t xml:space="preserve">, призначення хворим літнього віку препаратів без урахування їх небажаної фармакокінетичної взаємодії призводить до розвитку клінічно значущих ПР. Усе це потребує індивідуального вибору лікарських препаратів та їх дозування залежно від клінічної ситуації у хворих літнього та старечого віку. </w:t>
      </w:r>
    </w:p>
    <w:p w14:paraId="4503236F">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color w:val="1C1C1C"/>
          <w:sz w:val="28"/>
          <w:szCs w:val="28"/>
        </w:rPr>
        <w:t xml:space="preserve">Унаслідок вікових структурно-функціональних змін при старінні </w:t>
      </w:r>
      <w:r>
        <w:rPr>
          <w:rFonts w:ascii="Times New Roman" w:hAnsi="Times New Roman" w:eastAsia="Times New Roman" w:cs="Times New Roman"/>
          <w:b/>
          <w:color w:val="1C1C1C"/>
          <w:sz w:val="28"/>
          <w:szCs w:val="28"/>
        </w:rPr>
        <w:t>зменшується кількість фармакорецепторів, змінюється їх чутливість до ліків. Спостерігаються також зміни вмісту метаболітів, активності ферментів, реакції внутрішнього середовища організму</w:t>
      </w:r>
      <w:r>
        <w:rPr>
          <w:rFonts w:ascii="Times New Roman" w:hAnsi="Times New Roman" w:eastAsia="Times New Roman" w:cs="Times New Roman"/>
          <w:color w:val="1C1C1C"/>
          <w:sz w:val="28"/>
          <w:szCs w:val="28"/>
        </w:rPr>
        <w:t>, що зумовлює вікові особливості фармакодинаміки різних груп ліків в організмі пацієнта старечого віку.</w:t>
      </w:r>
    </w:p>
    <w:p w14:paraId="5FB3681A">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color w:val="1C1C1C"/>
          <w:sz w:val="28"/>
          <w:szCs w:val="28"/>
        </w:rPr>
        <w:t>Проведений в Англії ретроспективний аналіз медикаментозної терапії стаціонарних хворих літнього й старечого віку за десятирічний період виявив у 37,3 % хворих побічні реакції, що асоціювалися з медикаментозною взаємодією. Найчастішими поєднаннями, що викликали ПР, були: інгібітор ангіотензинперетворювального ферменту (ІАПФ) або блокатор рецептора ангіотензина та калійзберігаючий діуретик, антагоніст кальцію та макролідний антибіотик, варфарин та нестероїдні протизапальні засоби (НПЗЗ), теофілін та ципрофлоксацин, фенітоїн та сульфаніламід.</w:t>
      </w:r>
    </w:p>
    <w:p w14:paraId="61CDCEAD">
      <w:pPr>
        <w:spacing w:before="300" w:after="300" w:line="360" w:lineRule="auto"/>
        <w:jc w:val="center"/>
        <w:rPr>
          <w:rFonts w:ascii="Times New Roman" w:hAnsi="Times New Roman" w:eastAsia="Times New Roman" w:cs="Times New Roman"/>
          <w:b/>
          <w:sz w:val="28"/>
          <w:szCs w:val="28"/>
        </w:rPr>
      </w:pPr>
    </w:p>
    <w:p w14:paraId="73FB47DD">
      <w:pPr>
        <w:spacing w:before="300" w:after="30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Висновки</w:t>
      </w:r>
    </w:p>
    <w:p w14:paraId="3930C659">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Застосування лікарських засобів в похилому віці є складним завданням, що вимагає уважного підходу та індивідуалізації для забезпечення ефективності та безпеки лікування. З особливостями фармакокінетики та фармакодинаміки, а також змінами в фізіології організму пов'язаними із старінням, медичні працівники повинні бути особливо уважними при виборі та призначенні ліків для пацієнтів похилого віку. </w:t>
      </w:r>
    </w:p>
    <w:p w14:paraId="69C582B6">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Однією з ключових проблем є поліфармакотерапія, яка є поширеною серед літнього населення через наявність різних хронічних захворювань. Важливо враховувати взаємодії між різними ліками та між ліками та харчуванням. Збільшений ризик виникнення побічних ефектів та або несприятливих реакцій може виникнути внаслідок комбінування різних препаратів.</w:t>
      </w:r>
    </w:p>
    <w:p w14:paraId="7D5AC2AB">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Особливу увагу слід приділяти адаптації доз та вибору ліків з меншим ризиком побічних ефектів. Індивідуалізація та персоналізація лікування важливі для врахування унікальних потреб та характеристик кожного пацієнта.Психічний стан та психологічні аспекти також грають важливу роль у лікуванні людей похилого віку. Депресія, деменція та інші психічні стани можуть впливати на дотримання режиму лікування та взаємодію з медикаментами.</w:t>
      </w:r>
    </w:p>
    <w:p w14:paraId="22F06948">
      <w:pPr>
        <w:spacing w:after="0" w:line="360" w:lineRule="auto"/>
        <w:ind w:left="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Висновуючи, ефективне та безпечне застосування лікарських засобів у похилому віці вимагає комплексного підходу, що охоплює розуміння фізіологічних та психологічних особливостей пацієнтів, врахування поліфармакотерапії та уникальних аспектів кожного випадку. Розробка та впровадження індивідуалізованих лікувальних стратегій дозволить забезпечити оптимальне лікування та поліпшити якість життя літнього населення.</w:t>
      </w:r>
    </w:p>
    <w:p w14:paraId="1D101620">
      <w:pPr>
        <w:spacing w:before="300" w:after="0" w:line="360" w:lineRule="auto"/>
        <w:jc w:val="center"/>
        <w:rPr>
          <w:rFonts w:ascii="Times New Roman" w:hAnsi="Times New Roman" w:eastAsia="Times New Roman" w:cs="Times New Roman"/>
          <w:b/>
          <w:sz w:val="28"/>
          <w:szCs w:val="28"/>
        </w:rPr>
      </w:pPr>
      <w:r>
        <w:br w:type="page"/>
      </w:r>
      <w:r>
        <w:rPr>
          <w:rFonts w:ascii="Times New Roman" w:hAnsi="Times New Roman" w:eastAsia="Times New Roman" w:cs="Times New Roman"/>
          <w:b/>
          <w:sz w:val="28"/>
          <w:szCs w:val="28"/>
        </w:rPr>
        <w:t>СПИСОК ЛІТЕРАТУРИ</w:t>
      </w:r>
    </w:p>
    <w:p w14:paraId="3E6BAF42">
      <w:pPr>
        <w:numPr>
          <w:ilvl w:val="0"/>
          <w:numId w:val="8"/>
        </w:numPr>
        <w:shd w:val="clear" w:color="auto" w:fill="FFFFFF"/>
        <w:spacing w:after="0" w:line="360" w:lineRule="auto"/>
        <w:ind w:left="709" w:firstLine="0"/>
        <w:jc w:val="both"/>
        <w:rPr>
          <w:rFonts w:ascii="Times New Roman" w:hAnsi="Times New Roman" w:eastAsia="Times New Roman" w:cs="Times New Roman"/>
          <w:color w:val="000000"/>
          <w:sz w:val="28"/>
          <w:szCs w:val="28"/>
        </w:rPr>
      </w:pPr>
      <w:r>
        <w:fldChar w:fldCharType="begin"/>
      </w:r>
      <w:r>
        <w:instrText xml:space="preserve"> HYPERLINK "https://ukrshealth.ru/rizne/materiali-dlja-likariv/16902-osoblivosti-zastosuvannja-likarskih-zasobiv-u.html" \h </w:instrText>
      </w:r>
      <w:r>
        <w:fldChar w:fldCharType="separate"/>
      </w:r>
      <w:r>
        <w:rPr>
          <w:rFonts w:ascii="Times New Roman" w:hAnsi="Times New Roman" w:eastAsia="Times New Roman" w:cs="Times New Roman"/>
          <w:color w:val="000000"/>
          <w:sz w:val="28"/>
          <w:szCs w:val="28"/>
        </w:rPr>
        <w:t>https://ukrshealth.ru/rizne/materiali-dlja-likariv/16902-osoblivosti-zastosuvannja-likarskih-zasobiv-u.html</w:t>
      </w:r>
      <w:r>
        <w:rPr>
          <w:rFonts w:ascii="Times New Roman" w:hAnsi="Times New Roman" w:eastAsia="Times New Roman" w:cs="Times New Roman"/>
          <w:color w:val="000000"/>
          <w:sz w:val="28"/>
          <w:szCs w:val="28"/>
        </w:rPr>
        <w:fldChar w:fldCharType="end"/>
      </w:r>
    </w:p>
    <w:p w14:paraId="24BB40B4">
      <w:pPr>
        <w:numPr>
          <w:ilvl w:val="0"/>
          <w:numId w:val="8"/>
        </w:numPr>
        <w:shd w:val="clear" w:color="auto" w:fill="FFFFFF"/>
        <w:spacing w:after="0" w:line="360" w:lineRule="auto"/>
        <w:ind w:left="709" w:firstLine="0"/>
        <w:jc w:val="both"/>
        <w:rPr>
          <w:rFonts w:ascii="Times New Roman" w:hAnsi="Times New Roman" w:eastAsia="Times New Roman" w:cs="Times New Roman"/>
          <w:color w:val="000000"/>
          <w:sz w:val="28"/>
          <w:szCs w:val="28"/>
          <w:u w:val="single"/>
        </w:rPr>
      </w:pPr>
      <w:r>
        <w:fldChar w:fldCharType="begin"/>
      </w:r>
      <w:r>
        <w:instrText xml:space="preserve"> HYPERLINK "https://compendium.com.ua/uk/clinical-guidelines-uk/cardiology-uk/section-6-uk/glava-4-osoblivosti-zastosuvannya-likarskih-zasobiv-u-pohilomu-ta-starechomu-vitsi/" \h </w:instrText>
      </w:r>
      <w:r>
        <w:fldChar w:fldCharType="separate"/>
      </w:r>
      <w:r>
        <w:rPr>
          <w:rFonts w:ascii="Times New Roman" w:hAnsi="Times New Roman" w:eastAsia="Times New Roman" w:cs="Times New Roman"/>
          <w:color w:val="000000"/>
          <w:sz w:val="28"/>
          <w:szCs w:val="28"/>
          <w:u w:val="single"/>
        </w:rPr>
        <w:t>https://compendium.com.ua/uk/clinical-guidelines-uk/cardiology-uk/section-6-uk/glava-4-osoblivosti-zastosuvannya-likarskih-zasobiv-u-pohilomu-ta-starechomu-vitsi/</w:t>
      </w:r>
      <w:r>
        <w:rPr>
          <w:rFonts w:ascii="Times New Roman" w:hAnsi="Times New Roman" w:eastAsia="Times New Roman" w:cs="Times New Roman"/>
          <w:color w:val="000000"/>
          <w:sz w:val="28"/>
          <w:szCs w:val="28"/>
          <w:u w:val="single"/>
        </w:rPr>
        <w:fldChar w:fldCharType="end"/>
      </w:r>
    </w:p>
    <w:p w14:paraId="636BDA78">
      <w:pPr>
        <w:numPr>
          <w:ilvl w:val="0"/>
          <w:numId w:val="8"/>
        </w:numPr>
        <w:shd w:val="clear" w:color="auto" w:fill="FFFFFF"/>
        <w:spacing w:after="0" w:line="360" w:lineRule="auto"/>
        <w:ind w:left="709" w:firstLine="0"/>
        <w:jc w:val="both"/>
        <w:rPr>
          <w:rFonts w:ascii="Times New Roman" w:hAnsi="Times New Roman" w:eastAsia="Times New Roman" w:cs="Times New Roman"/>
          <w:color w:val="000000"/>
          <w:sz w:val="28"/>
          <w:szCs w:val="28"/>
          <w:u w:val="single"/>
        </w:rPr>
      </w:pPr>
      <w:r>
        <w:fldChar w:fldCharType="begin"/>
      </w:r>
      <w:r>
        <w:instrText xml:space="preserve"> HYPERLINK "https://compendium.com.ua/uk/clinical-guidelines-uk/cardiology-uk/section-6-uk/glava-4-osoblivosti-zastosuvannya-likarskih-zasobiv-u-pohilomu-ta-starechomu-vitsi" \h </w:instrText>
      </w:r>
      <w:r>
        <w:fldChar w:fldCharType="separate"/>
      </w:r>
      <w:r>
        <w:rPr>
          <w:rFonts w:ascii="Times New Roman" w:hAnsi="Times New Roman" w:eastAsia="Times New Roman" w:cs="Times New Roman"/>
          <w:color w:val="000000"/>
          <w:sz w:val="28"/>
          <w:szCs w:val="28"/>
          <w:u w:val="single"/>
        </w:rPr>
        <w:t>https://compendium.com.ua/uk/clinical-guidelines-uk/cardiology-uk/section-6-uk/glava-4-osoblivosti-zastosuvannya-likarskih-zasobiv-u-pohilomu-ta-starechomu-vitsi</w:t>
      </w:r>
      <w:r>
        <w:rPr>
          <w:rFonts w:ascii="Times New Roman" w:hAnsi="Times New Roman" w:eastAsia="Times New Roman" w:cs="Times New Roman"/>
          <w:color w:val="000000"/>
          <w:sz w:val="28"/>
          <w:szCs w:val="28"/>
          <w:u w:val="single"/>
        </w:rPr>
        <w:fldChar w:fldCharType="end"/>
      </w:r>
    </w:p>
    <w:p w14:paraId="5D1A9D6B">
      <w:pPr>
        <w:numPr>
          <w:ilvl w:val="0"/>
          <w:numId w:val="8"/>
        </w:numPr>
        <w:shd w:val="clear" w:color="auto" w:fill="FFFFFF"/>
        <w:spacing w:after="0" w:line="360" w:lineRule="auto"/>
        <w:ind w:left="709" w:firstLine="0"/>
        <w:jc w:val="both"/>
        <w:rPr>
          <w:rFonts w:ascii="Times New Roman" w:hAnsi="Times New Roman" w:eastAsia="Times New Roman" w:cs="Times New Roman"/>
          <w:color w:val="000000"/>
          <w:sz w:val="28"/>
          <w:szCs w:val="28"/>
          <w:u w:val="single"/>
        </w:rPr>
      </w:pPr>
      <w:r>
        <w:fldChar w:fldCharType="begin"/>
      </w:r>
      <w:r>
        <w:instrText xml:space="preserve"> HYPERLINK "https://ukrshealth.ru/rizne/materiali-dlja-likariv/16902-osoblivosti-zastosuvannja-likarskih-zasobiv-u.html" \h </w:instrText>
      </w:r>
      <w:r>
        <w:fldChar w:fldCharType="separate"/>
      </w:r>
      <w:r>
        <w:rPr>
          <w:rFonts w:ascii="Times New Roman" w:hAnsi="Times New Roman" w:eastAsia="Times New Roman" w:cs="Times New Roman"/>
          <w:color w:val="000000"/>
          <w:sz w:val="28"/>
          <w:szCs w:val="28"/>
          <w:u w:val="single"/>
        </w:rPr>
        <w:t>https://ukrshealth.ru/rizne/materiali-dlja-likariv/16902-osoblivosti-zastosuvannja-likarskih-zasobiv-u.html</w:t>
      </w:r>
      <w:r>
        <w:rPr>
          <w:rFonts w:ascii="Times New Roman" w:hAnsi="Times New Roman" w:eastAsia="Times New Roman" w:cs="Times New Roman"/>
          <w:color w:val="000000"/>
          <w:sz w:val="28"/>
          <w:szCs w:val="28"/>
          <w:u w:val="single"/>
        </w:rPr>
        <w:fldChar w:fldCharType="end"/>
      </w:r>
    </w:p>
    <w:p w14:paraId="715A7395">
      <w:pPr>
        <w:numPr>
          <w:ilvl w:val="0"/>
          <w:numId w:val="8"/>
        </w:numPr>
        <w:shd w:val="clear" w:color="auto" w:fill="FFFFFF"/>
        <w:spacing w:after="0" w:line="360" w:lineRule="auto"/>
        <w:ind w:left="709" w:firstLine="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http://www.ni.biz.ua/14/14_13/14_132455_osobennosti-primeneniya-lekarstvennih-sredstv-u-lits-pozhilogo-i-starcheskogo-vozrasta.html</w:t>
      </w:r>
    </w:p>
    <w:p w14:paraId="07A8188D">
      <w:pPr>
        <w:numPr>
          <w:ilvl w:val="0"/>
          <w:numId w:val="8"/>
        </w:numPr>
        <w:spacing w:after="0" w:line="360" w:lineRule="auto"/>
        <w:ind w:left="709" w:firstLine="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Безруков В., Купраш Л. (2005) Геріатричні аспекти медикаментозної терапії. Вісн. фармакології та фармації, 12: 23–27. </w:t>
      </w:r>
    </w:p>
    <w:p w14:paraId="6BB9E253">
      <w:pPr>
        <w:spacing w:before="300" w:after="0" w:line="360" w:lineRule="auto"/>
        <w:jc w:val="center"/>
        <w:rPr>
          <w:rFonts w:ascii="Times New Roman" w:hAnsi="Times New Roman" w:eastAsia="Times New Roman" w:cs="Times New Roman"/>
          <w:b/>
          <w:sz w:val="28"/>
          <w:szCs w:val="28"/>
        </w:rPr>
      </w:pPr>
    </w:p>
    <w:p w14:paraId="23DE523C">
      <w:pPr>
        <w:spacing w:before="300" w:after="300" w:line="360" w:lineRule="auto"/>
        <w:jc w:val="center"/>
        <w:rPr>
          <w:rFonts w:ascii="Times New Roman" w:hAnsi="Times New Roman" w:eastAsia="Times New Roman" w:cs="Times New Roman"/>
          <w:sz w:val="28"/>
          <w:szCs w:val="28"/>
        </w:rPr>
      </w:pPr>
    </w:p>
    <w:p w14:paraId="52E56223">
      <w:pPr>
        <w:spacing w:before="300" w:after="300" w:line="360" w:lineRule="auto"/>
        <w:rPr>
          <w:rFonts w:ascii="Times New Roman" w:hAnsi="Times New Roman" w:eastAsia="Times New Roman" w:cs="Times New Roman"/>
          <w:sz w:val="28"/>
          <w:szCs w:val="28"/>
        </w:rPr>
      </w:pPr>
    </w:p>
    <w:p w14:paraId="07547A01">
      <w:pPr>
        <w:spacing w:after="300" w:line="360" w:lineRule="auto"/>
        <w:rPr>
          <w:rFonts w:ascii="Times New Roman" w:hAnsi="Times New Roman" w:eastAsia="Times New Roman" w:cs="Times New Roman"/>
          <w:sz w:val="28"/>
          <w:szCs w:val="28"/>
        </w:rPr>
      </w:pPr>
    </w:p>
    <w:p w14:paraId="5043CB0F">
      <w:pPr>
        <w:spacing w:after="300"/>
      </w:pPr>
    </w:p>
    <w:p w14:paraId="07459315"/>
    <w:p w14:paraId="6537F28F">
      <w:pPr>
        <w:spacing w:before="300" w:after="300" w:line="360" w:lineRule="auto"/>
        <w:jc w:val="center"/>
      </w:pPr>
    </w:p>
    <w:sectPr>
      <w:headerReference r:id="rId5" w:type="first"/>
      <w:footerReference r:id="rId6" w:type="default"/>
      <w:footerReference r:id="rId7" w:type="even"/>
      <w:pgSz w:w="11906" w:h="16838"/>
      <w:pgMar w:top="1134" w:right="1134" w:bottom="1134" w:left="1134" w:header="708" w:footer="708"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87995">
    <w:pPr>
      <w:tabs>
        <w:tab w:val="center" w:pos="4680"/>
        <w:tab w:val="right" w:pos="9360"/>
      </w:tabs>
      <w:spacing w:after="0" w:line="240" w:lineRule="auto"/>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 xml:space="preserve">PAGE</w:instrText>
    </w:r>
    <w:r>
      <w:rPr>
        <w:rFonts w:ascii="Times New Roman" w:hAnsi="Times New Roman" w:eastAsia="Times New Roman" w:cs="Times New Roman"/>
        <w:color w:val="000000"/>
        <w:sz w:val="24"/>
        <w:szCs w:val="24"/>
      </w:rPr>
      <w:fldChar w:fldCharType="separate"/>
    </w:r>
    <w:r>
      <w:rPr>
        <w:rFonts w:ascii="Times New Roman" w:hAnsi="Times New Roman" w:eastAsia="Times New Roman" w:cs="Times New Roman"/>
        <w:color w:val="000000"/>
        <w:sz w:val="24"/>
        <w:szCs w:val="24"/>
      </w:rPr>
      <w:fldChar w:fldCharType="end"/>
    </w:r>
  </w:p>
  <w:p w14:paraId="70DF9E56">
    <w:pP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EDD17">
    <w:pPr>
      <w:tabs>
        <w:tab w:val="center" w:pos="4680"/>
        <w:tab w:val="right" w:pos="9360"/>
      </w:tabs>
      <w:spacing w:after="0" w:line="240" w:lineRule="auto"/>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 xml:space="preserve">PAGE</w:instrText>
    </w:r>
    <w:r>
      <w:rPr>
        <w:rFonts w:ascii="Times New Roman" w:hAnsi="Times New Roman" w:eastAsia="Times New Roman" w:cs="Times New Roman"/>
        <w:color w:val="000000"/>
        <w:sz w:val="24"/>
        <w:szCs w:val="24"/>
      </w:rPr>
      <w:fldChar w:fldCharType="separate"/>
    </w:r>
    <w:r>
      <w:rPr>
        <w:rFonts w:ascii="Times New Roman" w:hAnsi="Times New Roman" w:eastAsia="Times New Roman" w:cs="Times New Roman"/>
        <w:color w:val="000000"/>
        <w:sz w:val="24"/>
        <w:szCs w:val="24"/>
      </w:rPr>
      <w:fldChar w:fldCharType="end"/>
    </w:r>
  </w:p>
  <w:p w14:paraId="6DFB9E20">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871BC">
    <w:pPr>
      <w:widowControl w:val="0"/>
      <w:spacing w:after="0" w:line="276" w:lineRule="auto"/>
    </w:pPr>
  </w:p>
  <w:tbl>
    <w:tblPr>
      <w:tblStyle w:val="21"/>
      <w:tblW w:w="9630" w:type="dxa"/>
      <w:tblInd w:w="0" w:type="dxa"/>
      <w:tblLayout w:type="fixed"/>
      <w:tblCellMar>
        <w:top w:w="0" w:type="dxa"/>
        <w:left w:w="115" w:type="dxa"/>
        <w:bottom w:w="0" w:type="dxa"/>
        <w:right w:w="115" w:type="dxa"/>
      </w:tblCellMar>
    </w:tblPr>
    <w:tblGrid>
      <w:gridCol w:w="3210"/>
      <w:gridCol w:w="3210"/>
      <w:gridCol w:w="3210"/>
    </w:tblGrid>
    <w:tr w14:paraId="144A5D23">
      <w:tblPrEx>
        <w:tblCellMar>
          <w:top w:w="0" w:type="dxa"/>
          <w:left w:w="115" w:type="dxa"/>
          <w:bottom w:w="0" w:type="dxa"/>
          <w:right w:w="115" w:type="dxa"/>
        </w:tblCellMar>
      </w:tblPrEx>
      <w:trPr>
        <w:trHeight w:val="300" w:hRule="atLeast"/>
      </w:trPr>
      <w:tc>
        <w:tcPr>
          <w:tcW w:w="3210" w:type="dxa"/>
        </w:tcPr>
        <w:p w14:paraId="738610EB">
          <w:pPr>
            <w:tabs>
              <w:tab w:val="center" w:pos="4680"/>
              <w:tab w:val="right" w:pos="9360"/>
            </w:tabs>
            <w:spacing w:after="0" w:line="240" w:lineRule="auto"/>
            <w:ind w:left="-115"/>
            <w:rPr>
              <w:color w:val="000000"/>
            </w:rPr>
          </w:pPr>
        </w:p>
      </w:tc>
      <w:tc>
        <w:tcPr>
          <w:tcW w:w="3210" w:type="dxa"/>
        </w:tcPr>
        <w:p w14:paraId="637805D2">
          <w:pPr>
            <w:tabs>
              <w:tab w:val="center" w:pos="4680"/>
              <w:tab w:val="right" w:pos="9360"/>
            </w:tabs>
            <w:spacing w:after="0" w:line="240" w:lineRule="auto"/>
            <w:jc w:val="center"/>
            <w:rPr>
              <w:color w:val="000000"/>
            </w:rPr>
          </w:pPr>
        </w:p>
      </w:tc>
      <w:tc>
        <w:tcPr>
          <w:tcW w:w="3210" w:type="dxa"/>
        </w:tcPr>
        <w:p w14:paraId="463F29E8">
          <w:pPr>
            <w:tabs>
              <w:tab w:val="center" w:pos="4680"/>
              <w:tab w:val="right" w:pos="9360"/>
            </w:tabs>
            <w:spacing w:after="0" w:line="240" w:lineRule="auto"/>
            <w:ind w:right="-115"/>
            <w:jc w:val="right"/>
            <w:rPr>
              <w:color w:val="000000"/>
            </w:rPr>
          </w:pPr>
        </w:p>
      </w:tc>
    </w:tr>
  </w:tbl>
  <w:p w14:paraId="3B7B4B86">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BF205925"/>
    <w:multiLevelType w:val="multilevel"/>
    <w:tmpl w:val="BF205925"/>
    <w:lvl w:ilvl="0" w:tentative="0">
      <w:start w:val="1"/>
      <w:numFmt w:val="bullet"/>
      <w:lvlText w:val="▫"/>
      <w:lvlJc w:val="left"/>
      <w:pPr>
        <w:ind w:left="720" w:hanging="360"/>
      </w:pPr>
      <w:rPr>
        <w:rFonts w:ascii="Courier New" w:hAnsi="Courier New" w:eastAsia="Courier New" w:cs="Courier New"/>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CF092B84"/>
    <w:multiLevelType w:val="multilevel"/>
    <w:tmpl w:val="CF092B84"/>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0053208E"/>
    <w:multiLevelType w:val="multilevel"/>
    <w:tmpl w:val="0053208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03D62ECE"/>
    <w:multiLevelType w:val="multilevel"/>
    <w:tmpl w:val="03D62EC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25B654F3"/>
    <w:multiLevelType w:val="multilevel"/>
    <w:tmpl w:val="25B654F3"/>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
      <w:lvlJc w:val="left"/>
      <w:pPr>
        <w:ind w:left="1440" w:hanging="360"/>
      </w:pPr>
      <w:rPr>
        <w:rFonts w:ascii="Noto Sans Symbols" w:hAnsi="Noto Sans Symbols" w:eastAsia="Noto Sans Symbols" w:cs="Noto Sans Symbols"/>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
      <w:lvlJc w:val="left"/>
      <w:pPr>
        <w:ind w:left="5760" w:hanging="360"/>
      </w:pPr>
      <w:rPr>
        <w:rFonts w:ascii="Noto Sans Symbols" w:hAnsi="Noto Sans Symbols" w:eastAsia="Noto Sans Symbols" w:cs="Noto Sans Symbols"/>
      </w:rPr>
    </w:lvl>
    <w:lvl w:ilvl="8" w:tentative="0">
      <w:start w:val="1"/>
      <w:numFmt w:val="bullet"/>
      <w:lvlText w:val="♦"/>
      <w:lvlJc w:val="left"/>
      <w:pPr>
        <w:ind w:left="6480" w:hanging="360"/>
      </w:pPr>
      <w:rPr>
        <w:rFonts w:ascii="Courier New" w:hAnsi="Courier New" w:eastAsia="Courier New" w:cs="Courier New"/>
      </w:rPr>
    </w:lvl>
  </w:abstractNum>
  <w:abstractNum w:abstractNumId="6">
    <w:nsid w:val="59ADCABA"/>
    <w:multiLevelType w:val="multilevel"/>
    <w:tmpl w:val="59ADCABA"/>
    <w:lvl w:ilvl="0" w:tentative="0">
      <w:start w:val="1"/>
      <w:numFmt w:val="bullet"/>
      <w:lvlText w:val="▫"/>
      <w:lvlJc w:val="left"/>
      <w:pPr>
        <w:ind w:left="720" w:hanging="360"/>
      </w:pPr>
      <w:rPr>
        <w:rFonts w:ascii="Courier New" w:hAnsi="Courier New" w:eastAsia="Courier New" w:cs="Courier New"/>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72183CF9"/>
    <w:multiLevelType w:val="multilevel"/>
    <w:tmpl w:val="72183C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hyphenationZone w:val="425"/>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2D"/>
    <w:rsid w:val="00295FBF"/>
    <w:rsid w:val="003D502D"/>
    <w:rsid w:val="00E36A5E"/>
    <w:rsid w:val="00F00D57"/>
    <w:rsid w:val="058B2FF7"/>
    <w:rsid w:val="0A6895AC"/>
    <w:rsid w:val="0DA8C509"/>
    <w:rsid w:val="1119414F"/>
    <w:rsid w:val="11D23080"/>
    <w:rsid w:val="138A8242"/>
    <w:rsid w:val="14231B41"/>
    <w:rsid w:val="1C97AA5D"/>
    <w:rsid w:val="228C65A9"/>
    <w:rsid w:val="22E7CD06"/>
    <w:rsid w:val="25A97D48"/>
    <w:rsid w:val="275FD6CC"/>
    <w:rsid w:val="2B187358"/>
    <w:rsid w:val="2CF4B08B"/>
    <w:rsid w:val="3159C3AA"/>
    <w:rsid w:val="31C4D247"/>
    <w:rsid w:val="330C0479"/>
    <w:rsid w:val="3576EC78"/>
    <w:rsid w:val="3670FCCC"/>
    <w:rsid w:val="38AC24C2"/>
    <w:rsid w:val="3F6292DC"/>
    <w:rsid w:val="401715C4"/>
    <w:rsid w:val="40C18A5E"/>
    <w:rsid w:val="40D3ED31"/>
    <w:rsid w:val="41EC30E8"/>
    <w:rsid w:val="43E6526B"/>
    <w:rsid w:val="44D86D31"/>
    <w:rsid w:val="5501A6D0"/>
    <w:rsid w:val="569D7731"/>
    <w:rsid w:val="5724967B"/>
    <w:rsid w:val="5FBD305A"/>
    <w:rsid w:val="5FF656DE"/>
    <w:rsid w:val="60137540"/>
    <w:rsid w:val="627D92CC"/>
    <w:rsid w:val="628413F9"/>
    <w:rsid w:val="69FEAC3B"/>
    <w:rsid w:val="6CBCFF76"/>
    <w:rsid w:val="7037D4C2"/>
    <w:rsid w:val="718E5425"/>
    <w:rsid w:val="73675628"/>
    <w:rsid w:val="7B44DDAB"/>
    <w:rsid w:val="7B7926A3"/>
    <w:rsid w:val="7D6F0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9"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uk" w:eastAsia="ja-JP"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link w:val="18"/>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footer"/>
    <w:basedOn w:val="1"/>
    <w:link w:val="20"/>
    <w:unhideWhenUsed/>
    <w:qFormat/>
    <w:uiPriority w:val="99"/>
    <w:pPr>
      <w:tabs>
        <w:tab w:val="center" w:pos="4680"/>
        <w:tab w:val="right" w:pos="9360"/>
      </w:tabs>
      <w:spacing w:after="0" w:line="240" w:lineRule="auto"/>
    </w:pPr>
  </w:style>
  <w:style w:type="paragraph" w:styleId="11">
    <w:name w:val="header"/>
    <w:basedOn w:val="1"/>
    <w:link w:val="19"/>
    <w:unhideWhenUsed/>
    <w:uiPriority w:val="99"/>
    <w:pPr>
      <w:tabs>
        <w:tab w:val="center" w:pos="4680"/>
        <w:tab w:val="right" w:pos="9360"/>
      </w:tabs>
      <w:spacing w:after="0" w:line="240" w:lineRule="auto"/>
    </w:pPr>
  </w:style>
  <w:style w:type="character" w:styleId="12">
    <w:name w:val="Hyperlink"/>
    <w:basedOn w:val="8"/>
    <w:unhideWhenUsed/>
    <w:qFormat/>
    <w:uiPriority w:val="99"/>
    <w:rPr>
      <w:color w:val="0563C1" w:themeColor="hyperlink"/>
      <w:u w:val="single"/>
      <w14:textFill>
        <w14:solidFill>
          <w14:schemeClr w14:val="hlink"/>
        </w14:solidFill>
      </w14:textFill>
    </w:rPr>
  </w:style>
  <w:style w:type="paragraph" w:styleId="13">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4">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5">
    <w:name w:val="Title"/>
    <w:basedOn w:val="1"/>
    <w:next w:val="1"/>
    <w:qFormat/>
    <w:uiPriority w:val="0"/>
    <w:pPr>
      <w:keepNext/>
      <w:keepLines/>
      <w:spacing w:before="480" w:after="120"/>
    </w:pPr>
    <w:rPr>
      <w:b/>
      <w:sz w:val="72"/>
      <w:szCs w:val="72"/>
    </w:rPr>
  </w:style>
  <w:style w:type="table" w:customStyle="1" w:styleId="16">
    <w:name w:val="Table Normal1"/>
    <w:qFormat/>
    <w:uiPriority w:val="0"/>
    <w:tblPr>
      <w:tblCellMar>
        <w:top w:w="0" w:type="dxa"/>
        <w:left w:w="0" w:type="dxa"/>
        <w:bottom w:w="0" w:type="dxa"/>
        <w:right w:w="0" w:type="dxa"/>
      </w:tblCellMar>
    </w:tblPr>
  </w:style>
  <w:style w:type="paragraph" w:styleId="17">
    <w:name w:val="List Paragraph"/>
    <w:basedOn w:val="1"/>
    <w:qFormat/>
    <w:uiPriority w:val="34"/>
    <w:pPr>
      <w:ind w:left="720"/>
      <w:contextualSpacing/>
    </w:pPr>
  </w:style>
  <w:style w:type="character" w:customStyle="1" w:styleId="18">
    <w:name w:val="Заголовок 2 Знак"/>
    <w:basedOn w:val="8"/>
    <w:link w:val="3"/>
    <w:uiPriority w:val="9"/>
    <w:rPr>
      <w:rFonts w:asciiTheme="majorHAnsi" w:hAnsiTheme="majorHAnsi" w:eastAsiaTheme="majorEastAsia" w:cstheme="majorBidi"/>
      <w:color w:val="2F5597" w:themeColor="accent1" w:themeShade="BF"/>
      <w:sz w:val="26"/>
      <w:szCs w:val="26"/>
    </w:rPr>
  </w:style>
  <w:style w:type="character" w:customStyle="1" w:styleId="19">
    <w:name w:val="Верхній колонтитул Знак"/>
    <w:basedOn w:val="8"/>
    <w:link w:val="11"/>
    <w:qFormat/>
    <w:uiPriority w:val="99"/>
  </w:style>
  <w:style w:type="character" w:customStyle="1" w:styleId="20">
    <w:name w:val="Нижній колонтитул Знак"/>
    <w:basedOn w:val="8"/>
    <w:link w:val="10"/>
    <w:qFormat/>
    <w:uiPriority w:val="99"/>
  </w:style>
  <w:style w:type="table" w:customStyle="1" w:styleId="21">
    <w:name w:val="_Style 22"/>
    <w:basedOn w:val="16"/>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O8AynHvYlBsInghxbv41gs4heQ==">CgMxLjA4AHIhMWhLcDlrbjFteXBCVUw0ZFQ1NXVoVGMtQ092YkdmOHdN</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13</Pages>
  <TotalTime>299</TotalTime>
  <ScaleCrop>false</ScaleCrop>
  <LinksUpToDate>false</LinksUpToDate>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2024-03-26T08:18:00Z</dcterms:created>
  <dc:creator>Мирослава Орос</dc:creator>
  <cp:lastModifiedBy>Myroslava Berladyn</cp:lastModifiedBy>
  <dcterms:modified xsi:type="dcterms:W3CDTF">2024-07-21T19:48:17Z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0B06B22D05564E23B9F4E3AEE64566C4_12</vt:lpwstr>
  </property>
</Properties>
</file>