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C69" w:rsidRPr="00DD0C69" w:rsidRDefault="00DD0C69" w:rsidP="008E0F30">
      <w:pPr>
        <w:rPr>
          <w:rFonts w:ascii="Arial" w:hAnsi="Arial" w:cs="Arial"/>
          <w:shd w:val="clear" w:color="auto" w:fill="FFFFFF"/>
          <w:lang w:val="en-US"/>
        </w:rPr>
      </w:pPr>
      <w:bookmarkStart w:id="0" w:name="_GoBack"/>
      <w:bookmarkEnd w:id="0"/>
      <w:r w:rsidRPr="00DD0C69">
        <w:rPr>
          <w:shd w:val="clear" w:color="auto" w:fill="FFFFFF"/>
          <w:lang w:val="en-US"/>
        </w:rPr>
        <w:t xml:space="preserve">GDP trends of United Arab Emirates from 2020 to 2025 with a </w:t>
      </w:r>
      <w:proofErr w:type="spellStart"/>
      <w:r w:rsidRPr="00DD0C69">
        <w:rPr>
          <w:shd w:val="clear" w:color="auto" w:fill="FFFFFF"/>
          <w:lang w:val="en-US"/>
        </w:rPr>
        <w:t>seperation</w:t>
      </w:r>
      <w:proofErr w:type="spellEnd"/>
      <w:r w:rsidRPr="00DD0C69">
        <w:rPr>
          <w:shd w:val="clear" w:color="auto" w:fill="FFFFFF"/>
          <w:lang w:val="en-US"/>
        </w:rPr>
        <w:t xml:space="preserve"> of Oil and Non-Oil</w:t>
      </w:r>
    </w:p>
    <w:p w:rsidR="00703F72" w:rsidRPr="00703F72" w:rsidRDefault="00703F72" w:rsidP="00C47AE5">
      <w:pPr>
        <w:rPr>
          <w:rFonts w:ascii="Arial" w:hAnsi="Arial" w:cs="Arial"/>
          <w:b/>
          <w:i/>
          <w:sz w:val="24"/>
          <w:szCs w:val="24"/>
          <w:lang w:val="en-US"/>
        </w:rPr>
      </w:pPr>
      <w:r w:rsidRPr="00703F72">
        <w:rPr>
          <w:rFonts w:ascii="Arial" w:hAnsi="Arial" w:cs="Arial"/>
          <w:b/>
          <w:i/>
          <w:sz w:val="24"/>
          <w:szCs w:val="24"/>
          <w:lang w:val="en-US"/>
        </w:rPr>
        <w:t xml:space="preserve">     </w:t>
      </w:r>
      <w:r>
        <w:rPr>
          <w:rFonts w:ascii="Arial" w:hAnsi="Arial" w:cs="Arial"/>
          <w:b/>
          <w:i/>
          <w:sz w:val="24"/>
          <w:szCs w:val="24"/>
          <w:lang w:val="en-US"/>
        </w:rPr>
        <w:t>1.1 Oil</w:t>
      </w:r>
    </w:p>
    <w:p w:rsidR="00DD0C69" w:rsidRPr="00DD0C69" w:rsidRDefault="00DD0C69" w:rsidP="00CD43F3">
      <w:pPr>
        <w:ind w:firstLine="708"/>
        <w:rPr>
          <w:rFonts w:ascii="Arial" w:hAnsi="Arial" w:cs="Arial"/>
          <w:sz w:val="24"/>
          <w:szCs w:val="24"/>
          <w:lang w:val="en-US"/>
        </w:rPr>
      </w:pPr>
      <w:r w:rsidRPr="00DD0C69">
        <w:rPr>
          <w:rFonts w:ascii="Arial" w:hAnsi="Arial" w:cs="Arial"/>
          <w:sz w:val="24"/>
          <w:szCs w:val="24"/>
          <w:lang w:val="en-US"/>
        </w:rPr>
        <w:t xml:space="preserve">OPEC, even though sanctions and economic distress have wiped out 2.5 </w:t>
      </w:r>
      <w:proofErr w:type="spellStart"/>
      <w:r w:rsidRPr="00DD0C69">
        <w:rPr>
          <w:rFonts w:ascii="Arial" w:hAnsi="Arial" w:cs="Arial"/>
          <w:sz w:val="24"/>
          <w:szCs w:val="24"/>
          <w:lang w:val="en-US"/>
        </w:rPr>
        <w:t>mb</w:t>
      </w:r>
      <w:proofErr w:type="spellEnd"/>
      <w:r w:rsidRPr="00DD0C69">
        <w:rPr>
          <w:rFonts w:ascii="Arial" w:hAnsi="Arial" w:cs="Arial"/>
          <w:sz w:val="24"/>
          <w:szCs w:val="24"/>
          <w:lang w:val="en-US"/>
        </w:rPr>
        <w:t xml:space="preserve">/d of production from Iran and Venezuela since 2017, effective crude oil capacity rises by 1.2 </w:t>
      </w:r>
      <w:proofErr w:type="spellStart"/>
      <w:r w:rsidRPr="00DD0C69">
        <w:rPr>
          <w:rFonts w:ascii="Arial" w:hAnsi="Arial" w:cs="Arial"/>
          <w:sz w:val="24"/>
          <w:szCs w:val="24"/>
          <w:lang w:val="en-US"/>
        </w:rPr>
        <w:t>mb</w:t>
      </w:r>
      <w:proofErr w:type="spellEnd"/>
      <w:r w:rsidRPr="00DD0C69">
        <w:rPr>
          <w:rFonts w:ascii="Arial" w:hAnsi="Arial" w:cs="Arial"/>
          <w:sz w:val="24"/>
          <w:szCs w:val="24"/>
          <w:lang w:val="en-US"/>
        </w:rPr>
        <w:t xml:space="preserve">/d to 34.1 </w:t>
      </w:r>
      <w:proofErr w:type="spellStart"/>
      <w:r w:rsidRPr="00DD0C69">
        <w:rPr>
          <w:rFonts w:ascii="Arial" w:hAnsi="Arial" w:cs="Arial"/>
          <w:sz w:val="24"/>
          <w:szCs w:val="24"/>
          <w:lang w:val="en-US"/>
        </w:rPr>
        <w:t>mb</w:t>
      </w:r>
      <w:proofErr w:type="spellEnd"/>
      <w:r w:rsidRPr="00DD0C69">
        <w:rPr>
          <w:rFonts w:ascii="Arial" w:hAnsi="Arial" w:cs="Arial"/>
          <w:sz w:val="24"/>
          <w:szCs w:val="24"/>
          <w:lang w:val="en-US"/>
        </w:rPr>
        <w:t>/d.</w:t>
      </w:r>
    </w:p>
    <w:p w:rsidR="00DD0C69" w:rsidRDefault="00DD0C69" w:rsidP="00C47AE5">
      <w:pPr>
        <w:rPr>
          <w:rFonts w:ascii="Arial" w:hAnsi="Arial" w:cs="Arial"/>
          <w:b/>
          <w:color w:val="001E00"/>
          <w:spacing w:val="9"/>
          <w:sz w:val="24"/>
          <w:szCs w:val="24"/>
          <w:shd w:val="clear" w:color="auto" w:fill="FFFFFF"/>
          <w:lang w:val="en-US"/>
        </w:rPr>
      </w:pPr>
      <w:r>
        <w:rPr>
          <w:rFonts w:ascii="Arial" w:hAnsi="Arial" w:cs="Arial"/>
          <w:b/>
          <w:noProof/>
          <w:color w:val="001E00"/>
          <w:spacing w:val="9"/>
          <w:sz w:val="24"/>
          <w:szCs w:val="24"/>
          <w:shd w:val="clear" w:color="auto" w:fill="FFFFFF"/>
          <w:lang w:eastAsia="ru-RU"/>
        </w:rPr>
        <w:drawing>
          <wp:inline distT="0" distB="0" distL="0" distR="0">
            <wp:extent cx="5940425" cy="306641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6.PNG"/>
                    <pic:cNvPicPr/>
                  </pic:nvPicPr>
                  <pic:blipFill>
                    <a:blip r:embed="rId8">
                      <a:extLst>
                        <a:ext uri="{28A0092B-C50C-407E-A947-70E740481C1C}">
                          <a14:useLocalDpi xmlns:a14="http://schemas.microsoft.com/office/drawing/2010/main" val="0"/>
                        </a:ext>
                      </a:extLst>
                    </a:blip>
                    <a:stretch>
                      <a:fillRect/>
                    </a:stretch>
                  </pic:blipFill>
                  <pic:spPr>
                    <a:xfrm>
                      <a:off x="0" y="0"/>
                      <a:ext cx="5940425" cy="3066415"/>
                    </a:xfrm>
                    <a:prstGeom prst="rect">
                      <a:avLst/>
                    </a:prstGeom>
                  </pic:spPr>
                </pic:pic>
              </a:graphicData>
            </a:graphic>
          </wp:inline>
        </w:drawing>
      </w:r>
    </w:p>
    <w:p w:rsidR="00CD2102" w:rsidRPr="00CD2102" w:rsidRDefault="00DD0C69" w:rsidP="00CD43F3">
      <w:pPr>
        <w:spacing w:after="0"/>
        <w:ind w:firstLine="708"/>
        <w:rPr>
          <w:rFonts w:ascii="Arial" w:hAnsi="Arial" w:cs="Arial"/>
          <w:sz w:val="24"/>
          <w:szCs w:val="24"/>
          <w:lang w:val="en-US"/>
        </w:rPr>
      </w:pPr>
      <w:r w:rsidRPr="00CD2102">
        <w:rPr>
          <w:rFonts w:ascii="Arial" w:hAnsi="Arial" w:cs="Arial"/>
          <w:sz w:val="24"/>
          <w:szCs w:val="24"/>
          <w:lang w:val="en-US"/>
        </w:rPr>
        <w:t xml:space="preserve">In this forecast, we have assumed that Iran remains under sanctions. If sanctions were to be eased, OPEC’s effective crude oil capacity could </w:t>
      </w:r>
      <w:proofErr w:type="gramStart"/>
      <w:r w:rsidRPr="00CD2102">
        <w:rPr>
          <w:rFonts w:ascii="Arial" w:hAnsi="Arial" w:cs="Arial"/>
          <w:sz w:val="24"/>
          <w:szCs w:val="24"/>
          <w:lang w:val="en-US"/>
        </w:rPr>
        <w:t>rise</w:t>
      </w:r>
      <w:proofErr w:type="gramEnd"/>
      <w:r w:rsidRPr="00CD2102">
        <w:rPr>
          <w:rFonts w:ascii="Arial" w:hAnsi="Arial" w:cs="Arial"/>
          <w:sz w:val="24"/>
          <w:szCs w:val="24"/>
          <w:lang w:val="en-US"/>
        </w:rPr>
        <w:t xml:space="preserve"> by an additional 1.7 </w:t>
      </w:r>
      <w:proofErr w:type="spellStart"/>
      <w:r w:rsidRPr="00CD2102">
        <w:rPr>
          <w:rFonts w:ascii="Arial" w:hAnsi="Arial" w:cs="Arial"/>
          <w:sz w:val="24"/>
          <w:szCs w:val="24"/>
          <w:lang w:val="en-US"/>
        </w:rPr>
        <w:t>mb</w:t>
      </w:r>
      <w:proofErr w:type="spellEnd"/>
      <w:r w:rsidRPr="00CD2102">
        <w:rPr>
          <w:rFonts w:ascii="Arial" w:hAnsi="Arial" w:cs="Arial"/>
          <w:sz w:val="24"/>
          <w:szCs w:val="24"/>
          <w:lang w:val="en-US"/>
        </w:rPr>
        <w:t>/d in short order.</w:t>
      </w:r>
    </w:p>
    <w:p w:rsidR="00DD0C69" w:rsidRPr="00CD2102" w:rsidRDefault="00DD0C69" w:rsidP="00CD43F3">
      <w:pPr>
        <w:spacing w:after="0"/>
        <w:ind w:firstLine="708"/>
        <w:rPr>
          <w:rFonts w:ascii="Arial" w:hAnsi="Arial" w:cs="Arial"/>
          <w:sz w:val="24"/>
          <w:szCs w:val="24"/>
          <w:lang w:val="en-US"/>
        </w:rPr>
      </w:pPr>
      <w:r w:rsidRPr="00CD2102">
        <w:rPr>
          <w:rFonts w:ascii="Arial" w:hAnsi="Arial" w:cs="Arial"/>
          <w:sz w:val="24"/>
          <w:szCs w:val="24"/>
          <w:lang w:val="en-US"/>
        </w:rPr>
        <w:t>Iraq and the UAE are poised to build capacity to fresh record highs and Saudi Arabia and Kuwait will benefit from the resumption of flows from the Neutral Zone.</w:t>
      </w:r>
    </w:p>
    <w:p w:rsidR="00DD0C69" w:rsidRPr="00CD2102" w:rsidRDefault="00DD0C69" w:rsidP="00CD2102">
      <w:pPr>
        <w:spacing w:after="0"/>
        <w:rPr>
          <w:rFonts w:ascii="Arial" w:hAnsi="Arial" w:cs="Arial"/>
          <w:sz w:val="24"/>
          <w:szCs w:val="24"/>
          <w:lang w:val="en-US"/>
        </w:rPr>
      </w:pPr>
      <w:r w:rsidRPr="00CD2102">
        <w:rPr>
          <w:rFonts w:ascii="Arial" w:hAnsi="Arial" w:cs="Arial"/>
          <w:sz w:val="24"/>
          <w:szCs w:val="24"/>
          <w:lang w:val="en-US"/>
        </w:rPr>
        <w:t xml:space="preserve">Saudi Arabia and the UAE have plans to stimulate other parts of the economy. They intend to invest in the generation of electricity from natural gas, renewables and nuclear to reduce carbon emissions. </w:t>
      </w:r>
    </w:p>
    <w:p w:rsidR="00CD2102" w:rsidRDefault="00CD2102" w:rsidP="00CD43F3">
      <w:pPr>
        <w:spacing w:after="0"/>
        <w:ind w:firstLine="708"/>
        <w:rPr>
          <w:rFonts w:ascii="Arial" w:hAnsi="Arial" w:cs="Arial"/>
          <w:sz w:val="24"/>
          <w:szCs w:val="24"/>
          <w:lang w:val="en-US"/>
        </w:rPr>
      </w:pPr>
      <w:r w:rsidRPr="00CD2102">
        <w:rPr>
          <w:rFonts w:ascii="Arial" w:hAnsi="Arial" w:cs="Arial"/>
          <w:sz w:val="24"/>
          <w:szCs w:val="24"/>
          <w:lang w:val="en-US"/>
        </w:rPr>
        <w:t>The UAE continue to lead the gains in capacity and should remain comfortably in OPEC’s number two and three slots, respectively, through 2025.</w:t>
      </w:r>
      <w:r>
        <w:rPr>
          <w:rFonts w:ascii="Arial" w:hAnsi="Arial" w:cs="Arial"/>
          <w:sz w:val="24"/>
          <w:szCs w:val="24"/>
          <w:lang w:val="en-US"/>
        </w:rPr>
        <w:t xml:space="preserve"> </w:t>
      </w:r>
      <w:r w:rsidRPr="00CD2102">
        <w:rPr>
          <w:rFonts w:ascii="Arial" w:hAnsi="Arial" w:cs="Arial"/>
          <w:sz w:val="24"/>
          <w:szCs w:val="24"/>
          <w:lang w:val="en-US"/>
        </w:rPr>
        <w:t>Annual record highs in 2019</w:t>
      </w:r>
      <w:r>
        <w:rPr>
          <w:rFonts w:ascii="Arial" w:hAnsi="Arial" w:cs="Arial"/>
          <w:sz w:val="24"/>
          <w:szCs w:val="24"/>
          <w:lang w:val="en-US"/>
        </w:rPr>
        <w:t xml:space="preserve"> for the </w:t>
      </w:r>
      <w:r w:rsidRPr="00CD2102">
        <w:rPr>
          <w:rFonts w:ascii="Arial" w:hAnsi="Arial" w:cs="Arial"/>
          <w:sz w:val="24"/>
          <w:szCs w:val="24"/>
          <w:lang w:val="en-US"/>
        </w:rPr>
        <w:t xml:space="preserve">UAE were at 3.2 </w:t>
      </w:r>
      <w:proofErr w:type="spellStart"/>
      <w:r w:rsidRPr="00CD2102">
        <w:rPr>
          <w:rFonts w:ascii="Arial" w:hAnsi="Arial" w:cs="Arial"/>
          <w:sz w:val="24"/>
          <w:szCs w:val="24"/>
          <w:lang w:val="en-US"/>
        </w:rPr>
        <w:t>mb</w:t>
      </w:r>
      <w:proofErr w:type="spellEnd"/>
      <w:r w:rsidRPr="00CD2102">
        <w:rPr>
          <w:rFonts w:ascii="Arial" w:hAnsi="Arial" w:cs="Arial"/>
          <w:sz w:val="24"/>
          <w:szCs w:val="24"/>
          <w:lang w:val="en-US"/>
        </w:rPr>
        <w:t>/d.</w:t>
      </w:r>
    </w:p>
    <w:p w:rsidR="004B021F" w:rsidRDefault="004B021F" w:rsidP="00CD2102">
      <w:pPr>
        <w:spacing w:after="0"/>
        <w:rPr>
          <w:rFonts w:ascii="Arial" w:hAnsi="Arial" w:cs="Arial"/>
          <w:sz w:val="24"/>
          <w:szCs w:val="24"/>
          <w:lang w:val="en-US"/>
        </w:rPr>
      </w:pPr>
    </w:p>
    <w:p w:rsidR="004B021F" w:rsidRDefault="004B021F" w:rsidP="00CD2102">
      <w:pPr>
        <w:spacing w:after="0"/>
        <w:rPr>
          <w:rFonts w:ascii="Arial" w:hAnsi="Arial" w:cs="Arial"/>
          <w:sz w:val="24"/>
          <w:szCs w:val="24"/>
          <w:lang w:val="en-US"/>
        </w:rPr>
      </w:pPr>
    </w:p>
    <w:p w:rsidR="004B021F" w:rsidRDefault="004B021F" w:rsidP="00CD43F3">
      <w:pPr>
        <w:spacing w:after="0"/>
        <w:rPr>
          <w:rFonts w:ascii="Arial" w:hAnsi="Arial" w:cs="Arial"/>
          <w:sz w:val="24"/>
          <w:szCs w:val="24"/>
          <w:lang w:val="en-US"/>
        </w:rPr>
      </w:pPr>
      <w:r>
        <w:rPr>
          <w:rFonts w:ascii="Arial" w:hAnsi="Arial" w:cs="Arial"/>
          <w:noProof/>
          <w:sz w:val="24"/>
          <w:szCs w:val="24"/>
          <w:lang w:eastAsia="ru-RU"/>
        </w:rPr>
        <w:lastRenderedPageBreak/>
        <w:drawing>
          <wp:inline distT="0" distB="0" distL="0" distR="0" wp14:anchorId="13612541" wp14:editId="10DEF799">
            <wp:extent cx="5880402" cy="3054507"/>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7.PNG"/>
                    <pic:cNvPicPr/>
                  </pic:nvPicPr>
                  <pic:blipFill>
                    <a:blip r:embed="rId9">
                      <a:extLst>
                        <a:ext uri="{28A0092B-C50C-407E-A947-70E740481C1C}">
                          <a14:useLocalDpi xmlns:a14="http://schemas.microsoft.com/office/drawing/2010/main" val="0"/>
                        </a:ext>
                      </a:extLst>
                    </a:blip>
                    <a:stretch>
                      <a:fillRect/>
                    </a:stretch>
                  </pic:blipFill>
                  <pic:spPr>
                    <a:xfrm>
                      <a:off x="0" y="0"/>
                      <a:ext cx="5880402" cy="3054507"/>
                    </a:xfrm>
                    <a:prstGeom prst="rect">
                      <a:avLst/>
                    </a:prstGeom>
                  </pic:spPr>
                </pic:pic>
              </a:graphicData>
            </a:graphic>
          </wp:inline>
        </w:drawing>
      </w:r>
    </w:p>
    <w:p w:rsidR="00CD2102" w:rsidRPr="004B021F" w:rsidRDefault="004B021F" w:rsidP="00CD43F3">
      <w:pPr>
        <w:spacing w:after="0"/>
        <w:ind w:firstLine="708"/>
        <w:rPr>
          <w:rFonts w:ascii="Arial" w:hAnsi="Arial" w:cs="Arial"/>
          <w:sz w:val="24"/>
          <w:szCs w:val="24"/>
          <w:lang w:val="en-US"/>
        </w:rPr>
      </w:pPr>
      <w:r>
        <w:rPr>
          <w:rFonts w:ascii="Arial" w:hAnsi="Arial" w:cs="Arial"/>
          <w:sz w:val="24"/>
          <w:szCs w:val="24"/>
          <w:lang w:val="en-US"/>
        </w:rPr>
        <w:t xml:space="preserve">The UAE is </w:t>
      </w:r>
      <w:r w:rsidRPr="004B021F">
        <w:rPr>
          <w:rFonts w:ascii="Arial" w:hAnsi="Arial" w:cs="Arial"/>
          <w:sz w:val="24"/>
          <w:szCs w:val="24"/>
          <w:lang w:val="en-US"/>
        </w:rPr>
        <w:t xml:space="preserve">expected to deliver a substantial production capacity increase thanks to its secure operating environment and relatively low-cost resource base. Growth of 480 kb/d is forecast by 2025, with capacity rising to 4 </w:t>
      </w:r>
      <w:proofErr w:type="spellStart"/>
      <w:r w:rsidRPr="004B021F">
        <w:rPr>
          <w:rFonts w:ascii="Arial" w:hAnsi="Arial" w:cs="Arial"/>
          <w:sz w:val="24"/>
          <w:szCs w:val="24"/>
          <w:lang w:val="en-US"/>
        </w:rPr>
        <w:t>mb</w:t>
      </w:r>
      <w:proofErr w:type="spellEnd"/>
      <w:r w:rsidRPr="004B021F">
        <w:rPr>
          <w:rFonts w:ascii="Arial" w:hAnsi="Arial" w:cs="Arial"/>
          <w:sz w:val="24"/>
          <w:szCs w:val="24"/>
          <w:lang w:val="en-US"/>
        </w:rPr>
        <w:t xml:space="preserve">/d, higher than Iran’s. </w:t>
      </w:r>
      <w:proofErr w:type="gramStart"/>
      <w:r w:rsidRPr="004B021F">
        <w:rPr>
          <w:rFonts w:ascii="Arial" w:hAnsi="Arial" w:cs="Arial"/>
          <w:sz w:val="24"/>
          <w:szCs w:val="24"/>
          <w:lang w:val="en-US"/>
        </w:rPr>
        <w:t xml:space="preserve">In 2019, the UAE’s crude supply rose to a record 3.2 </w:t>
      </w:r>
      <w:proofErr w:type="spellStart"/>
      <w:r w:rsidRPr="004B021F">
        <w:rPr>
          <w:rFonts w:ascii="Arial" w:hAnsi="Arial" w:cs="Arial"/>
          <w:sz w:val="24"/>
          <w:szCs w:val="24"/>
          <w:lang w:val="en-US"/>
        </w:rPr>
        <w:t>mb</w:t>
      </w:r>
      <w:proofErr w:type="spellEnd"/>
      <w:r w:rsidRPr="004B021F">
        <w:rPr>
          <w:rFonts w:ascii="Arial" w:hAnsi="Arial" w:cs="Arial"/>
          <w:sz w:val="24"/>
          <w:szCs w:val="24"/>
          <w:lang w:val="en-US"/>
        </w:rPr>
        <w:t>/d, up 180 kb/d year-on-year (y-o-y), making it OPEC’s third-largest producer after Saudi Arabia and Iraq.</w:t>
      </w:r>
      <w:proofErr w:type="gramEnd"/>
      <w:r w:rsidRPr="004B021F">
        <w:rPr>
          <w:rFonts w:ascii="Arial" w:hAnsi="Arial" w:cs="Arial"/>
          <w:sz w:val="24"/>
          <w:szCs w:val="24"/>
          <w:lang w:val="en-US"/>
        </w:rPr>
        <w:t xml:space="preserve"> </w:t>
      </w:r>
    </w:p>
    <w:p w:rsidR="00CD2102" w:rsidRDefault="004B021F" w:rsidP="00CD2102">
      <w:pPr>
        <w:spacing w:after="0"/>
        <w:rPr>
          <w:rFonts w:ascii="Arial" w:hAnsi="Arial" w:cs="Arial"/>
          <w:b/>
          <w:color w:val="001E00"/>
          <w:spacing w:val="9"/>
          <w:sz w:val="24"/>
          <w:szCs w:val="24"/>
          <w:shd w:val="clear" w:color="auto" w:fill="FFFFFF"/>
          <w:lang w:val="en-US"/>
        </w:rPr>
      </w:pPr>
      <w:r>
        <w:rPr>
          <w:rFonts w:ascii="Arial" w:hAnsi="Arial" w:cs="Arial"/>
          <w:b/>
          <w:noProof/>
          <w:color w:val="001E00"/>
          <w:spacing w:val="9"/>
          <w:sz w:val="24"/>
          <w:szCs w:val="24"/>
          <w:shd w:val="clear" w:color="auto" w:fill="FFFFFF"/>
          <w:lang w:eastAsia="ru-RU"/>
        </w:rPr>
        <w:drawing>
          <wp:inline distT="0" distB="0" distL="0" distR="0">
            <wp:extent cx="5677192" cy="35879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9.PNG"/>
                    <pic:cNvPicPr/>
                  </pic:nvPicPr>
                  <pic:blipFill>
                    <a:blip r:embed="rId10">
                      <a:extLst>
                        <a:ext uri="{28A0092B-C50C-407E-A947-70E740481C1C}">
                          <a14:useLocalDpi xmlns:a14="http://schemas.microsoft.com/office/drawing/2010/main" val="0"/>
                        </a:ext>
                      </a:extLst>
                    </a:blip>
                    <a:stretch>
                      <a:fillRect/>
                    </a:stretch>
                  </pic:blipFill>
                  <pic:spPr>
                    <a:xfrm>
                      <a:off x="0" y="0"/>
                      <a:ext cx="5677192" cy="3587934"/>
                    </a:xfrm>
                    <a:prstGeom prst="rect">
                      <a:avLst/>
                    </a:prstGeom>
                  </pic:spPr>
                </pic:pic>
              </a:graphicData>
            </a:graphic>
          </wp:inline>
        </w:drawing>
      </w:r>
    </w:p>
    <w:p w:rsidR="004B021F" w:rsidRDefault="004B021F" w:rsidP="00CD43F3">
      <w:pPr>
        <w:spacing w:after="0"/>
        <w:ind w:firstLine="708"/>
        <w:rPr>
          <w:rFonts w:ascii="Arial" w:hAnsi="Arial" w:cs="Arial"/>
          <w:sz w:val="24"/>
          <w:szCs w:val="24"/>
          <w:lang w:val="en-US"/>
        </w:rPr>
      </w:pPr>
      <w:r w:rsidRPr="004B021F">
        <w:rPr>
          <w:rFonts w:ascii="Arial" w:hAnsi="Arial" w:cs="Arial"/>
          <w:sz w:val="24"/>
          <w:szCs w:val="24"/>
          <w:lang w:val="en-US"/>
        </w:rPr>
        <w:t xml:space="preserve">The UAE will drive the growth as it presses on with an integrated gas strategy that aims to achieve self-sufficiency by 2030. It is due to add 118 kb/d of condensates and NGLs by 2025. The offshore </w:t>
      </w:r>
      <w:proofErr w:type="spellStart"/>
      <w:r w:rsidRPr="004B021F">
        <w:rPr>
          <w:rFonts w:ascii="Arial" w:hAnsi="Arial" w:cs="Arial"/>
          <w:sz w:val="24"/>
          <w:szCs w:val="24"/>
          <w:lang w:val="en-US"/>
        </w:rPr>
        <w:t>Ghasha</w:t>
      </w:r>
      <w:proofErr w:type="spellEnd"/>
      <w:r w:rsidRPr="004B021F">
        <w:rPr>
          <w:rFonts w:ascii="Arial" w:hAnsi="Arial" w:cs="Arial"/>
          <w:sz w:val="24"/>
          <w:szCs w:val="24"/>
          <w:lang w:val="en-US"/>
        </w:rPr>
        <w:t xml:space="preserve"> ultra-sour gas scheme, requiring investment of over USD 20 billion, is expected to pump more than 100 kb/d of oil and condensates when it starts up in the mid-2020s.</w:t>
      </w:r>
    </w:p>
    <w:p w:rsidR="004B021F" w:rsidRDefault="004B021F" w:rsidP="00CD2102">
      <w:pPr>
        <w:spacing w:after="0"/>
        <w:rPr>
          <w:rFonts w:ascii="Arial" w:hAnsi="Arial" w:cs="Arial"/>
          <w:b/>
          <w:color w:val="001E00"/>
          <w:spacing w:val="9"/>
          <w:sz w:val="24"/>
          <w:szCs w:val="24"/>
          <w:shd w:val="clear" w:color="auto" w:fill="FFFFFF"/>
          <w:lang w:val="en-US"/>
        </w:rPr>
      </w:pPr>
      <w:r>
        <w:rPr>
          <w:rFonts w:ascii="Arial" w:hAnsi="Arial" w:cs="Arial"/>
          <w:b/>
          <w:noProof/>
          <w:color w:val="001E00"/>
          <w:spacing w:val="9"/>
          <w:sz w:val="24"/>
          <w:szCs w:val="24"/>
          <w:shd w:val="clear" w:color="auto" w:fill="FFFFFF"/>
          <w:lang w:eastAsia="ru-RU"/>
        </w:rPr>
        <w:lastRenderedPageBreak/>
        <w:drawing>
          <wp:inline distT="0" distB="0" distL="0" distR="0">
            <wp:extent cx="5702593" cy="313071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10.PNG"/>
                    <pic:cNvPicPr/>
                  </pic:nvPicPr>
                  <pic:blipFill>
                    <a:blip r:embed="rId11">
                      <a:extLst>
                        <a:ext uri="{28A0092B-C50C-407E-A947-70E740481C1C}">
                          <a14:useLocalDpi xmlns:a14="http://schemas.microsoft.com/office/drawing/2010/main" val="0"/>
                        </a:ext>
                      </a:extLst>
                    </a:blip>
                    <a:stretch>
                      <a:fillRect/>
                    </a:stretch>
                  </pic:blipFill>
                  <pic:spPr>
                    <a:xfrm>
                      <a:off x="0" y="0"/>
                      <a:ext cx="5702593" cy="3130711"/>
                    </a:xfrm>
                    <a:prstGeom prst="rect">
                      <a:avLst/>
                    </a:prstGeom>
                  </pic:spPr>
                </pic:pic>
              </a:graphicData>
            </a:graphic>
          </wp:inline>
        </w:drawing>
      </w:r>
    </w:p>
    <w:p w:rsidR="004B021F" w:rsidRPr="004B021F" w:rsidRDefault="004B021F" w:rsidP="00CD43F3">
      <w:pPr>
        <w:spacing w:after="0"/>
        <w:ind w:firstLine="708"/>
        <w:rPr>
          <w:rFonts w:ascii="Arial" w:hAnsi="Arial" w:cs="Arial"/>
          <w:b/>
          <w:color w:val="001E00"/>
          <w:spacing w:val="9"/>
          <w:sz w:val="24"/>
          <w:szCs w:val="24"/>
          <w:shd w:val="clear" w:color="auto" w:fill="FFFFFF"/>
          <w:lang w:val="en-US"/>
        </w:rPr>
      </w:pPr>
      <w:r w:rsidRPr="004B021F">
        <w:rPr>
          <w:rFonts w:ascii="Arial" w:hAnsi="Arial" w:cs="Arial"/>
          <w:sz w:val="24"/>
          <w:szCs w:val="24"/>
          <w:lang w:val="en-US"/>
        </w:rPr>
        <w:t xml:space="preserve">A large-scale refinery construction and </w:t>
      </w:r>
      <w:proofErr w:type="spellStart"/>
      <w:r w:rsidRPr="004B021F">
        <w:rPr>
          <w:rFonts w:ascii="Arial" w:hAnsi="Arial" w:cs="Arial"/>
          <w:sz w:val="24"/>
          <w:szCs w:val="24"/>
          <w:lang w:val="en-US"/>
        </w:rPr>
        <w:t>modernisation</w:t>
      </w:r>
      <w:proofErr w:type="spellEnd"/>
      <w:r w:rsidRPr="004B021F">
        <w:rPr>
          <w:rFonts w:ascii="Arial" w:hAnsi="Arial" w:cs="Arial"/>
          <w:sz w:val="24"/>
          <w:szCs w:val="24"/>
          <w:lang w:val="en-US"/>
        </w:rPr>
        <w:t xml:space="preserve"> </w:t>
      </w:r>
      <w:proofErr w:type="spellStart"/>
      <w:r w:rsidRPr="004B021F">
        <w:rPr>
          <w:rFonts w:ascii="Arial" w:hAnsi="Arial" w:cs="Arial"/>
          <w:sz w:val="24"/>
          <w:szCs w:val="24"/>
          <w:lang w:val="en-US"/>
        </w:rPr>
        <w:t>programme</w:t>
      </w:r>
      <w:proofErr w:type="spellEnd"/>
      <w:r w:rsidRPr="004B021F">
        <w:rPr>
          <w:rFonts w:ascii="Arial" w:hAnsi="Arial" w:cs="Arial"/>
          <w:sz w:val="24"/>
          <w:szCs w:val="24"/>
          <w:lang w:val="en-US"/>
        </w:rPr>
        <w:t xml:space="preserve"> is ongoing in the Middle East, though increasingly concentrated in a smaller number of countries. The forecast for gross additions to capacity is essentially unchanged from our last report, at 2.3 </w:t>
      </w:r>
      <w:proofErr w:type="spellStart"/>
      <w:r w:rsidRPr="004B021F">
        <w:rPr>
          <w:rFonts w:ascii="Arial" w:hAnsi="Arial" w:cs="Arial"/>
          <w:sz w:val="24"/>
          <w:szCs w:val="24"/>
          <w:lang w:val="en-US"/>
        </w:rPr>
        <w:t>mb</w:t>
      </w:r>
      <w:proofErr w:type="spellEnd"/>
      <w:r w:rsidRPr="004B021F">
        <w:rPr>
          <w:rFonts w:ascii="Arial" w:hAnsi="Arial" w:cs="Arial"/>
          <w:sz w:val="24"/>
          <w:szCs w:val="24"/>
          <w:lang w:val="en-US"/>
        </w:rPr>
        <w:t xml:space="preserve">/d. However, shutdowns are higher at 0.7 </w:t>
      </w:r>
      <w:proofErr w:type="spellStart"/>
      <w:r w:rsidRPr="004B021F">
        <w:rPr>
          <w:rFonts w:ascii="Arial" w:hAnsi="Arial" w:cs="Arial"/>
          <w:sz w:val="24"/>
          <w:szCs w:val="24"/>
          <w:lang w:val="en-US"/>
        </w:rPr>
        <w:t>mb</w:t>
      </w:r>
      <w:proofErr w:type="spellEnd"/>
      <w:r w:rsidRPr="004B021F">
        <w:rPr>
          <w:rFonts w:ascii="Arial" w:hAnsi="Arial" w:cs="Arial"/>
          <w:sz w:val="24"/>
          <w:szCs w:val="24"/>
          <w:lang w:val="en-US"/>
        </w:rPr>
        <w:t>/d, as they now include an 85 kb/d refinery in the United Arab Emirates (hereafter “UAE”).</w:t>
      </w:r>
    </w:p>
    <w:p w:rsidR="006B2E16" w:rsidRPr="004B021F" w:rsidRDefault="004B021F" w:rsidP="004B021F">
      <w:pPr>
        <w:rPr>
          <w:rFonts w:ascii="Arial" w:hAnsi="Arial" w:cs="Arial"/>
          <w:b/>
          <w:color w:val="001E00"/>
          <w:spacing w:val="9"/>
          <w:sz w:val="24"/>
          <w:szCs w:val="24"/>
          <w:shd w:val="clear" w:color="auto" w:fill="FFFFFF"/>
          <w:lang w:val="en-US"/>
        </w:rPr>
      </w:pPr>
      <w:r>
        <w:rPr>
          <w:rFonts w:ascii="Arial" w:hAnsi="Arial" w:cs="Arial"/>
          <w:b/>
          <w:noProof/>
          <w:color w:val="001E00"/>
          <w:spacing w:val="9"/>
          <w:sz w:val="24"/>
          <w:szCs w:val="24"/>
          <w:shd w:val="clear" w:color="auto" w:fill="FFFFFF"/>
          <w:lang w:eastAsia="ru-RU"/>
        </w:rPr>
        <w:drawing>
          <wp:inline distT="0" distB="0" distL="0" distR="0">
            <wp:extent cx="5867702" cy="3403775"/>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11.PNG"/>
                    <pic:cNvPicPr/>
                  </pic:nvPicPr>
                  <pic:blipFill>
                    <a:blip r:embed="rId12">
                      <a:extLst>
                        <a:ext uri="{28A0092B-C50C-407E-A947-70E740481C1C}">
                          <a14:useLocalDpi xmlns:a14="http://schemas.microsoft.com/office/drawing/2010/main" val="0"/>
                        </a:ext>
                      </a:extLst>
                    </a:blip>
                    <a:stretch>
                      <a:fillRect/>
                    </a:stretch>
                  </pic:blipFill>
                  <pic:spPr>
                    <a:xfrm>
                      <a:off x="0" y="0"/>
                      <a:ext cx="5867702" cy="3403775"/>
                    </a:xfrm>
                    <a:prstGeom prst="rect">
                      <a:avLst/>
                    </a:prstGeom>
                  </pic:spPr>
                </pic:pic>
              </a:graphicData>
            </a:graphic>
          </wp:inline>
        </w:drawing>
      </w:r>
    </w:p>
    <w:p w:rsidR="004B021F" w:rsidRDefault="00703F72" w:rsidP="00C47AE5">
      <w:pPr>
        <w:rPr>
          <w:rFonts w:ascii="Arial" w:hAnsi="Arial" w:cs="Arial"/>
          <w:color w:val="001E00"/>
          <w:spacing w:val="9"/>
          <w:sz w:val="24"/>
          <w:szCs w:val="24"/>
          <w:shd w:val="clear" w:color="auto" w:fill="FFFFFF"/>
          <w:lang w:val="en-US"/>
        </w:rPr>
      </w:pPr>
      <w:r>
        <w:rPr>
          <w:rFonts w:ascii="Arial" w:hAnsi="Arial" w:cs="Arial"/>
          <w:noProof/>
          <w:color w:val="001E00"/>
          <w:spacing w:val="9"/>
          <w:sz w:val="24"/>
          <w:szCs w:val="24"/>
          <w:shd w:val="clear" w:color="auto" w:fill="FFFFFF"/>
          <w:lang w:eastAsia="ru-RU"/>
        </w:rPr>
        <w:lastRenderedPageBreak/>
        <w:drawing>
          <wp:inline distT="0" distB="0" distL="0" distR="0">
            <wp:extent cx="5940425" cy="3255010"/>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12.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3255010"/>
                    </a:xfrm>
                    <a:prstGeom prst="rect">
                      <a:avLst/>
                    </a:prstGeom>
                  </pic:spPr>
                </pic:pic>
              </a:graphicData>
            </a:graphic>
          </wp:inline>
        </w:drawing>
      </w:r>
    </w:p>
    <w:p w:rsidR="00703F72" w:rsidRPr="00703F72" w:rsidRDefault="00703F72" w:rsidP="00703F72">
      <w:pPr>
        <w:pStyle w:val="aa"/>
        <w:numPr>
          <w:ilvl w:val="1"/>
          <w:numId w:val="2"/>
        </w:numPr>
        <w:rPr>
          <w:rFonts w:ascii="Arial" w:hAnsi="Arial" w:cs="Arial"/>
          <w:i/>
          <w:lang w:val="en-US"/>
        </w:rPr>
      </w:pPr>
      <w:r w:rsidRPr="00703F72">
        <w:rPr>
          <w:rFonts w:ascii="Arial" w:hAnsi="Arial" w:cs="Arial"/>
          <w:i/>
          <w:lang w:val="en-US"/>
        </w:rPr>
        <w:t>Non-Oil</w:t>
      </w:r>
    </w:p>
    <w:p w:rsidR="00703F72" w:rsidRDefault="00703F72" w:rsidP="00CD43F3">
      <w:pPr>
        <w:spacing w:after="0"/>
        <w:ind w:firstLine="360"/>
        <w:rPr>
          <w:rFonts w:ascii="Arial" w:hAnsi="Arial" w:cs="Arial"/>
          <w:lang w:val="en-US"/>
        </w:rPr>
      </w:pPr>
      <w:r w:rsidRPr="00703F72">
        <w:rPr>
          <w:rFonts w:ascii="Arial" w:hAnsi="Arial" w:cs="Arial"/>
          <w:lang w:val="en-US"/>
        </w:rPr>
        <w:t xml:space="preserve">The pandemic in 2020 resulted in large GDP losses and increased risks of long-lasting effects on growth.2 </w:t>
      </w:r>
      <w:proofErr w:type="gramStart"/>
      <w:r w:rsidRPr="00703F72">
        <w:rPr>
          <w:rFonts w:ascii="Arial" w:hAnsi="Arial" w:cs="Arial"/>
          <w:lang w:val="en-US"/>
        </w:rPr>
        <w:t>Possible</w:t>
      </w:r>
      <w:proofErr w:type="gramEnd"/>
      <w:r w:rsidRPr="00703F72">
        <w:rPr>
          <w:rFonts w:ascii="Arial" w:hAnsi="Arial" w:cs="Arial"/>
          <w:lang w:val="en-US"/>
        </w:rPr>
        <w:t xml:space="preserve"> lasting damage to UAE potential growth could materialize through multiple channels that affect p</w:t>
      </w:r>
      <w:r>
        <w:rPr>
          <w:rFonts w:ascii="Arial" w:hAnsi="Arial" w:cs="Arial"/>
          <w:lang w:val="en-US"/>
        </w:rPr>
        <w:t>roductivity, labor, and capital:</w:t>
      </w:r>
    </w:p>
    <w:p w:rsidR="00703F72" w:rsidRPr="00703F72" w:rsidRDefault="00703F72" w:rsidP="00703F72">
      <w:pPr>
        <w:pStyle w:val="aa"/>
        <w:numPr>
          <w:ilvl w:val="0"/>
          <w:numId w:val="3"/>
        </w:numPr>
        <w:spacing w:after="0"/>
        <w:rPr>
          <w:rFonts w:ascii="Arial" w:hAnsi="Arial" w:cs="Arial"/>
          <w:sz w:val="24"/>
          <w:szCs w:val="24"/>
          <w:lang w:val="en-US"/>
        </w:rPr>
      </w:pPr>
      <w:r w:rsidRPr="00703F72">
        <w:rPr>
          <w:rFonts w:ascii="Arial" w:hAnsi="Arial" w:cs="Arial"/>
          <w:sz w:val="24"/>
          <w:szCs w:val="24"/>
          <w:lang w:val="en-US"/>
        </w:rPr>
        <w:t xml:space="preserve">TFP </w:t>
      </w:r>
      <w:r w:rsidR="00A00822">
        <w:rPr>
          <w:rFonts w:ascii="Arial" w:hAnsi="Arial" w:cs="Arial"/>
          <w:sz w:val="24"/>
          <w:szCs w:val="24"/>
          <w:lang w:val="en-US"/>
        </w:rPr>
        <w:t xml:space="preserve">(total factor productivity) </w:t>
      </w:r>
      <w:r w:rsidRPr="00703F72">
        <w:rPr>
          <w:rFonts w:ascii="Arial" w:hAnsi="Arial" w:cs="Arial"/>
          <w:sz w:val="24"/>
          <w:szCs w:val="24"/>
          <w:lang w:val="en-US"/>
        </w:rPr>
        <w:t>losses and spillovers. The accommodation and food service activities, wholesale and retail trade, and construction sectors all saw double-digit growth declines in 2020.</w:t>
      </w:r>
    </w:p>
    <w:p w:rsidR="00703F72" w:rsidRPr="00703F72" w:rsidRDefault="00703F72" w:rsidP="00703F72">
      <w:pPr>
        <w:pStyle w:val="aa"/>
        <w:numPr>
          <w:ilvl w:val="0"/>
          <w:numId w:val="3"/>
        </w:numPr>
        <w:spacing w:after="0"/>
        <w:rPr>
          <w:rFonts w:ascii="Arial" w:hAnsi="Arial" w:cs="Arial"/>
          <w:sz w:val="24"/>
          <w:szCs w:val="24"/>
          <w:lang w:val="en-US"/>
        </w:rPr>
      </w:pPr>
      <w:r w:rsidRPr="00703F72">
        <w:rPr>
          <w:rFonts w:ascii="Arial" w:hAnsi="Arial" w:cs="Arial"/>
          <w:sz w:val="24"/>
          <w:szCs w:val="24"/>
          <w:lang w:val="en-US"/>
        </w:rPr>
        <w:t>Loss of human capital and labor force. The crisis has had uneven effects on labor markets. Employment declines have been significant among lower-skilled workers. The pandemic has also likely had a long-lasting effect on future economic opportunities for women and youth, risking inferior reemployment prospects and a persistent drop in income.</w:t>
      </w:r>
    </w:p>
    <w:p w:rsidR="00703F72" w:rsidRDefault="00703F72" w:rsidP="00CD43F3">
      <w:pPr>
        <w:spacing w:after="0"/>
        <w:ind w:firstLine="708"/>
        <w:rPr>
          <w:rFonts w:ascii="Arial" w:hAnsi="Arial" w:cs="Arial"/>
          <w:sz w:val="24"/>
          <w:szCs w:val="24"/>
          <w:lang w:val="en-US"/>
        </w:rPr>
      </w:pPr>
      <w:r w:rsidRPr="00703F72">
        <w:rPr>
          <w:rFonts w:ascii="Arial" w:hAnsi="Arial" w:cs="Arial"/>
          <w:sz w:val="24"/>
          <w:szCs w:val="24"/>
          <w:lang w:val="en-US"/>
        </w:rPr>
        <w:t xml:space="preserve">The UAE’s macroeconomic policy support and relatively high level of digitalization are helping to mitigate some risks of long-lasting crisis effects, including relative to other Emerging Markets and Developing Economies (EMDEs). Macroeconomic stimulus measures in 2020-21 to hard-hit sectors and structural reforms under the UAE 2050 Strategy will help to alleviate some of the medium-term output and employment losses, while a transformation of the workplace through further digitalization, </w:t>
      </w:r>
      <w:proofErr w:type="spellStart"/>
      <w:r w:rsidRPr="00703F72">
        <w:rPr>
          <w:rFonts w:ascii="Arial" w:hAnsi="Arial" w:cs="Arial"/>
          <w:sz w:val="24"/>
          <w:szCs w:val="24"/>
          <w:lang w:val="en-US"/>
        </w:rPr>
        <w:t>fintech</w:t>
      </w:r>
      <w:proofErr w:type="spellEnd"/>
      <w:r w:rsidRPr="00703F72">
        <w:rPr>
          <w:rFonts w:ascii="Arial" w:hAnsi="Arial" w:cs="Arial"/>
          <w:sz w:val="24"/>
          <w:szCs w:val="24"/>
          <w:lang w:val="en-US"/>
        </w:rPr>
        <w:t xml:space="preserve">, and e-commerce are likely helping to offset some of the adverse productivity shocks. However, achieving higher medium-term growth hinges on sustained reform efforts. Non-oil growth is expected to accelerate, boosted by Expo 2020 and reform momentum, and to improve further over the medium-term with increased foreign investment and the benefit of announced structural reforms. Nevertheless, uncertainty about the outlook remains, which could make it difficult to attract sufficient foreign labor, particularly in </w:t>
      </w:r>
      <w:proofErr w:type="spellStart"/>
      <w:r w:rsidRPr="00703F72">
        <w:rPr>
          <w:rFonts w:ascii="Arial" w:hAnsi="Arial" w:cs="Arial"/>
          <w:sz w:val="24"/>
          <w:szCs w:val="24"/>
          <w:lang w:val="en-US"/>
        </w:rPr>
        <w:t>highskilled</w:t>
      </w:r>
      <w:proofErr w:type="spellEnd"/>
      <w:r w:rsidRPr="00703F72">
        <w:rPr>
          <w:rFonts w:ascii="Arial" w:hAnsi="Arial" w:cs="Arial"/>
          <w:sz w:val="24"/>
          <w:szCs w:val="24"/>
          <w:lang w:val="en-US"/>
        </w:rPr>
        <w:t xml:space="preserve"> areas, to meet future economic needs despite recent significant government efforts to modernize visa and work permits regulations.</w:t>
      </w:r>
    </w:p>
    <w:p w:rsidR="00703F72" w:rsidRPr="00703F72" w:rsidRDefault="00703F72" w:rsidP="00703F72">
      <w:pPr>
        <w:spacing w:after="0"/>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5940425" cy="3764915"/>
            <wp:effectExtent l="0" t="0" r="317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13.PNG"/>
                    <pic:cNvPicPr/>
                  </pic:nvPicPr>
                  <pic:blipFill>
                    <a:blip r:embed="rId14">
                      <a:extLst>
                        <a:ext uri="{28A0092B-C50C-407E-A947-70E740481C1C}">
                          <a14:useLocalDpi xmlns:a14="http://schemas.microsoft.com/office/drawing/2010/main" val="0"/>
                        </a:ext>
                      </a:extLst>
                    </a:blip>
                    <a:stretch>
                      <a:fillRect/>
                    </a:stretch>
                  </pic:blipFill>
                  <pic:spPr>
                    <a:xfrm>
                      <a:off x="0" y="0"/>
                      <a:ext cx="5940425" cy="3764915"/>
                    </a:xfrm>
                    <a:prstGeom prst="rect">
                      <a:avLst/>
                    </a:prstGeom>
                  </pic:spPr>
                </pic:pic>
              </a:graphicData>
            </a:graphic>
          </wp:inline>
        </w:drawing>
      </w:r>
    </w:p>
    <w:p w:rsidR="00703F72" w:rsidRDefault="00703F72" w:rsidP="00CD43F3">
      <w:pPr>
        <w:spacing w:after="0"/>
        <w:ind w:firstLine="708"/>
        <w:rPr>
          <w:rFonts w:ascii="Arial" w:hAnsi="Arial" w:cs="Arial"/>
          <w:sz w:val="24"/>
          <w:szCs w:val="24"/>
          <w:lang w:val="en-US"/>
        </w:rPr>
      </w:pPr>
      <w:proofErr w:type="gramStart"/>
      <w:r w:rsidRPr="00703F72">
        <w:rPr>
          <w:rFonts w:ascii="Arial" w:hAnsi="Arial" w:cs="Arial"/>
          <w:sz w:val="24"/>
          <w:szCs w:val="24"/>
          <w:lang w:val="en-US"/>
        </w:rPr>
        <w:t>A detailed analysis of factors of production point to significant challenges to future productivity growth in the UAE.</w:t>
      </w:r>
      <w:proofErr w:type="gramEnd"/>
      <w:r w:rsidRPr="00703F72">
        <w:rPr>
          <w:rFonts w:ascii="Arial" w:hAnsi="Arial" w:cs="Arial"/>
          <w:sz w:val="24"/>
          <w:szCs w:val="24"/>
          <w:lang w:val="en-US"/>
        </w:rPr>
        <w:t xml:space="preserve"> Potential non-oil growth in the UAE has been on a downward trend over the past twenty years (Figure 2). This has largely been driven by declining contribution of TFP in the run-up to the Global Financial Crisis, followed by increasingly lower contributions from labor in the subsequent years. The UAE’s capital stock has also exhibited a steady decline over the entire period.</w:t>
      </w:r>
    </w:p>
    <w:p w:rsidR="00953E33" w:rsidRPr="00953E33" w:rsidRDefault="00953E33" w:rsidP="00953E33">
      <w:pPr>
        <w:spacing w:after="0"/>
        <w:rPr>
          <w:rFonts w:ascii="Arial" w:hAnsi="Arial" w:cs="Arial"/>
          <w:sz w:val="24"/>
          <w:szCs w:val="24"/>
          <w:lang w:val="en-US"/>
        </w:rPr>
      </w:pPr>
      <w:r>
        <w:rPr>
          <w:rFonts w:ascii="Arial" w:hAnsi="Arial" w:cs="Arial"/>
          <w:noProof/>
          <w:sz w:val="24"/>
          <w:szCs w:val="24"/>
          <w:lang w:eastAsia="ru-RU"/>
        </w:rPr>
        <w:lastRenderedPageBreak/>
        <w:drawing>
          <wp:inline distT="0" distB="0" distL="0" distR="0">
            <wp:extent cx="5940425" cy="4835525"/>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14.PNG"/>
                    <pic:cNvPicPr/>
                  </pic:nvPicPr>
                  <pic:blipFill>
                    <a:blip r:embed="rId15">
                      <a:extLst>
                        <a:ext uri="{28A0092B-C50C-407E-A947-70E740481C1C}">
                          <a14:useLocalDpi xmlns:a14="http://schemas.microsoft.com/office/drawing/2010/main" val="0"/>
                        </a:ext>
                      </a:extLst>
                    </a:blip>
                    <a:stretch>
                      <a:fillRect/>
                    </a:stretch>
                  </pic:blipFill>
                  <pic:spPr>
                    <a:xfrm>
                      <a:off x="0" y="0"/>
                      <a:ext cx="5940425" cy="4835525"/>
                    </a:xfrm>
                    <a:prstGeom prst="rect">
                      <a:avLst/>
                    </a:prstGeom>
                  </pic:spPr>
                </pic:pic>
              </a:graphicData>
            </a:graphic>
          </wp:inline>
        </w:drawing>
      </w:r>
    </w:p>
    <w:p w:rsidR="00953E33" w:rsidRPr="00703F72" w:rsidRDefault="00953E33" w:rsidP="00703F72">
      <w:pPr>
        <w:rPr>
          <w:rFonts w:ascii="Arial" w:hAnsi="Arial" w:cs="Arial"/>
          <w:color w:val="001E00"/>
          <w:spacing w:val="9"/>
          <w:sz w:val="24"/>
          <w:szCs w:val="24"/>
          <w:shd w:val="clear" w:color="auto" w:fill="FFFFFF"/>
          <w:lang w:val="en-US"/>
        </w:rPr>
      </w:pPr>
    </w:p>
    <w:p w:rsidR="004B021F" w:rsidRDefault="004B021F" w:rsidP="00C47AE5">
      <w:pPr>
        <w:rPr>
          <w:rFonts w:ascii="Arial" w:hAnsi="Arial" w:cs="Arial"/>
          <w:color w:val="001E00"/>
          <w:spacing w:val="9"/>
          <w:sz w:val="24"/>
          <w:szCs w:val="24"/>
          <w:shd w:val="clear" w:color="auto" w:fill="FFFFFF"/>
          <w:lang w:val="en-US"/>
        </w:rPr>
      </w:pPr>
    </w:p>
    <w:p w:rsidR="004B021F" w:rsidRPr="00CD43F3" w:rsidRDefault="004B021F" w:rsidP="00CD43F3">
      <w:pPr>
        <w:pStyle w:val="aa"/>
        <w:numPr>
          <w:ilvl w:val="0"/>
          <w:numId w:val="2"/>
        </w:numPr>
        <w:spacing w:after="0"/>
        <w:rPr>
          <w:rFonts w:ascii="Arial Black" w:hAnsi="Arial Black" w:cs="Arial"/>
          <w:b/>
          <w:color w:val="001E00"/>
          <w:spacing w:val="9"/>
          <w:sz w:val="24"/>
          <w:szCs w:val="24"/>
          <w:shd w:val="clear" w:color="auto" w:fill="FFFFFF"/>
          <w:lang w:val="en-US"/>
        </w:rPr>
      </w:pPr>
      <w:r w:rsidRPr="00CD43F3">
        <w:rPr>
          <w:rFonts w:ascii="Arial Black" w:hAnsi="Arial Black" w:cs="Arial"/>
          <w:b/>
          <w:color w:val="001E00"/>
          <w:spacing w:val="9"/>
          <w:sz w:val="24"/>
          <w:szCs w:val="24"/>
          <w:shd w:val="clear" w:color="auto" w:fill="FFFFFF"/>
          <w:lang w:val="en-US"/>
        </w:rPr>
        <w:t xml:space="preserve">GDP trends of United Arab Emirates from 2020 to 2025 city wise, with a </w:t>
      </w:r>
      <w:proofErr w:type="spellStart"/>
      <w:r w:rsidRPr="00CD43F3">
        <w:rPr>
          <w:rFonts w:ascii="Arial Black" w:hAnsi="Arial Black" w:cs="Arial"/>
          <w:b/>
          <w:color w:val="001E00"/>
          <w:spacing w:val="9"/>
          <w:sz w:val="24"/>
          <w:szCs w:val="24"/>
          <w:shd w:val="clear" w:color="auto" w:fill="FFFFFF"/>
          <w:lang w:val="en-US"/>
        </w:rPr>
        <w:t>seperation</w:t>
      </w:r>
      <w:proofErr w:type="spellEnd"/>
      <w:r w:rsidRPr="00CD43F3">
        <w:rPr>
          <w:rFonts w:ascii="Arial Black" w:hAnsi="Arial Black" w:cs="Arial"/>
          <w:b/>
          <w:color w:val="001E00"/>
          <w:spacing w:val="9"/>
          <w:sz w:val="24"/>
          <w:szCs w:val="24"/>
          <w:shd w:val="clear" w:color="auto" w:fill="FFFFFF"/>
          <w:lang w:val="en-US"/>
        </w:rPr>
        <w:t xml:space="preserve"> of Oil and Non-Oil</w:t>
      </w:r>
    </w:p>
    <w:p w:rsidR="00CD43F3" w:rsidRPr="00CD43F3" w:rsidRDefault="00CD43F3" w:rsidP="00CD43F3">
      <w:pPr>
        <w:spacing w:after="0"/>
        <w:ind w:firstLine="360"/>
        <w:rPr>
          <w:rFonts w:ascii="Arial Black" w:hAnsi="Arial Black" w:cs="Arial"/>
          <w:b/>
          <w:i/>
          <w:color w:val="001E00"/>
          <w:spacing w:val="9"/>
          <w:sz w:val="24"/>
          <w:szCs w:val="24"/>
          <w:shd w:val="clear" w:color="auto" w:fill="FFFFFF"/>
          <w:lang w:val="en-US"/>
        </w:rPr>
      </w:pPr>
      <w:r w:rsidRPr="00CD43F3">
        <w:rPr>
          <w:rFonts w:ascii="Arial Black" w:hAnsi="Arial Black" w:cs="Arial"/>
          <w:b/>
          <w:i/>
          <w:color w:val="001E00"/>
          <w:spacing w:val="9"/>
          <w:sz w:val="24"/>
          <w:szCs w:val="24"/>
          <w:shd w:val="clear" w:color="auto" w:fill="FFFFFF"/>
          <w:lang w:val="en-US"/>
        </w:rPr>
        <w:t>2.1 Oil</w:t>
      </w:r>
    </w:p>
    <w:p w:rsidR="00CD43F3" w:rsidRDefault="00CD43F3" w:rsidP="00CD43F3">
      <w:pPr>
        <w:spacing w:after="0"/>
        <w:ind w:firstLine="708"/>
        <w:rPr>
          <w:rFonts w:ascii="Arial Black" w:hAnsi="Arial Black" w:cs="Arial"/>
          <w:b/>
          <w:sz w:val="24"/>
          <w:szCs w:val="24"/>
          <w:lang w:val="en-US"/>
        </w:rPr>
      </w:pPr>
    </w:p>
    <w:p w:rsidR="00CD43F3" w:rsidRPr="00CD43F3" w:rsidRDefault="00CD43F3" w:rsidP="00A00822">
      <w:pPr>
        <w:ind w:firstLine="360"/>
        <w:rPr>
          <w:rFonts w:ascii="Arial" w:hAnsi="Arial" w:cs="Arial"/>
          <w:sz w:val="24"/>
          <w:szCs w:val="24"/>
          <w:lang w:val="en-US"/>
        </w:rPr>
      </w:pPr>
      <w:r w:rsidRPr="00CD43F3">
        <w:rPr>
          <w:rFonts w:ascii="Arial" w:hAnsi="Arial" w:cs="Arial"/>
          <w:sz w:val="24"/>
          <w:szCs w:val="24"/>
          <w:lang w:val="en-US"/>
        </w:rPr>
        <w:t xml:space="preserve">Recent growth was supported by spending on the offshore Umm Lulu and </w:t>
      </w:r>
      <w:proofErr w:type="spellStart"/>
      <w:r w:rsidRPr="00CD43F3">
        <w:rPr>
          <w:rFonts w:ascii="Arial" w:hAnsi="Arial" w:cs="Arial"/>
          <w:sz w:val="24"/>
          <w:szCs w:val="24"/>
          <w:lang w:val="en-US"/>
        </w:rPr>
        <w:t>Satah</w:t>
      </w:r>
      <w:proofErr w:type="spellEnd"/>
      <w:r w:rsidRPr="00CD43F3">
        <w:rPr>
          <w:rFonts w:ascii="Arial" w:hAnsi="Arial" w:cs="Arial"/>
          <w:sz w:val="24"/>
          <w:szCs w:val="24"/>
          <w:lang w:val="en-US"/>
        </w:rPr>
        <w:t xml:space="preserve"> al-</w:t>
      </w:r>
      <w:proofErr w:type="spellStart"/>
      <w:r w:rsidRPr="00CD43F3">
        <w:rPr>
          <w:rFonts w:ascii="Arial" w:hAnsi="Arial" w:cs="Arial"/>
          <w:sz w:val="24"/>
          <w:szCs w:val="24"/>
          <w:lang w:val="en-US"/>
        </w:rPr>
        <w:t>Razboot</w:t>
      </w:r>
      <w:proofErr w:type="spellEnd"/>
      <w:r w:rsidRPr="00CD43F3">
        <w:rPr>
          <w:rFonts w:ascii="Arial" w:hAnsi="Arial" w:cs="Arial"/>
          <w:sz w:val="24"/>
          <w:szCs w:val="24"/>
          <w:lang w:val="en-US"/>
        </w:rPr>
        <w:t xml:space="preserve"> (</w:t>
      </w:r>
      <w:proofErr w:type="spellStart"/>
      <w:r w:rsidRPr="00CD43F3">
        <w:rPr>
          <w:rFonts w:ascii="Arial" w:hAnsi="Arial" w:cs="Arial"/>
          <w:sz w:val="24"/>
          <w:szCs w:val="24"/>
          <w:lang w:val="en-US"/>
        </w:rPr>
        <w:t>Sarb</w:t>
      </w:r>
      <w:proofErr w:type="spellEnd"/>
      <w:r w:rsidRPr="00CD43F3">
        <w:rPr>
          <w:rFonts w:ascii="Arial" w:hAnsi="Arial" w:cs="Arial"/>
          <w:sz w:val="24"/>
          <w:szCs w:val="24"/>
          <w:lang w:val="en-US"/>
        </w:rPr>
        <w:t xml:space="preserve">) fields, which are expected to produce 200 kb/d by 2023. The climb towards 4 </w:t>
      </w:r>
      <w:proofErr w:type="spellStart"/>
      <w:r w:rsidRPr="00CD43F3">
        <w:rPr>
          <w:rFonts w:ascii="Arial" w:hAnsi="Arial" w:cs="Arial"/>
          <w:sz w:val="24"/>
          <w:szCs w:val="24"/>
          <w:lang w:val="en-US"/>
        </w:rPr>
        <w:t>mb</w:t>
      </w:r>
      <w:proofErr w:type="spellEnd"/>
      <w:r w:rsidRPr="00CD43F3">
        <w:rPr>
          <w:rFonts w:ascii="Arial" w:hAnsi="Arial" w:cs="Arial"/>
          <w:sz w:val="24"/>
          <w:szCs w:val="24"/>
          <w:lang w:val="en-US"/>
        </w:rPr>
        <w:t xml:space="preserve">/d will require the expansion of the Exxon-operated Upper </w:t>
      </w:r>
      <w:proofErr w:type="spellStart"/>
      <w:r w:rsidRPr="00CD43F3">
        <w:rPr>
          <w:rFonts w:ascii="Arial" w:hAnsi="Arial" w:cs="Arial"/>
          <w:sz w:val="24"/>
          <w:szCs w:val="24"/>
          <w:lang w:val="en-US"/>
        </w:rPr>
        <w:t>Zakum</w:t>
      </w:r>
      <w:proofErr w:type="spellEnd"/>
      <w:r w:rsidRPr="00CD43F3">
        <w:rPr>
          <w:rFonts w:ascii="Arial" w:hAnsi="Arial" w:cs="Arial"/>
          <w:sz w:val="24"/>
          <w:szCs w:val="24"/>
          <w:lang w:val="en-US"/>
        </w:rPr>
        <w:t xml:space="preserve"> offshore field, one of the world’s largest. Output is around 750 kb/d and is expected to reach 1 </w:t>
      </w:r>
      <w:proofErr w:type="spellStart"/>
      <w:r w:rsidRPr="00CD43F3">
        <w:rPr>
          <w:rFonts w:ascii="Arial" w:hAnsi="Arial" w:cs="Arial"/>
          <w:sz w:val="24"/>
          <w:szCs w:val="24"/>
          <w:lang w:val="en-US"/>
        </w:rPr>
        <w:t>mb</w:t>
      </w:r>
      <w:proofErr w:type="spellEnd"/>
      <w:r w:rsidRPr="00CD43F3">
        <w:rPr>
          <w:rFonts w:ascii="Arial" w:hAnsi="Arial" w:cs="Arial"/>
          <w:sz w:val="24"/>
          <w:szCs w:val="24"/>
          <w:lang w:val="en-US"/>
        </w:rPr>
        <w:t xml:space="preserve">/d by 2024. ExxonMobil has invested around USD 6.5 billion in Upper </w:t>
      </w:r>
      <w:proofErr w:type="spellStart"/>
      <w:r w:rsidRPr="00CD43F3">
        <w:rPr>
          <w:rFonts w:ascii="Arial" w:hAnsi="Arial" w:cs="Arial"/>
          <w:sz w:val="24"/>
          <w:szCs w:val="24"/>
          <w:lang w:val="en-US"/>
        </w:rPr>
        <w:t>Zakum</w:t>
      </w:r>
      <w:proofErr w:type="spellEnd"/>
      <w:r w:rsidRPr="00CD43F3">
        <w:rPr>
          <w:rFonts w:ascii="Arial" w:hAnsi="Arial" w:cs="Arial"/>
          <w:sz w:val="24"/>
          <w:szCs w:val="24"/>
          <w:lang w:val="en-US"/>
        </w:rPr>
        <w:t xml:space="preserve"> since it took a share in 2006. More near-term supply will come from offshore oil fields </w:t>
      </w:r>
      <w:proofErr w:type="spellStart"/>
      <w:r w:rsidRPr="00CD43F3">
        <w:rPr>
          <w:rFonts w:ascii="Arial" w:hAnsi="Arial" w:cs="Arial"/>
          <w:sz w:val="24"/>
          <w:szCs w:val="24"/>
          <w:lang w:val="en-US"/>
        </w:rPr>
        <w:t>Ghasha</w:t>
      </w:r>
      <w:proofErr w:type="spellEnd"/>
      <w:r w:rsidRPr="00CD43F3">
        <w:rPr>
          <w:rFonts w:ascii="Arial" w:hAnsi="Arial" w:cs="Arial"/>
          <w:sz w:val="24"/>
          <w:szCs w:val="24"/>
          <w:lang w:val="en-US"/>
        </w:rPr>
        <w:t xml:space="preserve">, </w:t>
      </w:r>
      <w:proofErr w:type="spellStart"/>
      <w:r w:rsidRPr="00CD43F3">
        <w:rPr>
          <w:rFonts w:ascii="Arial" w:hAnsi="Arial" w:cs="Arial"/>
          <w:sz w:val="24"/>
          <w:szCs w:val="24"/>
          <w:lang w:val="en-US"/>
        </w:rPr>
        <w:t>Dalma</w:t>
      </w:r>
      <w:proofErr w:type="spellEnd"/>
      <w:r w:rsidRPr="00CD43F3">
        <w:rPr>
          <w:rFonts w:ascii="Arial" w:hAnsi="Arial" w:cs="Arial"/>
          <w:sz w:val="24"/>
          <w:szCs w:val="24"/>
          <w:lang w:val="en-US"/>
        </w:rPr>
        <w:t xml:space="preserve"> and Hail. As for the onshore, the </w:t>
      </w:r>
      <w:proofErr w:type="spellStart"/>
      <w:r w:rsidRPr="00CD43F3">
        <w:rPr>
          <w:rFonts w:ascii="Arial" w:hAnsi="Arial" w:cs="Arial"/>
          <w:sz w:val="24"/>
          <w:szCs w:val="24"/>
          <w:lang w:val="en-US"/>
        </w:rPr>
        <w:t>Haliba</w:t>
      </w:r>
      <w:proofErr w:type="spellEnd"/>
      <w:r w:rsidRPr="00CD43F3">
        <w:rPr>
          <w:rFonts w:ascii="Arial" w:hAnsi="Arial" w:cs="Arial"/>
          <w:sz w:val="24"/>
          <w:szCs w:val="24"/>
          <w:lang w:val="en-US"/>
        </w:rPr>
        <w:t xml:space="preserve"> field started up in 3Q19 and output is expected to reach 40 kb/d. Located along the Abu Dhabi-Oman border, it is operated by Al-</w:t>
      </w:r>
      <w:proofErr w:type="spellStart"/>
      <w:r w:rsidRPr="00CD43F3">
        <w:rPr>
          <w:rFonts w:ascii="Arial" w:hAnsi="Arial" w:cs="Arial"/>
          <w:sz w:val="24"/>
          <w:szCs w:val="24"/>
          <w:lang w:val="en-US"/>
        </w:rPr>
        <w:t>Dhafra</w:t>
      </w:r>
      <w:proofErr w:type="spellEnd"/>
      <w:r w:rsidRPr="00CD43F3">
        <w:rPr>
          <w:rFonts w:ascii="Arial" w:hAnsi="Arial" w:cs="Arial"/>
          <w:sz w:val="24"/>
          <w:szCs w:val="24"/>
          <w:lang w:val="en-US"/>
        </w:rPr>
        <w:t xml:space="preserve"> Petroleum, a joint venture between the Abu Dhabi National Oil Co (ADNOC), </w:t>
      </w:r>
      <w:r w:rsidRPr="00CD43F3">
        <w:rPr>
          <w:rFonts w:ascii="Arial" w:hAnsi="Arial" w:cs="Arial"/>
          <w:sz w:val="24"/>
          <w:szCs w:val="24"/>
          <w:lang w:val="en-US"/>
        </w:rPr>
        <w:lastRenderedPageBreak/>
        <w:t xml:space="preserve">Korea National Oil Corp and GS Energy. </w:t>
      </w:r>
      <w:r w:rsidRPr="00CD43F3">
        <w:rPr>
          <w:rFonts w:ascii="Arial" w:hAnsi="Arial" w:cs="Arial"/>
          <w:noProof/>
          <w:sz w:val="24"/>
          <w:szCs w:val="24"/>
          <w:lang w:eastAsia="ru-RU"/>
        </w:rPr>
        <w:drawing>
          <wp:inline distT="0" distB="0" distL="0" distR="0" wp14:anchorId="645FAFE6" wp14:editId="45EBFEEB">
            <wp:extent cx="5940425" cy="316420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 8.PNG"/>
                    <pic:cNvPicPr/>
                  </pic:nvPicPr>
                  <pic:blipFill>
                    <a:blip r:embed="rId16">
                      <a:extLst>
                        <a:ext uri="{28A0092B-C50C-407E-A947-70E740481C1C}">
                          <a14:useLocalDpi xmlns:a14="http://schemas.microsoft.com/office/drawing/2010/main" val="0"/>
                        </a:ext>
                      </a:extLst>
                    </a:blip>
                    <a:stretch>
                      <a:fillRect/>
                    </a:stretch>
                  </pic:blipFill>
                  <pic:spPr>
                    <a:xfrm>
                      <a:off x="0" y="0"/>
                      <a:ext cx="5940425" cy="3164205"/>
                    </a:xfrm>
                    <a:prstGeom prst="rect">
                      <a:avLst/>
                    </a:prstGeom>
                  </pic:spPr>
                </pic:pic>
              </a:graphicData>
            </a:graphic>
          </wp:inline>
        </w:drawing>
      </w:r>
    </w:p>
    <w:p w:rsidR="00CD43F3" w:rsidRDefault="00CD43F3" w:rsidP="00CD43F3">
      <w:pPr>
        <w:rPr>
          <w:rFonts w:ascii="Arial" w:hAnsi="Arial" w:cs="Arial"/>
          <w:sz w:val="24"/>
          <w:szCs w:val="24"/>
          <w:lang w:val="en-US"/>
        </w:rPr>
      </w:pPr>
      <w:r w:rsidRPr="00CD43F3">
        <w:rPr>
          <w:rFonts w:ascii="Arial" w:hAnsi="Arial" w:cs="Arial"/>
          <w:sz w:val="24"/>
          <w:szCs w:val="24"/>
          <w:lang w:val="en-US"/>
        </w:rPr>
        <w:t xml:space="preserve">Apart from Upper </w:t>
      </w:r>
      <w:proofErr w:type="spellStart"/>
      <w:r w:rsidRPr="00CD43F3">
        <w:rPr>
          <w:rFonts w:ascii="Arial" w:hAnsi="Arial" w:cs="Arial"/>
          <w:sz w:val="24"/>
          <w:szCs w:val="24"/>
          <w:lang w:val="en-US"/>
        </w:rPr>
        <w:t>Zakum</w:t>
      </w:r>
      <w:proofErr w:type="spellEnd"/>
      <w:r w:rsidRPr="00CD43F3">
        <w:rPr>
          <w:rFonts w:ascii="Arial" w:hAnsi="Arial" w:cs="Arial"/>
          <w:sz w:val="24"/>
          <w:szCs w:val="24"/>
          <w:lang w:val="en-US"/>
        </w:rPr>
        <w:t xml:space="preserve">, ADNOC split its 700 kb/d offshore oil concession into three separate ventures: Lower </w:t>
      </w:r>
      <w:proofErr w:type="spellStart"/>
      <w:r w:rsidRPr="00CD43F3">
        <w:rPr>
          <w:rFonts w:ascii="Arial" w:hAnsi="Arial" w:cs="Arial"/>
          <w:sz w:val="24"/>
          <w:szCs w:val="24"/>
          <w:lang w:val="en-US"/>
        </w:rPr>
        <w:t>Zakum</w:t>
      </w:r>
      <w:proofErr w:type="spellEnd"/>
      <w:r w:rsidRPr="00CD43F3">
        <w:rPr>
          <w:rFonts w:ascii="Arial" w:hAnsi="Arial" w:cs="Arial"/>
          <w:sz w:val="24"/>
          <w:szCs w:val="24"/>
          <w:lang w:val="en-US"/>
        </w:rPr>
        <w:t xml:space="preserve">, Umm </w:t>
      </w:r>
      <w:proofErr w:type="spellStart"/>
      <w:r w:rsidRPr="00CD43F3">
        <w:rPr>
          <w:rFonts w:ascii="Arial" w:hAnsi="Arial" w:cs="Arial"/>
          <w:sz w:val="24"/>
          <w:szCs w:val="24"/>
          <w:lang w:val="en-US"/>
        </w:rPr>
        <w:t>Shaif</w:t>
      </w:r>
      <w:proofErr w:type="spellEnd"/>
      <w:r w:rsidRPr="00CD43F3">
        <w:rPr>
          <w:rFonts w:ascii="Arial" w:hAnsi="Arial" w:cs="Arial"/>
          <w:sz w:val="24"/>
          <w:szCs w:val="24"/>
          <w:lang w:val="en-US"/>
        </w:rPr>
        <w:t xml:space="preserve"> and Nasr, and </w:t>
      </w:r>
      <w:proofErr w:type="spellStart"/>
      <w:r w:rsidRPr="00CD43F3">
        <w:rPr>
          <w:rFonts w:ascii="Arial" w:hAnsi="Arial" w:cs="Arial"/>
          <w:sz w:val="24"/>
          <w:szCs w:val="24"/>
          <w:lang w:val="en-US"/>
        </w:rPr>
        <w:t>Sarb</w:t>
      </w:r>
      <w:proofErr w:type="spellEnd"/>
      <w:r w:rsidRPr="00CD43F3">
        <w:rPr>
          <w:rFonts w:ascii="Arial" w:hAnsi="Arial" w:cs="Arial"/>
          <w:sz w:val="24"/>
          <w:szCs w:val="24"/>
          <w:lang w:val="en-US"/>
        </w:rPr>
        <w:t xml:space="preserve"> and Umm Lulu. Total secured a 5% stake in Lower </w:t>
      </w:r>
      <w:proofErr w:type="spellStart"/>
      <w:r w:rsidRPr="00CD43F3">
        <w:rPr>
          <w:rFonts w:ascii="Arial" w:hAnsi="Arial" w:cs="Arial"/>
          <w:sz w:val="24"/>
          <w:szCs w:val="24"/>
          <w:lang w:val="en-US"/>
        </w:rPr>
        <w:t>Zakum</w:t>
      </w:r>
      <w:proofErr w:type="spellEnd"/>
      <w:r w:rsidRPr="00CD43F3">
        <w:rPr>
          <w:rFonts w:ascii="Arial" w:hAnsi="Arial" w:cs="Arial"/>
          <w:sz w:val="24"/>
          <w:szCs w:val="24"/>
          <w:lang w:val="en-US"/>
        </w:rPr>
        <w:t xml:space="preserve"> and 20% in Umm </w:t>
      </w:r>
      <w:proofErr w:type="spellStart"/>
      <w:r w:rsidRPr="00CD43F3">
        <w:rPr>
          <w:rFonts w:ascii="Arial" w:hAnsi="Arial" w:cs="Arial"/>
          <w:sz w:val="24"/>
          <w:szCs w:val="24"/>
          <w:lang w:val="en-US"/>
        </w:rPr>
        <w:t>Shaif</w:t>
      </w:r>
      <w:proofErr w:type="spellEnd"/>
      <w:r w:rsidRPr="00CD43F3">
        <w:rPr>
          <w:rFonts w:ascii="Arial" w:hAnsi="Arial" w:cs="Arial"/>
          <w:sz w:val="24"/>
          <w:szCs w:val="24"/>
          <w:lang w:val="en-US"/>
        </w:rPr>
        <w:t xml:space="preserve">/Nasr; while OMV acquired the final 20% stake in </w:t>
      </w:r>
      <w:proofErr w:type="spellStart"/>
      <w:r w:rsidRPr="00CD43F3">
        <w:rPr>
          <w:rFonts w:ascii="Arial" w:hAnsi="Arial" w:cs="Arial"/>
          <w:sz w:val="24"/>
          <w:szCs w:val="24"/>
          <w:lang w:val="en-US"/>
        </w:rPr>
        <w:t>Sarb</w:t>
      </w:r>
      <w:proofErr w:type="spellEnd"/>
      <w:r w:rsidRPr="00CD43F3">
        <w:rPr>
          <w:rFonts w:ascii="Arial" w:hAnsi="Arial" w:cs="Arial"/>
          <w:sz w:val="24"/>
          <w:szCs w:val="24"/>
          <w:lang w:val="en-US"/>
        </w:rPr>
        <w:t xml:space="preserve"> and Umm Lulu. ADNOC will retain a 60% stake in each. For its onshore sector, which pumps around 1.8 </w:t>
      </w:r>
      <w:proofErr w:type="spellStart"/>
      <w:r w:rsidRPr="00CD43F3">
        <w:rPr>
          <w:rFonts w:ascii="Arial" w:hAnsi="Arial" w:cs="Arial"/>
          <w:sz w:val="24"/>
          <w:szCs w:val="24"/>
          <w:lang w:val="en-US"/>
        </w:rPr>
        <w:t>mb</w:t>
      </w:r>
      <w:proofErr w:type="spellEnd"/>
      <w:r w:rsidRPr="00CD43F3">
        <w:rPr>
          <w:rFonts w:ascii="Arial" w:hAnsi="Arial" w:cs="Arial"/>
          <w:sz w:val="24"/>
          <w:szCs w:val="24"/>
          <w:lang w:val="en-US"/>
        </w:rPr>
        <w:t xml:space="preserve">/d of flagship </w:t>
      </w:r>
      <w:proofErr w:type="spellStart"/>
      <w:r w:rsidRPr="00CD43F3">
        <w:rPr>
          <w:rFonts w:ascii="Arial" w:hAnsi="Arial" w:cs="Arial"/>
          <w:sz w:val="24"/>
          <w:szCs w:val="24"/>
          <w:lang w:val="en-US"/>
        </w:rPr>
        <w:t>Murban</w:t>
      </w:r>
      <w:proofErr w:type="spellEnd"/>
      <w:r w:rsidRPr="00CD43F3">
        <w:rPr>
          <w:rFonts w:ascii="Arial" w:hAnsi="Arial" w:cs="Arial"/>
          <w:sz w:val="24"/>
          <w:szCs w:val="24"/>
          <w:lang w:val="en-US"/>
        </w:rPr>
        <w:t xml:space="preserve"> crude, ADNOC has secured foreign partners for a 40% share of the concession. The official aim is to boost </w:t>
      </w:r>
      <w:proofErr w:type="spellStart"/>
      <w:r w:rsidRPr="00CD43F3">
        <w:rPr>
          <w:rFonts w:ascii="Arial" w:hAnsi="Arial" w:cs="Arial"/>
          <w:sz w:val="24"/>
          <w:szCs w:val="24"/>
          <w:lang w:val="en-US"/>
        </w:rPr>
        <w:t>Murban</w:t>
      </w:r>
      <w:proofErr w:type="spellEnd"/>
      <w:r w:rsidRPr="00CD43F3">
        <w:rPr>
          <w:rFonts w:ascii="Arial" w:hAnsi="Arial" w:cs="Arial"/>
          <w:sz w:val="24"/>
          <w:szCs w:val="24"/>
          <w:lang w:val="en-US"/>
        </w:rPr>
        <w:t xml:space="preserve"> output beyond 1.8 </w:t>
      </w:r>
      <w:proofErr w:type="spellStart"/>
      <w:r w:rsidRPr="00CD43F3">
        <w:rPr>
          <w:rFonts w:ascii="Arial" w:hAnsi="Arial" w:cs="Arial"/>
          <w:sz w:val="24"/>
          <w:szCs w:val="24"/>
          <w:lang w:val="en-US"/>
        </w:rPr>
        <w:t>mb</w:t>
      </w:r>
      <w:proofErr w:type="spellEnd"/>
      <w:r w:rsidRPr="00CD43F3">
        <w:rPr>
          <w:rFonts w:ascii="Arial" w:hAnsi="Arial" w:cs="Arial"/>
          <w:sz w:val="24"/>
          <w:szCs w:val="24"/>
          <w:lang w:val="en-US"/>
        </w:rPr>
        <w:t xml:space="preserve">/d and, to that end, ADNOC plans to lift production from the Bab field to 485 kb/d from around 420 kb/d currently. Total and BP both hold 10% of ADNOC Onshore, with GS, </w:t>
      </w:r>
      <w:proofErr w:type="spellStart"/>
      <w:r w:rsidRPr="00CD43F3">
        <w:rPr>
          <w:rFonts w:ascii="Arial" w:hAnsi="Arial" w:cs="Arial"/>
          <w:sz w:val="24"/>
          <w:szCs w:val="24"/>
          <w:lang w:val="en-US"/>
        </w:rPr>
        <w:t>Inpex</w:t>
      </w:r>
      <w:proofErr w:type="spellEnd"/>
      <w:r w:rsidRPr="00CD43F3">
        <w:rPr>
          <w:rFonts w:ascii="Arial" w:hAnsi="Arial" w:cs="Arial"/>
          <w:sz w:val="24"/>
          <w:szCs w:val="24"/>
          <w:lang w:val="en-US"/>
        </w:rPr>
        <w:t xml:space="preserve">, CNPC and </w:t>
      </w:r>
      <w:proofErr w:type="spellStart"/>
      <w:r w:rsidRPr="00CD43F3">
        <w:rPr>
          <w:rFonts w:ascii="Arial" w:hAnsi="Arial" w:cs="Arial"/>
          <w:sz w:val="24"/>
          <w:szCs w:val="24"/>
          <w:lang w:val="en-US"/>
        </w:rPr>
        <w:t>Zhenhua</w:t>
      </w:r>
      <w:proofErr w:type="spellEnd"/>
      <w:r w:rsidRPr="00CD43F3">
        <w:rPr>
          <w:rFonts w:ascii="Arial" w:hAnsi="Arial" w:cs="Arial"/>
          <w:sz w:val="24"/>
          <w:szCs w:val="24"/>
          <w:lang w:val="en-US"/>
        </w:rPr>
        <w:t xml:space="preserve"> Oil securing minority stakes.</w:t>
      </w:r>
    </w:p>
    <w:p w:rsidR="00CD43F3" w:rsidRPr="00CD43F3" w:rsidRDefault="00CD43F3" w:rsidP="00CD43F3">
      <w:pPr>
        <w:pStyle w:val="aa"/>
        <w:numPr>
          <w:ilvl w:val="1"/>
          <w:numId w:val="2"/>
        </w:numPr>
        <w:spacing w:after="0"/>
        <w:rPr>
          <w:rFonts w:ascii="Arial" w:hAnsi="Arial" w:cs="Arial"/>
          <w:b/>
          <w:i/>
          <w:sz w:val="24"/>
          <w:szCs w:val="24"/>
          <w:shd w:val="clear" w:color="auto" w:fill="FFFFFF"/>
          <w:lang w:val="en-US"/>
        </w:rPr>
      </w:pPr>
      <w:r w:rsidRPr="00CD43F3">
        <w:rPr>
          <w:rFonts w:ascii="Arial" w:hAnsi="Arial" w:cs="Arial"/>
          <w:b/>
          <w:i/>
          <w:sz w:val="24"/>
          <w:szCs w:val="24"/>
          <w:shd w:val="clear" w:color="auto" w:fill="FFFFFF"/>
          <w:lang w:val="en-US"/>
        </w:rPr>
        <w:t>Non-Oil</w:t>
      </w:r>
    </w:p>
    <w:p w:rsidR="00CD43F3" w:rsidRPr="00CD43F3" w:rsidRDefault="00CD43F3" w:rsidP="00CD43F3">
      <w:pPr>
        <w:pStyle w:val="aa"/>
        <w:spacing w:after="0"/>
        <w:ind w:left="730"/>
        <w:rPr>
          <w:rFonts w:ascii="Arial" w:hAnsi="Arial" w:cs="Arial"/>
          <w:b/>
          <w:i/>
          <w:sz w:val="24"/>
          <w:szCs w:val="24"/>
          <w:shd w:val="clear" w:color="auto" w:fill="FFFFFF"/>
          <w:lang w:val="en-US"/>
        </w:rPr>
      </w:pPr>
    </w:p>
    <w:p w:rsidR="00CD43F3" w:rsidRDefault="007A1171" w:rsidP="00CD43F3">
      <w:pPr>
        <w:spacing w:after="0"/>
        <w:ind w:firstLine="708"/>
        <w:rPr>
          <w:rFonts w:ascii="Arial" w:hAnsi="Arial" w:cs="Arial"/>
          <w:color w:val="001E00"/>
          <w:spacing w:val="9"/>
          <w:sz w:val="24"/>
          <w:szCs w:val="24"/>
          <w:shd w:val="clear" w:color="auto" w:fill="FFFFFF"/>
          <w:lang w:val="en-US"/>
        </w:rPr>
      </w:pPr>
      <w:r w:rsidRPr="00DD0C69">
        <w:rPr>
          <w:rFonts w:ascii="Arial" w:hAnsi="Arial" w:cs="Arial"/>
          <w:color w:val="001E00"/>
          <w:spacing w:val="9"/>
          <w:sz w:val="24"/>
          <w:szCs w:val="24"/>
          <w:shd w:val="clear" w:color="auto" w:fill="FFFFFF"/>
          <w:lang w:val="en-US"/>
        </w:rPr>
        <w:t xml:space="preserve">Business confidence is set to increase in the United Arabian States as forecasted growth exceeds historical trends. Increased private consumption, investment activity and above trend-tourism </w:t>
      </w:r>
      <w:r w:rsidR="0022590F" w:rsidRPr="00DD0C69">
        <w:rPr>
          <w:rFonts w:ascii="Arial" w:hAnsi="Arial" w:cs="Arial"/>
          <w:color w:val="001E00"/>
          <w:spacing w:val="9"/>
          <w:sz w:val="24"/>
          <w:szCs w:val="24"/>
          <w:shd w:val="clear" w:color="auto" w:fill="FFFFFF"/>
          <w:lang w:val="en-US"/>
        </w:rPr>
        <w:t xml:space="preserve">sector output will also contribute in bringing positivity to businesses’ sentiment. An increase in the confidence of businesses will in turn positively affect the office real estate sub-sector. </w:t>
      </w:r>
    </w:p>
    <w:p w:rsidR="00CD43F3" w:rsidRDefault="0022590F" w:rsidP="00CD43F3">
      <w:pPr>
        <w:spacing w:after="0"/>
        <w:ind w:firstLine="708"/>
        <w:rPr>
          <w:rFonts w:ascii="Arial" w:hAnsi="Arial" w:cs="Arial"/>
          <w:color w:val="001E00"/>
          <w:spacing w:val="9"/>
          <w:sz w:val="24"/>
          <w:szCs w:val="24"/>
          <w:shd w:val="clear" w:color="auto" w:fill="FFFFFF"/>
          <w:lang w:val="en-US"/>
        </w:rPr>
      </w:pPr>
      <w:r w:rsidRPr="00DD0C69">
        <w:rPr>
          <w:rFonts w:ascii="Arial" w:hAnsi="Arial" w:cs="Arial"/>
          <w:b/>
          <w:color w:val="001E00"/>
          <w:spacing w:val="9"/>
          <w:sz w:val="24"/>
          <w:szCs w:val="24"/>
          <w:shd w:val="clear" w:color="auto" w:fill="FFFFFF"/>
          <w:lang w:val="en-US"/>
        </w:rPr>
        <w:t>Abu Dhabi’s</w:t>
      </w:r>
      <w:r w:rsidRPr="00DD0C69">
        <w:rPr>
          <w:rFonts w:ascii="Arial" w:hAnsi="Arial" w:cs="Arial"/>
          <w:color w:val="001E00"/>
          <w:spacing w:val="9"/>
          <w:sz w:val="24"/>
          <w:szCs w:val="24"/>
          <w:shd w:val="clear" w:color="auto" w:fill="FFFFFF"/>
          <w:lang w:val="en-US"/>
        </w:rPr>
        <w:t xml:space="preserve"> office market is primarily reliant on government-related entities and Small and Medium Enterprises (SMEs). Demand for space in the city’s Aby Dhabi Global Market is expected to be sustained. Rental rates in Abu Dhabi are now seeing an increase as demand increases and supply remains moderate.</w:t>
      </w:r>
    </w:p>
    <w:p w:rsidR="00CD43F3" w:rsidRDefault="0022590F" w:rsidP="00CD43F3">
      <w:pPr>
        <w:spacing w:after="0"/>
        <w:ind w:firstLine="708"/>
        <w:rPr>
          <w:rFonts w:ascii="Arial" w:hAnsi="Arial" w:cs="Arial"/>
          <w:color w:val="001E00"/>
          <w:spacing w:val="9"/>
          <w:sz w:val="24"/>
          <w:szCs w:val="24"/>
          <w:shd w:val="clear" w:color="auto" w:fill="FFFFFF"/>
          <w:lang w:val="en-US"/>
        </w:rPr>
      </w:pPr>
      <w:r w:rsidRPr="00DD0C69">
        <w:rPr>
          <w:rFonts w:ascii="Arial" w:hAnsi="Arial" w:cs="Arial"/>
          <w:color w:val="001E00"/>
          <w:spacing w:val="9"/>
          <w:sz w:val="24"/>
          <w:szCs w:val="24"/>
          <w:shd w:val="clear" w:color="auto" w:fill="FFFFFF"/>
          <w:lang w:val="en-US"/>
        </w:rPr>
        <w:t xml:space="preserve">In </w:t>
      </w:r>
      <w:proofErr w:type="spellStart"/>
      <w:r w:rsidRPr="00DD0C69">
        <w:rPr>
          <w:rFonts w:ascii="Arial" w:hAnsi="Arial" w:cs="Arial"/>
          <w:b/>
          <w:color w:val="001E00"/>
          <w:spacing w:val="9"/>
          <w:sz w:val="24"/>
          <w:szCs w:val="24"/>
          <w:shd w:val="clear" w:color="auto" w:fill="FFFFFF"/>
          <w:lang w:val="en-US"/>
        </w:rPr>
        <w:t>Dhubai</w:t>
      </w:r>
      <w:proofErr w:type="spellEnd"/>
      <w:r w:rsidRPr="00DD0C69">
        <w:rPr>
          <w:rFonts w:ascii="Arial" w:hAnsi="Arial" w:cs="Arial"/>
          <w:color w:val="001E00"/>
          <w:spacing w:val="9"/>
          <w:sz w:val="24"/>
          <w:szCs w:val="24"/>
          <w:shd w:val="clear" w:color="auto" w:fill="FFFFFF"/>
          <w:lang w:val="en-US"/>
        </w:rPr>
        <w:t xml:space="preserve">, the office market is experiencing growth due to demand being </w:t>
      </w:r>
      <w:r w:rsidR="001B085B" w:rsidRPr="00DD0C69">
        <w:rPr>
          <w:rFonts w:ascii="Arial" w:hAnsi="Arial" w:cs="Arial"/>
          <w:color w:val="001E00"/>
          <w:spacing w:val="9"/>
          <w:sz w:val="24"/>
          <w:szCs w:val="24"/>
          <w:shd w:val="clear" w:color="auto" w:fill="FFFFFF"/>
          <w:lang w:val="en-US"/>
        </w:rPr>
        <w:t xml:space="preserve">bigger than supply. The growing demand is especially towards larger office areas leading to a forecasted 5.1% rise in average rental rates for 2023. Meanwhile, in Sharjah rental rates for office property has become stable due to moderate </w:t>
      </w:r>
      <w:r w:rsidR="001B085B" w:rsidRPr="00DD0C69">
        <w:rPr>
          <w:rFonts w:ascii="Arial" w:hAnsi="Arial" w:cs="Arial"/>
          <w:color w:val="001E00"/>
          <w:spacing w:val="9"/>
          <w:sz w:val="24"/>
          <w:szCs w:val="24"/>
          <w:shd w:val="clear" w:color="auto" w:fill="FFFFFF"/>
          <w:lang w:val="en-US"/>
        </w:rPr>
        <w:lastRenderedPageBreak/>
        <w:t xml:space="preserve">supply and demand. </w:t>
      </w:r>
      <w:r w:rsidR="0009578A" w:rsidRPr="00DD0C69">
        <w:rPr>
          <w:rFonts w:ascii="Arial" w:hAnsi="Arial" w:cs="Arial"/>
          <w:color w:val="001E00"/>
          <w:spacing w:val="9"/>
          <w:sz w:val="24"/>
          <w:szCs w:val="24"/>
          <w:shd w:val="clear" w:color="auto" w:fill="FFFFFF"/>
          <w:lang w:val="en-US"/>
        </w:rPr>
        <w:t xml:space="preserve">As the city has a relatively small market size, only limited activity is seen. </w:t>
      </w:r>
    </w:p>
    <w:p w:rsidR="007A1171" w:rsidRPr="00DD0C69" w:rsidRDefault="0009578A" w:rsidP="00CD43F3">
      <w:pPr>
        <w:spacing w:after="0"/>
        <w:ind w:firstLine="708"/>
        <w:rPr>
          <w:rFonts w:ascii="Arial" w:hAnsi="Arial" w:cs="Arial"/>
          <w:color w:val="001E00"/>
          <w:spacing w:val="9"/>
          <w:sz w:val="24"/>
          <w:szCs w:val="24"/>
          <w:shd w:val="clear" w:color="auto" w:fill="FFFFFF"/>
          <w:lang w:val="en-US"/>
        </w:rPr>
      </w:pPr>
      <w:r w:rsidRPr="00DD0C69">
        <w:rPr>
          <w:rFonts w:ascii="Arial" w:hAnsi="Arial" w:cs="Arial"/>
          <w:color w:val="001E00"/>
          <w:spacing w:val="9"/>
          <w:sz w:val="24"/>
          <w:szCs w:val="24"/>
          <w:shd w:val="clear" w:color="auto" w:fill="FFFFFF"/>
          <w:lang w:val="en-US"/>
        </w:rPr>
        <w:t xml:space="preserve">Activity in </w:t>
      </w:r>
      <w:r w:rsidRPr="00DD0C69">
        <w:rPr>
          <w:rFonts w:ascii="Arial" w:hAnsi="Arial" w:cs="Arial"/>
          <w:b/>
          <w:color w:val="001E00"/>
          <w:spacing w:val="9"/>
          <w:sz w:val="24"/>
          <w:szCs w:val="24"/>
          <w:shd w:val="clear" w:color="auto" w:fill="FFFFFF"/>
          <w:lang w:val="en-US"/>
        </w:rPr>
        <w:t>Sharjah</w:t>
      </w:r>
      <w:r w:rsidRPr="00DD0C69">
        <w:rPr>
          <w:rFonts w:ascii="Arial" w:hAnsi="Arial" w:cs="Arial"/>
          <w:color w:val="001E00"/>
          <w:spacing w:val="9"/>
          <w:sz w:val="24"/>
          <w:szCs w:val="24"/>
          <w:shd w:val="clear" w:color="auto" w:fill="FFFFFF"/>
          <w:lang w:val="en-US"/>
        </w:rPr>
        <w:t xml:space="preserve"> is mainly comprised of SMEs and the city has a relatively small market size, significant market supply in the nearest term. Moreover, the retail real estate market is also expected to go through </w:t>
      </w:r>
      <w:r w:rsidR="009B53AC" w:rsidRPr="00DD0C69">
        <w:rPr>
          <w:rFonts w:ascii="Arial" w:hAnsi="Arial" w:cs="Arial"/>
          <w:color w:val="001E00"/>
          <w:spacing w:val="9"/>
          <w:sz w:val="24"/>
          <w:szCs w:val="24"/>
          <w:shd w:val="clear" w:color="auto" w:fill="FFFFFF"/>
          <w:lang w:val="en-US"/>
        </w:rPr>
        <w:t xml:space="preserve">growth in arrivals of international tourists. However, the rise in e-commerce presents </w:t>
      </w:r>
      <w:proofErr w:type="gramStart"/>
      <w:r w:rsidR="009B53AC" w:rsidRPr="00DD0C69">
        <w:rPr>
          <w:rFonts w:ascii="Arial" w:hAnsi="Arial" w:cs="Arial"/>
          <w:color w:val="001E00"/>
          <w:spacing w:val="9"/>
          <w:sz w:val="24"/>
          <w:szCs w:val="24"/>
          <w:shd w:val="clear" w:color="auto" w:fill="FFFFFF"/>
          <w:lang w:val="en-US"/>
        </w:rPr>
        <w:t>a growing risk on the retail market companies are</w:t>
      </w:r>
      <w:proofErr w:type="gramEnd"/>
      <w:r w:rsidR="009B53AC" w:rsidRPr="00DD0C69">
        <w:rPr>
          <w:rFonts w:ascii="Arial" w:hAnsi="Arial" w:cs="Arial"/>
          <w:color w:val="001E00"/>
          <w:spacing w:val="9"/>
          <w:sz w:val="24"/>
          <w:szCs w:val="24"/>
          <w:shd w:val="clear" w:color="auto" w:fill="FFFFFF"/>
          <w:lang w:val="en-US"/>
        </w:rPr>
        <w:t xml:space="preserve"> trying to increase their online presence. This in turn prompts retailers to divert investment towards warehousing and logistics supply chains instead of physical stores, as per </w:t>
      </w:r>
      <w:proofErr w:type="spellStart"/>
      <w:r w:rsidR="009B53AC" w:rsidRPr="00DD0C69">
        <w:rPr>
          <w:rFonts w:ascii="Arial" w:hAnsi="Arial" w:cs="Arial"/>
          <w:color w:val="001E00"/>
          <w:spacing w:val="9"/>
          <w:sz w:val="24"/>
          <w:szCs w:val="24"/>
          <w:shd w:val="clear" w:color="auto" w:fill="FFFFFF"/>
          <w:lang w:val="en-US"/>
        </w:rPr>
        <w:t>FitchSolutions</w:t>
      </w:r>
      <w:proofErr w:type="spellEnd"/>
      <w:r w:rsidR="009B53AC" w:rsidRPr="00DD0C69">
        <w:rPr>
          <w:rFonts w:ascii="Arial" w:hAnsi="Arial" w:cs="Arial"/>
          <w:color w:val="001E00"/>
          <w:spacing w:val="9"/>
          <w:sz w:val="24"/>
          <w:szCs w:val="24"/>
          <w:shd w:val="clear" w:color="auto" w:fill="FFFFFF"/>
          <w:lang w:val="en-US"/>
        </w:rPr>
        <w:t xml:space="preserve">. </w:t>
      </w:r>
    </w:p>
    <w:p w:rsidR="006B2E16" w:rsidRPr="007A1171" w:rsidRDefault="006B2E16" w:rsidP="00DD0C69">
      <w:pPr>
        <w:pStyle w:val="2"/>
        <w:numPr>
          <w:ilvl w:val="0"/>
          <w:numId w:val="2"/>
        </w:numPr>
        <w:shd w:val="clear" w:color="auto" w:fill="FFFFFF"/>
        <w:spacing w:before="75" w:beforeAutospacing="0" w:after="150" w:afterAutospacing="0" w:line="336" w:lineRule="atLeast"/>
        <w:jc w:val="both"/>
        <w:rPr>
          <w:rFonts w:ascii="Arial" w:hAnsi="Arial" w:cs="Arial"/>
          <w:b w:val="0"/>
          <w:bCs w:val="0"/>
          <w:color w:val="333333"/>
          <w:sz w:val="24"/>
          <w:szCs w:val="24"/>
          <w:lang w:val="en-US"/>
        </w:rPr>
      </w:pPr>
      <w:r w:rsidRPr="007A1171">
        <w:rPr>
          <w:rFonts w:ascii="Arial" w:hAnsi="Arial" w:cs="Arial"/>
          <w:color w:val="001E00"/>
          <w:spacing w:val="9"/>
          <w:sz w:val="24"/>
          <w:szCs w:val="24"/>
          <w:shd w:val="clear" w:color="auto" w:fill="FFFFFF"/>
          <w:lang w:val="en-US"/>
        </w:rPr>
        <w:t>Consumer spending baskets of United Arab Emirates</w:t>
      </w:r>
    </w:p>
    <w:p w:rsidR="006B2E16" w:rsidRPr="006B2E16" w:rsidRDefault="006B2E16" w:rsidP="006B2E16">
      <w:pPr>
        <w:pStyle w:val="2"/>
        <w:shd w:val="clear" w:color="auto" w:fill="FFFFFF"/>
        <w:spacing w:before="75" w:beforeAutospacing="0" w:after="150" w:afterAutospacing="0" w:line="336" w:lineRule="atLeast"/>
        <w:jc w:val="both"/>
        <w:rPr>
          <w:rFonts w:ascii="Arial" w:hAnsi="Arial" w:cs="Arial"/>
          <w:b w:val="0"/>
          <w:bCs w:val="0"/>
          <w:color w:val="333333"/>
          <w:sz w:val="24"/>
          <w:szCs w:val="24"/>
          <w:lang w:val="en-US"/>
        </w:rPr>
      </w:pPr>
      <w:r w:rsidRPr="006B2E16">
        <w:rPr>
          <w:rFonts w:ascii="Arial" w:hAnsi="Arial" w:cs="Arial"/>
          <w:b w:val="0"/>
          <w:bCs w:val="0"/>
          <w:color w:val="333333"/>
          <w:sz w:val="24"/>
          <w:szCs w:val="24"/>
          <w:lang w:val="en-US"/>
        </w:rPr>
        <w:t xml:space="preserve">Consumer </w:t>
      </w:r>
      <w:proofErr w:type="gramStart"/>
      <w:r w:rsidRPr="006B2E16">
        <w:rPr>
          <w:rFonts w:ascii="Arial" w:hAnsi="Arial" w:cs="Arial"/>
          <w:b w:val="0"/>
          <w:bCs w:val="0"/>
          <w:color w:val="333333"/>
          <w:sz w:val="24"/>
          <w:szCs w:val="24"/>
          <w:lang w:val="en-US"/>
        </w:rPr>
        <w:t>Spending</w:t>
      </w:r>
      <w:proofErr w:type="gramEnd"/>
      <w:r w:rsidRPr="006B2E16">
        <w:rPr>
          <w:rFonts w:ascii="Arial" w:hAnsi="Arial" w:cs="Arial"/>
          <w:b w:val="0"/>
          <w:bCs w:val="0"/>
          <w:color w:val="333333"/>
          <w:sz w:val="24"/>
          <w:szCs w:val="24"/>
          <w:lang w:val="en-US"/>
        </w:rPr>
        <w:t xml:space="preserve"> in the United Arab Emirates decreased to 483057.20 AED Million in 2020 from 569166.38 AED Million in 2019</w:t>
      </w:r>
    </w:p>
    <w:p w:rsidR="006B2E16" w:rsidRDefault="007A1171" w:rsidP="00C47AE5">
      <w:pPr>
        <w:rPr>
          <w:lang w:val="en-US"/>
        </w:rPr>
      </w:pPr>
      <w:r>
        <w:rPr>
          <w:noProof/>
          <w:lang w:val="en-US" w:eastAsia="ru-RU"/>
        </w:rPr>
        <w:t>pr</w:t>
      </w:r>
      <w:r w:rsidR="006B2E16">
        <w:rPr>
          <w:noProof/>
          <w:lang w:eastAsia="ru-RU"/>
        </w:rPr>
        <w:drawing>
          <wp:inline distT="0" distB="0" distL="0" distR="0">
            <wp:extent cx="5940425" cy="30289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1.PNG"/>
                    <pic:cNvPicPr/>
                  </pic:nvPicPr>
                  <pic:blipFill>
                    <a:blip r:embed="rId17">
                      <a:extLst>
                        <a:ext uri="{28A0092B-C50C-407E-A947-70E740481C1C}">
                          <a14:useLocalDpi xmlns:a14="http://schemas.microsoft.com/office/drawing/2010/main" val="0"/>
                        </a:ext>
                      </a:extLst>
                    </a:blip>
                    <a:stretch>
                      <a:fillRect/>
                    </a:stretch>
                  </pic:blipFill>
                  <pic:spPr>
                    <a:xfrm>
                      <a:off x="0" y="0"/>
                      <a:ext cx="5940425" cy="3028950"/>
                    </a:xfrm>
                    <a:prstGeom prst="rect">
                      <a:avLst/>
                    </a:prstGeom>
                  </pic:spPr>
                </pic:pic>
              </a:graphicData>
            </a:graphic>
          </wp:inline>
        </w:drawing>
      </w:r>
    </w:p>
    <w:p w:rsidR="006B2E16" w:rsidRDefault="006B2E16" w:rsidP="00C47AE5">
      <w:pPr>
        <w:rPr>
          <w:lang w:val="en-US"/>
        </w:rPr>
      </w:pPr>
    </w:p>
    <w:p w:rsidR="006B2E16" w:rsidRPr="006B2E16" w:rsidRDefault="006B2E16" w:rsidP="006B2E16">
      <w:pPr>
        <w:pStyle w:val="3"/>
        <w:shd w:val="clear" w:color="auto" w:fill="FFFFFF"/>
        <w:spacing w:before="75" w:after="150" w:line="336" w:lineRule="atLeast"/>
        <w:jc w:val="both"/>
        <w:rPr>
          <w:rFonts w:ascii="Helvetica" w:hAnsi="Helvetica"/>
          <w:b w:val="0"/>
          <w:bCs w:val="0"/>
          <w:color w:val="333333"/>
          <w:sz w:val="24"/>
          <w:szCs w:val="24"/>
          <w:lang w:val="en-US"/>
        </w:rPr>
      </w:pPr>
      <w:r w:rsidRPr="006B2E16">
        <w:rPr>
          <w:rFonts w:ascii="Helvetica" w:hAnsi="Helvetica"/>
          <w:b w:val="0"/>
          <w:bCs w:val="0"/>
          <w:color w:val="333333"/>
          <w:sz w:val="24"/>
          <w:szCs w:val="24"/>
          <w:lang w:val="en-US"/>
        </w:rPr>
        <w:lastRenderedPageBreak/>
        <w:t xml:space="preserve">Consumer </w:t>
      </w:r>
      <w:proofErr w:type="gramStart"/>
      <w:r w:rsidRPr="006B2E16">
        <w:rPr>
          <w:rFonts w:ascii="Helvetica" w:hAnsi="Helvetica"/>
          <w:b w:val="0"/>
          <w:bCs w:val="0"/>
          <w:color w:val="333333"/>
          <w:sz w:val="24"/>
          <w:szCs w:val="24"/>
          <w:lang w:val="en-US"/>
        </w:rPr>
        <w:t>Spending</w:t>
      </w:r>
      <w:proofErr w:type="gramEnd"/>
      <w:r w:rsidRPr="006B2E16">
        <w:rPr>
          <w:rFonts w:ascii="Helvetica" w:hAnsi="Helvetica"/>
          <w:b w:val="0"/>
          <w:bCs w:val="0"/>
          <w:color w:val="333333"/>
          <w:sz w:val="24"/>
          <w:szCs w:val="24"/>
          <w:lang w:val="en-US"/>
        </w:rPr>
        <w:t xml:space="preserve"> in the United Arab Emirates is expected to reach 504795.00 AED Million by the end of 2023, according to Trading Economics global macro models and </w:t>
      </w:r>
      <w:proofErr w:type="spellStart"/>
      <w:r w:rsidRPr="006B2E16">
        <w:rPr>
          <w:rFonts w:ascii="Helvetica" w:hAnsi="Helvetica"/>
          <w:b w:val="0"/>
          <w:bCs w:val="0"/>
          <w:color w:val="333333"/>
          <w:sz w:val="24"/>
          <w:szCs w:val="24"/>
          <w:lang w:val="en-US"/>
        </w:rPr>
        <w:t>analysts</w:t>
      </w:r>
      <w:proofErr w:type="spellEnd"/>
      <w:r w:rsidRPr="006B2E16">
        <w:rPr>
          <w:rFonts w:ascii="Helvetica" w:hAnsi="Helvetica"/>
          <w:b w:val="0"/>
          <w:bCs w:val="0"/>
          <w:color w:val="333333"/>
          <w:sz w:val="24"/>
          <w:szCs w:val="24"/>
          <w:lang w:val="en-US"/>
        </w:rPr>
        <w:t xml:space="preserve"> expectations. In the long-term, the United Arab Emirates Consumer Spending is projected to trend around 524482.00 AED Million in 2024 and 543888.00 AED Million in 2025, according to our econometric models.</w:t>
      </w:r>
    </w:p>
    <w:p w:rsidR="006B2E16" w:rsidRDefault="006B2E16" w:rsidP="006B2E16">
      <w:pPr>
        <w:pStyle w:val="3"/>
        <w:shd w:val="clear" w:color="auto" w:fill="FFFFFF"/>
        <w:spacing w:before="75" w:after="150" w:line="336" w:lineRule="atLeast"/>
        <w:jc w:val="both"/>
        <w:rPr>
          <w:rFonts w:ascii="Helvetica" w:hAnsi="Helvetica"/>
          <w:b w:val="0"/>
          <w:bCs w:val="0"/>
          <w:color w:val="333333"/>
          <w:sz w:val="24"/>
          <w:szCs w:val="24"/>
          <w:lang w:val="en-US"/>
        </w:rPr>
      </w:pPr>
      <w:r>
        <w:rPr>
          <w:rFonts w:ascii="Helvetica" w:hAnsi="Helvetica"/>
          <w:b w:val="0"/>
          <w:bCs w:val="0"/>
          <w:noProof/>
          <w:color w:val="333333"/>
          <w:sz w:val="24"/>
          <w:szCs w:val="24"/>
          <w:lang w:eastAsia="ru-RU"/>
        </w:rPr>
        <w:drawing>
          <wp:inline distT="0" distB="0" distL="0" distR="0">
            <wp:extent cx="5940425" cy="2985770"/>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2.PNG"/>
                    <pic:cNvPicPr/>
                  </pic:nvPicPr>
                  <pic:blipFill>
                    <a:blip r:embed="rId18">
                      <a:extLst>
                        <a:ext uri="{28A0092B-C50C-407E-A947-70E740481C1C}">
                          <a14:useLocalDpi xmlns:a14="http://schemas.microsoft.com/office/drawing/2010/main" val="0"/>
                        </a:ext>
                      </a:extLst>
                    </a:blip>
                    <a:stretch>
                      <a:fillRect/>
                    </a:stretch>
                  </pic:blipFill>
                  <pic:spPr>
                    <a:xfrm>
                      <a:off x="0" y="0"/>
                      <a:ext cx="5940425" cy="2985770"/>
                    </a:xfrm>
                    <a:prstGeom prst="rect">
                      <a:avLst/>
                    </a:prstGeom>
                  </pic:spPr>
                </pic:pic>
              </a:graphicData>
            </a:graphic>
          </wp:inline>
        </w:drawing>
      </w:r>
    </w:p>
    <w:p w:rsidR="006B2E16" w:rsidRDefault="006B2E16" w:rsidP="006B2E16">
      <w:pPr>
        <w:rPr>
          <w:lang w:val="en-US"/>
        </w:rPr>
      </w:pPr>
    </w:p>
    <w:p w:rsidR="006B2E16" w:rsidRDefault="006B2E16" w:rsidP="006B2E16">
      <w:pPr>
        <w:pStyle w:val="2"/>
        <w:shd w:val="clear" w:color="auto" w:fill="FFFFFF"/>
        <w:spacing w:before="75" w:beforeAutospacing="0" w:after="150" w:afterAutospacing="0" w:line="336" w:lineRule="atLeast"/>
        <w:jc w:val="both"/>
        <w:rPr>
          <w:rFonts w:ascii="Helvetica" w:hAnsi="Helvetica"/>
          <w:b w:val="0"/>
          <w:bCs w:val="0"/>
          <w:color w:val="333333"/>
          <w:sz w:val="24"/>
          <w:szCs w:val="24"/>
          <w:lang w:val="en-US"/>
        </w:rPr>
      </w:pPr>
      <w:r w:rsidRPr="006B2E16">
        <w:rPr>
          <w:rFonts w:ascii="Helvetica" w:hAnsi="Helvetica"/>
          <w:b w:val="0"/>
          <w:bCs w:val="0"/>
          <w:color w:val="333333"/>
          <w:sz w:val="24"/>
          <w:szCs w:val="24"/>
          <w:lang w:val="en-US"/>
        </w:rPr>
        <w:t>Consumer Price Index CPI in the United Arab Emirates increased to 106.29 points in the second quarter of 2022 from 102.77 points in the first quarter of 2022. </w:t>
      </w:r>
    </w:p>
    <w:p w:rsidR="006B2E16" w:rsidRDefault="006B2E16" w:rsidP="006B2E16">
      <w:pPr>
        <w:pStyle w:val="2"/>
        <w:shd w:val="clear" w:color="auto" w:fill="FFFFFF"/>
        <w:spacing w:before="75" w:beforeAutospacing="0" w:after="150" w:afterAutospacing="0" w:line="336" w:lineRule="atLeast"/>
        <w:jc w:val="both"/>
        <w:rPr>
          <w:rStyle w:val="source-description"/>
          <w:rFonts w:ascii="Helvetica" w:hAnsi="Helvetica"/>
          <w:b w:val="0"/>
          <w:bCs w:val="0"/>
          <w:color w:val="333333"/>
          <w:sz w:val="17"/>
          <w:szCs w:val="17"/>
          <w:lang w:val="en-US"/>
        </w:rPr>
      </w:pPr>
      <w:proofErr w:type="gramStart"/>
      <w:r w:rsidRPr="006B2E16">
        <w:rPr>
          <w:rStyle w:val="source-description"/>
          <w:rFonts w:ascii="Helvetica" w:hAnsi="Helvetica"/>
          <w:b w:val="0"/>
          <w:bCs w:val="0"/>
          <w:color w:val="333333"/>
          <w:sz w:val="17"/>
          <w:szCs w:val="17"/>
          <w:lang w:val="en-US"/>
        </w:rPr>
        <w:t>source</w:t>
      </w:r>
      <w:proofErr w:type="gramEnd"/>
      <w:r w:rsidRPr="006B2E16">
        <w:rPr>
          <w:rStyle w:val="source-description"/>
          <w:rFonts w:ascii="Helvetica" w:hAnsi="Helvetica"/>
          <w:b w:val="0"/>
          <w:bCs w:val="0"/>
          <w:color w:val="333333"/>
          <w:sz w:val="17"/>
          <w:szCs w:val="17"/>
          <w:lang w:val="en-US"/>
        </w:rPr>
        <w:t>: National Bureau of Statistics, UAE</w:t>
      </w:r>
    </w:p>
    <w:p w:rsidR="006B2E16" w:rsidRDefault="006B2E16" w:rsidP="006B2E16">
      <w:pPr>
        <w:pStyle w:val="2"/>
        <w:shd w:val="clear" w:color="auto" w:fill="FFFFFF"/>
        <w:spacing w:before="75" w:beforeAutospacing="0" w:after="150" w:afterAutospacing="0" w:line="336" w:lineRule="atLeast"/>
        <w:jc w:val="both"/>
        <w:rPr>
          <w:rStyle w:val="source-description"/>
          <w:rFonts w:ascii="Helvetica" w:hAnsi="Helvetica"/>
          <w:b w:val="0"/>
          <w:bCs w:val="0"/>
          <w:color w:val="333333"/>
          <w:sz w:val="17"/>
          <w:szCs w:val="17"/>
          <w:lang w:val="en-US"/>
        </w:rPr>
      </w:pPr>
      <w:r>
        <w:rPr>
          <w:rFonts w:ascii="Helvetica" w:hAnsi="Helvetica"/>
          <w:b w:val="0"/>
          <w:bCs w:val="0"/>
          <w:noProof/>
          <w:color w:val="333333"/>
          <w:sz w:val="17"/>
          <w:szCs w:val="17"/>
        </w:rPr>
        <w:drawing>
          <wp:inline distT="0" distB="0" distL="0" distR="0">
            <wp:extent cx="5940425" cy="305244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3.PNG"/>
                    <pic:cNvPicPr/>
                  </pic:nvPicPr>
                  <pic:blipFill>
                    <a:blip r:embed="rId19">
                      <a:extLst>
                        <a:ext uri="{28A0092B-C50C-407E-A947-70E740481C1C}">
                          <a14:useLocalDpi xmlns:a14="http://schemas.microsoft.com/office/drawing/2010/main" val="0"/>
                        </a:ext>
                      </a:extLst>
                    </a:blip>
                    <a:stretch>
                      <a:fillRect/>
                    </a:stretch>
                  </pic:blipFill>
                  <pic:spPr>
                    <a:xfrm>
                      <a:off x="0" y="0"/>
                      <a:ext cx="5940425" cy="3052445"/>
                    </a:xfrm>
                    <a:prstGeom prst="rect">
                      <a:avLst/>
                    </a:prstGeom>
                  </pic:spPr>
                </pic:pic>
              </a:graphicData>
            </a:graphic>
          </wp:inline>
        </w:drawing>
      </w:r>
    </w:p>
    <w:p w:rsidR="006B2E16" w:rsidRPr="006B2E16" w:rsidRDefault="006B2E16" w:rsidP="006B2E16">
      <w:pPr>
        <w:pStyle w:val="3"/>
        <w:shd w:val="clear" w:color="auto" w:fill="FFFFFF"/>
        <w:spacing w:before="75" w:after="150" w:line="336" w:lineRule="atLeast"/>
        <w:jc w:val="both"/>
        <w:rPr>
          <w:rFonts w:ascii="Helvetica" w:hAnsi="Helvetica"/>
          <w:b w:val="0"/>
          <w:bCs w:val="0"/>
          <w:color w:val="333333"/>
          <w:sz w:val="24"/>
          <w:szCs w:val="24"/>
          <w:lang w:val="en-US"/>
        </w:rPr>
      </w:pPr>
      <w:r w:rsidRPr="006B2E16">
        <w:rPr>
          <w:rFonts w:ascii="Helvetica" w:hAnsi="Helvetica"/>
          <w:b w:val="0"/>
          <w:bCs w:val="0"/>
          <w:color w:val="333333"/>
          <w:sz w:val="24"/>
          <w:szCs w:val="24"/>
          <w:lang w:val="en-US"/>
        </w:rPr>
        <w:lastRenderedPageBreak/>
        <w:t xml:space="preserve">Consumer Price Index CPI in the United Arab Emirates is expected to be 107.91 points by the end of this quarter, according to Trading Economics global macro models and </w:t>
      </w:r>
      <w:proofErr w:type="spellStart"/>
      <w:r w:rsidRPr="006B2E16">
        <w:rPr>
          <w:rFonts w:ascii="Helvetica" w:hAnsi="Helvetica"/>
          <w:b w:val="0"/>
          <w:bCs w:val="0"/>
          <w:color w:val="333333"/>
          <w:sz w:val="24"/>
          <w:szCs w:val="24"/>
          <w:lang w:val="en-US"/>
        </w:rPr>
        <w:t>analysts</w:t>
      </w:r>
      <w:proofErr w:type="spellEnd"/>
      <w:r w:rsidRPr="006B2E16">
        <w:rPr>
          <w:rFonts w:ascii="Helvetica" w:hAnsi="Helvetica"/>
          <w:b w:val="0"/>
          <w:bCs w:val="0"/>
          <w:color w:val="333333"/>
          <w:sz w:val="24"/>
          <w:szCs w:val="24"/>
          <w:lang w:val="en-US"/>
        </w:rPr>
        <w:t xml:space="preserve"> expectations.</w:t>
      </w:r>
    </w:p>
    <w:p w:rsidR="006B2E16" w:rsidRDefault="006B2E16" w:rsidP="006B2E16">
      <w:pPr>
        <w:pStyle w:val="2"/>
        <w:shd w:val="clear" w:color="auto" w:fill="FFFFFF"/>
        <w:spacing w:before="75" w:beforeAutospacing="0" w:after="150" w:afterAutospacing="0" w:line="336" w:lineRule="atLeast"/>
        <w:jc w:val="both"/>
        <w:rPr>
          <w:rStyle w:val="source-description"/>
          <w:rFonts w:ascii="Helvetica" w:hAnsi="Helvetica"/>
          <w:b w:val="0"/>
          <w:bCs w:val="0"/>
          <w:color w:val="333333"/>
          <w:sz w:val="17"/>
          <w:szCs w:val="17"/>
          <w:lang w:val="en-US"/>
        </w:rPr>
      </w:pPr>
      <w:r>
        <w:rPr>
          <w:rFonts w:ascii="Helvetica" w:hAnsi="Helvetica"/>
          <w:b w:val="0"/>
          <w:bCs w:val="0"/>
          <w:noProof/>
          <w:color w:val="333333"/>
          <w:sz w:val="17"/>
          <w:szCs w:val="17"/>
        </w:rPr>
        <w:drawing>
          <wp:inline distT="0" distB="0" distL="0" distR="0">
            <wp:extent cx="5940425" cy="3142615"/>
            <wp:effectExtent l="0" t="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4.PNG"/>
                    <pic:cNvPicPr/>
                  </pic:nvPicPr>
                  <pic:blipFill>
                    <a:blip r:embed="rId20">
                      <a:extLst>
                        <a:ext uri="{28A0092B-C50C-407E-A947-70E740481C1C}">
                          <a14:useLocalDpi xmlns:a14="http://schemas.microsoft.com/office/drawing/2010/main" val="0"/>
                        </a:ext>
                      </a:extLst>
                    </a:blip>
                    <a:stretch>
                      <a:fillRect/>
                    </a:stretch>
                  </pic:blipFill>
                  <pic:spPr>
                    <a:xfrm>
                      <a:off x="0" y="0"/>
                      <a:ext cx="5940425" cy="3142615"/>
                    </a:xfrm>
                    <a:prstGeom prst="rect">
                      <a:avLst/>
                    </a:prstGeom>
                  </pic:spPr>
                </pic:pic>
              </a:graphicData>
            </a:graphic>
          </wp:inline>
        </w:drawing>
      </w:r>
    </w:p>
    <w:p w:rsidR="006B2E16" w:rsidRDefault="006B2E16" w:rsidP="006B2E16">
      <w:pPr>
        <w:pStyle w:val="2"/>
        <w:shd w:val="clear" w:color="auto" w:fill="FFFFFF"/>
        <w:spacing w:before="75" w:beforeAutospacing="0" w:after="150" w:afterAutospacing="0" w:line="336" w:lineRule="atLeast"/>
        <w:jc w:val="both"/>
        <w:rPr>
          <w:rStyle w:val="source-description"/>
          <w:rFonts w:ascii="Helvetica" w:hAnsi="Helvetica"/>
          <w:b w:val="0"/>
          <w:bCs w:val="0"/>
          <w:color w:val="333333"/>
          <w:sz w:val="17"/>
          <w:szCs w:val="17"/>
          <w:lang w:val="en-US"/>
        </w:rPr>
      </w:pPr>
      <w:r>
        <w:rPr>
          <w:rFonts w:ascii="Helvetica" w:hAnsi="Helvetica"/>
          <w:b w:val="0"/>
          <w:bCs w:val="0"/>
          <w:noProof/>
          <w:color w:val="333333"/>
          <w:sz w:val="17"/>
          <w:szCs w:val="17"/>
        </w:rPr>
        <w:drawing>
          <wp:inline distT="0" distB="0" distL="0" distR="0">
            <wp:extent cx="5940425" cy="1707515"/>
            <wp:effectExtent l="0" t="0" r="317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E.5.PNG"/>
                    <pic:cNvPicPr/>
                  </pic:nvPicPr>
                  <pic:blipFill>
                    <a:blip r:embed="rId21">
                      <a:extLst>
                        <a:ext uri="{28A0092B-C50C-407E-A947-70E740481C1C}">
                          <a14:useLocalDpi xmlns:a14="http://schemas.microsoft.com/office/drawing/2010/main" val="0"/>
                        </a:ext>
                      </a:extLst>
                    </a:blip>
                    <a:stretch>
                      <a:fillRect/>
                    </a:stretch>
                  </pic:blipFill>
                  <pic:spPr>
                    <a:xfrm>
                      <a:off x="0" y="0"/>
                      <a:ext cx="5940425" cy="1707515"/>
                    </a:xfrm>
                    <a:prstGeom prst="rect">
                      <a:avLst/>
                    </a:prstGeom>
                  </pic:spPr>
                </pic:pic>
              </a:graphicData>
            </a:graphic>
          </wp:inline>
        </w:drawing>
      </w:r>
    </w:p>
    <w:p w:rsidR="006B2E16" w:rsidRDefault="006B2E16" w:rsidP="00C47AE5">
      <w:pPr>
        <w:rPr>
          <w:rFonts w:ascii="Helvetica" w:eastAsia="Times New Roman" w:hAnsi="Helvetica" w:cs="Times New Roman"/>
          <w:color w:val="333333"/>
          <w:sz w:val="24"/>
          <w:szCs w:val="24"/>
          <w:lang w:val="en-US" w:eastAsia="ru-RU"/>
        </w:rPr>
      </w:pPr>
    </w:p>
    <w:p w:rsidR="007A1171" w:rsidRDefault="007A1171" w:rsidP="00C47AE5">
      <w:pPr>
        <w:rPr>
          <w:rFonts w:ascii="Helvetica" w:eastAsia="Times New Roman" w:hAnsi="Helvetica" w:cs="Times New Roman"/>
          <w:color w:val="333333"/>
          <w:sz w:val="24"/>
          <w:szCs w:val="24"/>
          <w:lang w:val="en-US" w:eastAsia="ru-RU"/>
        </w:rPr>
      </w:pPr>
      <w:r>
        <w:rPr>
          <w:rFonts w:ascii="Helvetica" w:eastAsia="Times New Roman" w:hAnsi="Helvetica" w:cs="Times New Roman"/>
          <w:color w:val="333333"/>
          <w:sz w:val="24"/>
          <w:szCs w:val="24"/>
          <w:lang w:val="en-US" w:eastAsia="ru-RU"/>
        </w:rPr>
        <w:t>Resources:</w:t>
      </w:r>
    </w:p>
    <w:p w:rsidR="007A1171" w:rsidRPr="00A00822" w:rsidRDefault="007A1171" w:rsidP="007A1171">
      <w:pPr>
        <w:pStyle w:val="aa"/>
        <w:numPr>
          <w:ilvl w:val="0"/>
          <w:numId w:val="1"/>
        </w:numPr>
        <w:rPr>
          <w:rFonts w:ascii="Arial Narrow" w:hAnsi="Arial Narrow"/>
          <w:sz w:val="24"/>
          <w:szCs w:val="24"/>
          <w:lang w:val="en-US"/>
        </w:rPr>
      </w:pPr>
      <w:hyperlink r:id="rId22" w:history="1">
        <w:r w:rsidRPr="00A00822">
          <w:rPr>
            <w:rStyle w:val="a9"/>
            <w:rFonts w:ascii="Arial Narrow" w:hAnsi="Arial Narrow"/>
            <w:sz w:val="24"/>
            <w:szCs w:val="24"/>
            <w:lang w:val="en-US"/>
          </w:rPr>
          <w:t>https://tradingeconomics.com/united-arab-emirates/consumer-spending</w:t>
        </w:r>
      </w:hyperlink>
    </w:p>
    <w:p w:rsidR="007A1171" w:rsidRPr="00A00822" w:rsidRDefault="007A1171" w:rsidP="007A1171">
      <w:pPr>
        <w:pStyle w:val="aa"/>
        <w:numPr>
          <w:ilvl w:val="0"/>
          <w:numId w:val="1"/>
        </w:numPr>
        <w:rPr>
          <w:rFonts w:ascii="Arial Narrow" w:hAnsi="Arial Narrow"/>
          <w:sz w:val="24"/>
          <w:szCs w:val="24"/>
          <w:lang w:val="en-US"/>
        </w:rPr>
      </w:pPr>
      <w:hyperlink r:id="rId23" w:history="1">
        <w:r w:rsidRPr="00A00822">
          <w:rPr>
            <w:rStyle w:val="a9"/>
            <w:rFonts w:ascii="Arial Narrow" w:hAnsi="Arial Narrow"/>
            <w:sz w:val="24"/>
            <w:szCs w:val="24"/>
            <w:lang w:val="en-US"/>
          </w:rPr>
          <w:t>https://tradingeconomics.com/united-arab-emirates/consumer-price-index-cpi</w:t>
        </w:r>
      </w:hyperlink>
    </w:p>
    <w:p w:rsidR="00DD0C69" w:rsidRPr="00A00822" w:rsidRDefault="00DD0C69" w:rsidP="00DD0C69">
      <w:pPr>
        <w:pStyle w:val="aa"/>
        <w:numPr>
          <w:ilvl w:val="0"/>
          <w:numId w:val="1"/>
        </w:numPr>
        <w:rPr>
          <w:rFonts w:ascii="Arial Narrow" w:hAnsi="Arial Narrow"/>
          <w:sz w:val="24"/>
          <w:szCs w:val="24"/>
          <w:lang w:val="en-US"/>
        </w:rPr>
      </w:pPr>
      <w:r w:rsidRPr="00A00822">
        <w:rPr>
          <w:rFonts w:ascii="Arial Narrow" w:hAnsi="Arial Narrow"/>
          <w:sz w:val="24"/>
          <w:szCs w:val="24"/>
          <w:lang w:val="en-US"/>
        </w:rPr>
        <w:t xml:space="preserve">UAE Economic Report: </w:t>
      </w:r>
      <w:hyperlink r:id="rId24" w:history="1">
        <w:r w:rsidRPr="00A00822">
          <w:rPr>
            <w:rStyle w:val="a9"/>
            <w:rFonts w:ascii="Arial Narrow" w:hAnsi="Arial Narrow"/>
            <w:sz w:val="24"/>
            <w:szCs w:val="24"/>
            <w:lang w:val="en-US"/>
          </w:rPr>
          <w:t>https://pwstg02.blob.core.windows.net/pwfiles/ContentFiles/10868PublicationFile.pdf</w:t>
        </w:r>
      </w:hyperlink>
    </w:p>
    <w:p w:rsidR="00DD0C69" w:rsidRPr="00A00822" w:rsidRDefault="00CD43F3" w:rsidP="00CD43F3">
      <w:pPr>
        <w:pStyle w:val="aa"/>
        <w:numPr>
          <w:ilvl w:val="0"/>
          <w:numId w:val="1"/>
        </w:numPr>
        <w:rPr>
          <w:rFonts w:ascii="Arial Narrow" w:hAnsi="Arial Narrow"/>
          <w:sz w:val="24"/>
          <w:szCs w:val="24"/>
          <w:lang w:val="en-US"/>
        </w:rPr>
      </w:pPr>
      <w:r w:rsidRPr="00A00822">
        <w:rPr>
          <w:rFonts w:ascii="Arial Narrow" w:hAnsi="Arial Narrow"/>
          <w:sz w:val="24"/>
          <w:szCs w:val="24"/>
          <w:lang w:val="en-US"/>
        </w:rPr>
        <w:t xml:space="preserve">United Arab Emirates: </w:t>
      </w:r>
      <w:hyperlink r:id="rId25" w:history="1">
        <w:r w:rsidRPr="00A00822">
          <w:rPr>
            <w:rStyle w:val="a9"/>
            <w:rFonts w:ascii="Arial Narrow" w:hAnsi="Arial Narrow"/>
            <w:sz w:val="24"/>
            <w:szCs w:val="24"/>
            <w:lang w:val="en-US"/>
          </w:rPr>
          <w:t>file:///C:/Users/Admin/Downloads/1UAEEA2022002.pdf</w:t>
        </w:r>
      </w:hyperlink>
    </w:p>
    <w:p w:rsidR="00CD43F3" w:rsidRPr="007A1171" w:rsidRDefault="00CD43F3" w:rsidP="00CD43F3">
      <w:pPr>
        <w:pStyle w:val="aa"/>
        <w:rPr>
          <w:lang w:val="en-US"/>
        </w:rPr>
      </w:pPr>
    </w:p>
    <w:p w:rsidR="007A1171" w:rsidRPr="00C47AE5" w:rsidRDefault="007A1171" w:rsidP="00C47AE5">
      <w:pPr>
        <w:rPr>
          <w:lang w:val="en-US"/>
        </w:rPr>
      </w:pPr>
    </w:p>
    <w:sectPr w:rsidR="007A1171" w:rsidRPr="00C47A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4CC" w:rsidRDefault="002754CC" w:rsidP="00C47AE5">
      <w:pPr>
        <w:spacing w:after="0" w:line="240" w:lineRule="auto"/>
      </w:pPr>
      <w:r>
        <w:separator/>
      </w:r>
    </w:p>
  </w:endnote>
  <w:endnote w:type="continuationSeparator" w:id="0">
    <w:p w:rsidR="002754CC" w:rsidRDefault="002754CC" w:rsidP="00C47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4CC" w:rsidRDefault="002754CC" w:rsidP="00C47AE5">
      <w:pPr>
        <w:spacing w:after="0" w:line="240" w:lineRule="auto"/>
      </w:pPr>
      <w:r>
        <w:separator/>
      </w:r>
    </w:p>
  </w:footnote>
  <w:footnote w:type="continuationSeparator" w:id="0">
    <w:p w:rsidR="002754CC" w:rsidRDefault="002754CC" w:rsidP="00C47A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173BA"/>
    <w:multiLevelType w:val="hybridMultilevel"/>
    <w:tmpl w:val="7C2C3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005014"/>
    <w:multiLevelType w:val="hybridMultilevel"/>
    <w:tmpl w:val="F28EB3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CF2671"/>
    <w:multiLevelType w:val="hybridMultilevel"/>
    <w:tmpl w:val="E112F4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3E77A9"/>
    <w:multiLevelType w:val="multilevel"/>
    <w:tmpl w:val="4BBCEAFE"/>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AE5"/>
    <w:rsid w:val="0009578A"/>
    <w:rsid w:val="001B085B"/>
    <w:rsid w:val="0022590F"/>
    <w:rsid w:val="002754CC"/>
    <w:rsid w:val="004B021F"/>
    <w:rsid w:val="00642DCD"/>
    <w:rsid w:val="006B2E16"/>
    <w:rsid w:val="00703F72"/>
    <w:rsid w:val="007A1171"/>
    <w:rsid w:val="008E0F30"/>
    <w:rsid w:val="00953E33"/>
    <w:rsid w:val="009B53AC"/>
    <w:rsid w:val="00A00822"/>
    <w:rsid w:val="00C47AE5"/>
    <w:rsid w:val="00CD2102"/>
    <w:rsid w:val="00CD43F3"/>
    <w:rsid w:val="00DD0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2E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B2E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A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7AE5"/>
  </w:style>
  <w:style w:type="paragraph" w:styleId="a5">
    <w:name w:val="footer"/>
    <w:basedOn w:val="a"/>
    <w:link w:val="a6"/>
    <w:uiPriority w:val="99"/>
    <w:unhideWhenUsed/>
    <w:rsid w:val="00C47A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7AE5"/>
  </w:style>
  <w:style w:type="character" w:customStyle="1" w:styleId="20">
    <w:name w:val="Заголовок 2 Знак"/>
    <w:basedOn w:val="a0"/>
    <w:link w:val="2"/>
    <w:uiPriority w:val="9"/>
    <w:rsid w:val="006B2E16"/>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6B2E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2E16"/>
    <w:rPr>
      <w:rFonts w:ascii="Tahoma" w:hAnsi="Tahoma" w:cs="Tahoma"/>
      <w:sz w:val="16"/>
      <w:szCs w:val="16"/>
    </w:rPr>
  </w:style>
  <w:style w:type="character" w:customStyle="1" w:styleId="30">
    <w:name w:val="Заголовок 3 Знак"/>
    <w:basedOn w:val="a0"/>
    <w:link w:val="3"/>
    <w:uiPriority w:val="9"/>
    <w:semiHidden/>
    <w:rsid w:val="006B2E16"/>
    <w:rPr>
      <w:rFonts w:asciiTheme="majorHAnsi" w:eastAsiaTheme="majorEastAsia" w:hAnsiTheme="majorHAnsi" w:cstheme="majorBidi"/>
      <w:b/>
      <w:bCs/>
      <w:color w:val="4F81BD" w:themeColor="accent1"/>
    </w:rPr>
  </w:style>
  <w:style w:type="character" w:customStyle="1" w:styleId="source-description">
    <w:name w:val="source-description"/>
    <w:basedOn w:val="a0"/>
    <w:rsid w:val="006B2E16"/>
  </w:style>
  <w:style w:type="character" w:styleId="a9">
    <w:name w:val="Hyperlink"/>
    <w:basedOn w:val="a0"/>
    <w:uiPriority w:val="99"/>
    <w:unhideWhenUsed/>
    <w:rsid w:val="007A1171"/>
    <w:rPr>
      <w:color w:val="0000FF" w:themeColor="hyperlink"/>
      <w:u w:val="single"/>
    </w:rPr>
  </w:style>
  <w:style w:type="paragraph" w:styleId="aa">
    <w:name w:val="List Paragraph"/>
    <w:basedOn w:val="a"/>
    <w:uiPriority w:val="34"/>
    <w:qFormat/>
    <w:rsid w:val="007A11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B2E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B2E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A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7AE5"/>
  </w:style>
  <w:style w:type="paragraph" w:styleId="a5">
    <w:name w:val="footer"/>
    <w:basedOn w:val="a"/>
    <w:link w:val="a6"/>
    <w:uiPriority w:val="99"/>
    <w:unhideWhenUsed/>
    <w:rsid w:val="00C47A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7AE5"/>
  </w:style>
  <w:style w:type="character" w:customStyle="1" w:styleId="20">
    <w:name w:val="Заголовок 2 Знак"/>
    <w:basedOn w:val="a0"/>
    <w:link w:val="2"/>
    <w:uiPriority w:val="9"/>
    <w:rsid w:val="006B2E16"/>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6B2E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2E16"/>
    <w:rPr>
      <w:rFonts w:ascii="Tahoma" w:hAnsi="Tahoma" w:cs="Tahoma"/>
      <w:sz w:val="16"/>
      <w:szCs w:val="16"/>
    </w:rPr>
  </w:style>
  <w:style w:type="character" w:customStyle="1" w:styleId="30">
    <w:name w:val="Заголовок 3 Знак"/>
    <w:basedOn w:val="a0"/>
    <w:link w:val="3"/>
    <w:uiPriority w:val="9"/>
    <w:semiHidden/>
    <w:rsid w:val="006B2E16"/>
    <w:rPr>
      <w:rFonts w:asciiTheme="majorHAnsi" w:eastAsiaTheme="majorEastAsia" w:hAnsiTheme="majorHAnsi" w:cstheme="majorBidi"/>
      <w:b/>
      <w:bCs/>
      <w:color w:val="4F81BD" w:themeColor="accent1"/>
    </w:rPr>
  </w:style>
  <w:style w:type="character" w:customStyle="1" w:styleId="source-description">
    <w:name w:val="source-description"/>
    <w:basedOn w:val="a0"/>
    <w:rsid w:val="006B2E16"/>
  </w:style>
  <w:style w:type="character" w:styleId="a9">
    <w:name w:val="Hyperlink"/>
    <w:basedOn w:val="a0"/>
    <w:uiPriority w:val="99"/>
    <w:unhideWhenUsed/>
    <w:rsid w:val="007A1171"/>
    <w:rPr>
      <w:color w:val="0000FF" w:themeColor="hyperlink"/>
      <w:u w:val="single"/>
    </w:rPr>
  </w:style>
  <w:style w:type="paragraph" w:styleId="aa">
    <w:name w:val="List Paragraph"/>
    <w:basedOn w:val="a"/>
    <w:uiPriority w:val="34"/>
    <w:qFormat/>
    <w:rsid w:val="007A1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056457">
      <w:bodyDiv w:val="1"/>
      <w:marLeft w:val="0"/>
      <w:marRight w:val="0"/>
      <w:marTop w:val="0"/>
      <w:marBottom w:val="0"/>
      <w:divBdr>
        <w:top w:val="none" w:sz="0" w:space="0" w:color="auto"/>
        <w:left w:val="none" w:sz="0" w:space="0" w:color="auto"/>
        <w:bottom w:val="none" w:sz="0" w:space="0" w:color="auto"/>
        <w:right w:val="none" w:sz="0" w:space="0" w:color="auto"/>
      </w:divBdr>
    </w:div>
    <w:div w:id="502596804">
      <w:bodyDiv w:val="1"/>
      <w:marLeft w:val="0"/>
      <w:marRight w:val="0"/>
      <w:marTop w:val="0"/>
      <w:marBottom w:val="0"/>
      <w:divBdr>
        <w:top w:val="none" w:sz="0" w:space="0" w:color="auto"/>
        <w:left w:val="none" w:sz="0" w:space="0" w:color="auto"/>
        <w:bottom w:val="none" w:sz="0" w:space="0" w:color="auto"/>
        <w:right w:val="none" w:sz="0" w:space="0" w:color="auto"/>
      </w:divBdr>
    </w:div>
    <w:div w:id="889655676">
      <w:bodyDiv w:val="1"/>
      <w:marLeft w:val="0"/>
      <w:marRight w:val="0"/>
      <w:marTop w:val="0"/>
      <w:marBottom w:val="0"/>
      <w:divBdr>
        <w:top w:val="none" w:sz="0" w:space="0" w:color="auto"/>
        <w:left w:val="none" w:sz="0" w:space="0" w:color="auto"/>
        <w:bottom w:val="none" w:sz="0" w:space="0" w:color="auto"/>
        <w:right w:val="none" w:sz="0" w:space="0" w:color="auto"/>
      </w:divBdr>
    </w:div>
    <w:div w:id="1804154308">
      <w:bodyDiv w:val="1"/>
      <w:marLeft w:val="0"/>
      <w:marRight w:val="0"/>
      <w:marTop w:val="0"/>
      <w:marBottom w:val="0"/>
      <w:divBdr>
        <w:top w:val="none" w:sz="0" w:space="0" w:color="auto"/>
        <w:left w:val="none" w:sz="0" w:space="0" w:color="auto"/>
        <w:bottom w:val="none" w:sz="0" w:space="0" w:color="auto"/>
        <w:right w:val="none" w:sz="0" w:space="0" w:color="auto"/>
      </w:divBdr>
    </w:div>
    <w:div w:id="1816802401">
      <w:bodyDiv w:val="1"/>
      <w:marLeft w:val="0"/>
      <w:marRight w:val="0"/>
      <w:marTop w:val="0"/>
      <w:marBottom w:val="0"/>
      <w:divBdr>
        <w:top w:val="none" w:sz="0" w:space="0" w:color="auto"/>
        <w:left w:val="none" w:sz="0" w:space="0" w:color="auto"/>
        <w:bottom w:val="none" w:sz="0" w:space="0" w:color="auto"/>
        <w:right w:val="none" w:sz="0" w:space="0" w:color="auto"/>
      </w:divBdr>
    </w:div>
    <w:div w:id="1886719722">
      <w:bodyDiv w:val="1"/>
      <w:marLeft w:val="0"/>
      <w:marRight w:val="0"/>
      <w:marTop w:val="0"/>
      <w:marBottom w:val="0"/>
      <w:divBdr>
        <w:top w:val="none" w:sz="0" w:space="0" w:color="auto"/>
        <w:left w:val="none" w:sz="0" w:space="0" w:color="auto"/>
        <w:bottom w:val="none" w:sz="0" w:space="0" w:color="auto"/>
        <w:right w:val="none" w:sz="0" w:space="0" w:color="auto"/>
      </w:divBdr>
    </w:div>
    <w:div w:id="20135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file:///C:/Users/Admin/Downloads/1UAEEA2022002.pdf"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wstg02.blob.core.windows.net/pwfiles/ContentFiles/10868PublicationFile.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tradingeconomics.com/united-arab-emirates/consumer-price-index-cpi"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tradingeconomics.com/united-arab-emirates/consumer-spendin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10</Pages>
  <Words>1439</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2023-02-27T11:30:00Z</dcterms:created>
  <dcterms:modified xsi:type="dcterms:W3CDTF">2023-02-28T14:30:00Z</dcterms:modified>
</cp:coreProperties>
</file>