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4820" w:rsidRPr="000B3B64" w:rsidTr="006D4820">
        <w:tc>
          <w:tcPr>
            <w:tcW w:w="4672" w:type="dxa"/>
          </w:tcPr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WÄRTSILÄ SHORE POWER CONTAINER SYSTEM</w:t>
            </w: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Tightening environmental regulations are ramping up the pressure on ship operators and port authorities to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minimise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impact of air pollution and noise emissions. The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Wärtsilä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Shore Power Container (SPC) system is a modular,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containerised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shore connection system that provides a vessel with a secure supply of electrical power from the local grid while the engines </w:t>
            </w: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turned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off, completely eliminating exhaust emissions and noise pollution.</w:t>
            </w: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SPC is a simple and cost-effective modular system that complies with ICE/ICO/IEEE 80005-1 requirements. The key components in a typical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confi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guration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include a cable reel, a high-voltage switchboard and a control and monitoring device with an interface between ship and shore. The system </w:t>
            </w: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be delivered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 a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containerised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solution or installed onboard a vessel as a single-component solution.</w:t>
            </w: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containerised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solution includes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the necessary components inside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40’ high-cube container and can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installed in any suitable location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board. The solution is available for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both new-build or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retrofi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installations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 be tailored for your needs. For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example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 step-down transformer can be installed for low voltage applications.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For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retrofi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applications we perform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complete onboard installation with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connection to the existing control</w:t>
            </w:r>
          </w:p>
          <w:p w:rsidR="006D4820" w:rsidRPr="000B3B64" w:rsidRDefault="006D4820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panels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systems.</w:t>
            </w: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5ECD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Customisable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solutions to suit any application </w:t>
            </w:r>
          </w:p>
          <w:p w:rsid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Wärtsilä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also offers a solution for projects that require a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customised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approach, with additional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exibility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terms of the installation locations for the main SPC components. For example, the shore cable reel </w:t>
            </w: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be installed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 20’ container on deck while the monitoring and control cabinet and high-voltage switchboard can be installed below deck or in a second 20’ container.</w:t>
            </w:r>
          </w:p>
          <w:p w:rsid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6D4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BENEFITS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Reduce your environmental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footprint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Comply with port emission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Install without disrupting vessel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Can be installed onboard or</w:t>
            </w: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Containerized</w:t>
            </w: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 list:</w:t>
            </w:r>
          </w:p>
          <w:p w:rsidR="000B3B64" w:rsidRDefault="00DE552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B3B64"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onnection point to ship</w:t>
            </w:r>
          </w:p>
          <w:p w:rsidR="00DE5524" w:rsidRDefault="00DE552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55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Solution for low </w:t>
            </w:r>
            <w:proofErr w:type="spellStart"/>
            <w:r w:rsidRPr="00DE55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voitage</w:t>
            </w:r>
            <w:proofErr w:type="spellEnd"/>
            <w:r w:rsidRPr="00DE55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vessels with step down transformer</w:t>
            </w:r>
          </w:p>
          <w:p w:rsidR="00AB5ECD" w:rsidRPr="000B3B64" w:rsidRDefault="00AB5ECD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SPC features: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Design according to IEC 80005-1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Standard 40’ high-cube container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including classification and CSC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Max. 7.5 MVA transferable power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6600 V, 60 Hz and 30 °C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Usable on both port and starboard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side of vessel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Safe operation area and locked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high-voltage area when operational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Human-Machine Interface including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operator guidance and alarm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Integrated fire alarm system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Electric cable reel drive including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tension control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Insulated container with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dehumidifier and heating to avoid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moisture damage</w:t>
            </w: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Maintenance-friendly technology</w:t>
            </w: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Scope of supply: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Feasibility analysis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Onboard inspection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Engineering work and conversion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planning, including: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− Switchboard modification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without affecting class approval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− Short circuit level check and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coordination study plus any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required adjustments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− Integration of power and control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circuits into existing switchboard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− Clarification of the interface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automation and power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 systems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− Installation planning and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coordination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Conversion cost budgeting</w:t>
            </w: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Installation services</w:t>
            </w: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Why choose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Wärtsilä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Wärtsilä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has carried out more than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 installations of the SPC solution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major global players in the shipping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industry, with the majority of them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being</w:t>
            </w:r>
            <w:proofErr w:type="gramEnd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full EPC deliveries. Continuous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 and development, as well as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professional support from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Wärtsilä’s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 network, ensure that you always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 the latest applicable technologies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guaranteed reliability</w:t>
            </w:r>
          </w:p>
        </w:tc>
        <w:tc>
          <w:tcPr>
            <w:tcW w:w="4673" w:type="dxa"/>
          </w:tcPr>
          <w:p w:rsidR="006D4820" w:rsidRPr="00AB5ECD" w:rsidRDefault="006D48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r w:rsidRPr="000B3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lastRenderedPageBreak/>
              <w:t>КОНТЕЙНЕРНА</w:t>
            </w:r>
            <w:r w:rsidRPr="00AB5E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СИСТЕМА</w:t>
            </w:r>
            <w:r w:rsidRPr="00AB5E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БЕРЕГОВОГО</w:t>
            </w:r>
            <w:r w:rsidRPr="00AB5E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ЖИВЛЕННЯ</w:t>
            </w:r>
            <w:r w:rsidRPr="00AB5E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WÄRTSILÄ</w:t>
            </w:r>
          </w:p>
          <w:p w:rsidR="006D4820" w:rsidRPr="00AB5ECD" w:rsidRDefault="006D4820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Посилення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екологічних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норм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посилює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тиск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операторів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суден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портову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владу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щоб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мінімізувати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вплив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забруднення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повітря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шумових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викидів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.</w:t>
            </w:r>
            <w:r w:rsidRPr="00AB5E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Система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Wärtsilä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Shore Power Container (SPC)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це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модульна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контейнерна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система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берегового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підключення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яка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забезпечує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судно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надійним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електропостачанням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електричної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енергії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від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місцевої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мережі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при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вимкнених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двигунах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повністю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виключаючи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вихлопні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гази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шумове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забруднення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.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вихлопних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газів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шумового</w:t>
            </w:r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забруднення</w:t>
            </w:r>
            <w:proofErr w:type="spellEnd"/>
            <w:r w:rsidRP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.</w:t>
            </w:r>
          </w:p>
          <w:p w:rsidR="006D4820" w:rsidRPr="00AB5ECD" w:rsidRDefault="006D4820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</w:pPr>
          </w:p>
          <w:p w:rsidR="006D4820" w:rsidRPr="000B3B64" w:rsidRDefault="006D4820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SPC -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це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проста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економічно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ефективна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модульна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система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що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відповідає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вимог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ICE/ICO/IEEE 80005-1.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Основні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компоненти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типової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конфігурації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включають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кабельний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барабан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високовольтний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розподільний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щит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систему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керування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.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високовольтний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розподіль</w:t>
            </w:r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ний</w:t>
            </w:r>
            <w:proofErr w:type="spellEnd"/>
            <w:r w:rsidR="00AB5ECD"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щит</w:t>
            </w:r>
            <w:r w:rsidR="00AB5ECD"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="00AB5ECD"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пристрій</w:t>
            </w:r>
            <w:proofErr w:type="spellEnd"/>
            <w:r w:rsidR="00AB5ECD"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керування</w:t>
            </w:r>
            <w:proofErr w:type="spellEnd"/>
            <w:r w:rsidR="00AB5ECD"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,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пристрій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моніторингу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інтерфейсом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між</w:t>
            </w:r>
            <w:proofErr w:type="spellEnd"/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судном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берегом</w:t>
            </w:r>
            <w:r w:rsidRPr="00C33B4F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.</w:t>
            </w:r>
            <w:r w:rsidRPr="00C33B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Система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може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бути поставлена у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вигляді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контейнера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або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встановлюватися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на борту судна як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однокомпонентне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рішення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.</w:t>
            </w:r>
          </w:p>
          <w:p w:rsidR="006D4820" w:rsidRPr="000B3B64" w:rsidRDefault="006D4820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Наше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контейнерне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</w:t>
            </w:r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необхідні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компоненти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всередині</w:t>
            </w:r>
            <w:proofErr w:type="spellEnd"/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40-футовий контейнер з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високими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кубами і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встановлений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в будь-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відповідному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місці</w:t>
            </w:r>
            <w:proofErr w:type="spellEnd"/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борту.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доступне</w:t>
            </w:r>
            <w:proofErr w:type="spellEnd"/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як для нового, так і для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модернізованого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адаптований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любих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потреб.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низьковольтних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встановлений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понижувальний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трансформатор.</w:t>
            </w:r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виконується</w:t>
            </w:r>
            <w:proofErr w:type="spellEnd"/>
          </w:p>
          <w:p w:rsidR="00AB5ECD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на борту з</w:t>
            </w:r>
          </w:p>
          <w:p w:rsidR="006D4820" w:rsidRP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підключенням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існуючих</w:t>
            </w:r>
            <w:proofErr w:type="spellEnd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 xml:space="preserve"> панелей </w:t>
            </w:r>
            <w:proofErr w:type="spellStart"/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B5ECD">
              <w:rPr>
                <w:rFonts w:ascii="Times New Roman" w:hAnsi="Times New Roman" w:cs="Times New Roman"/>
                <w:sz w:val="28"/>
                <w:szCs w:val="28"/>
              </w:rPr>
              <w:t>панелями та системами.</w:t>
            </w:r>
          </w:p>
          <w:p w:rsid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CD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CD" w:rsidRPr="000B3B64" w:rsidRDefault="00AB5ECD" w:rsidP="00AB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CD" w:rsidRDefault="000B3B6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Настроювані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рішення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які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підходять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для будь-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якого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застосування</w:t>
            </w:r>
            <w:proofErr w:type="spellEnd"/>
          </w:p>
          <w:p w:rsidR="000B3B64" w:rsidRDefault="000B3B6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Wärtsilä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також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пропонує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рішення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для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проектів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що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вимагають</w:t>
            </w:r>
            <w:proofErr w:type="spellEnd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індивідуального</w:t>
            </w:r>
            <w:proofErr w:type="spellEnd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підходу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, з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додатковою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гнучкістю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щодо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місць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встановлення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основних</w:t>
            </w:r>
            <w:proofErr w:type="spellEnd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компонентиів</w:t>
            </w:r>
            <w:proofErr w:type="spellEnd"/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SPC.</w:t>
            </w:r>
            <w:r w:rsidRPr="000B3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Наприклад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,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котушка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берегового </w:t>
            </w:r>
            <w:r w:rsidR="00AB5ECD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uk-UA"/>
              </w:rPr>
              <w:t>судна</w:t>
            </w: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може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бути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встановлена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у 20-футовому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контейнері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на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палубі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, у той час як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шафа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моніторингу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та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управління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та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високовольтний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розподільний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щит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може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бути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під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палубою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або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у другому 20-футовому контейнер.</w:t>
            </w:r>
          </w:p>
          <w:p w:rsidR="00AB5ECD" w:rsidRDefault="00AB5ECD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AB5ECD" w:rsidRDefault="00AB5ECD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0B3B64" w:rsidRDefault="000B3B6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AB5ECD" w:rsidRDefault="000B3B6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ОСНОВНІ ПЕРЕВАГИ </w:t>
            </w:r>
          </w:p>
          <w:p w:rsidR="00AB5ECD" w:rsidRDefault="00AB5ECD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uk-UA"/>
              </w:rPr>
              <w:t>Зменшили</w:t>
            </w: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вплив</w:t>
            </w:r>
            <w:proofErr w:type="spellEnd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на </w:t>
            </w:r>
            <w:proofErr w:type="spellStart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довкілля</w:t>
            </w:r>
            <w:proofErr w:type="spellEnd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Дот</w:t>
            </w: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римуються</w:t>
            </w:r>
            <w:proofErr w:type="spellEnd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вимог</w:t>
            </w:r>
            <w:proofErr w:type="spellEnd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до </w:t>
            </w:r>
            <w:proofErr w:type="spellStart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викидів</w:t>
            </w:r>
            <w:proofErr w:type="spellEnd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в а</w:t>
            </w: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тмосферу</w:t>
            </w:r>
          </w:p>
          <w:p w:rsidR="00AB5ECD" w:rsidRDefault="00AB5ECD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uk-UA"/>
              </w:rPr>
              <w:t>В</w:t>
            </w:r>
            <w:proofErr w:type="spellStart"/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становл</w:t>
            </w: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ення</w:t>
            </w:r>
            <w:proofErr w:type="spellEnd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без </w:t>
            </w:r>
            <w:proofErr w:type="spellStart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порушення</w:t>
            </w:r>
            <w:proofErr w:type="spellEnd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роботи</w:t>
            </w:r>
            <w:proofErr w:type="spellEnd"/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судна</w:t>
            </w:r>
            <w:r w:rsidR="000B3B64"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</w:p>
          <w:p w:rsidR="000B3B64" w:rsidRDefault="000B3B6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Може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бути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встановлений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на борту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або</w:t>
            </w:r>
            <w:proofErr w:type="spellEnd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у </w:t>
            </w:r>
            <w:proofErr w:type="spellStart"/>
            <w:r w:rsidRPr="000B3B6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контейнері</w:t>
            </w:r>
            <w:proofErr w:type="spellEnd"/>
          </w:p>
          <w:p w:rsidR="00DE5524" w:rsidRDefault="00DE552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DE5524" w:rsidRPr="00DE5524" w:rsidRDefault="00DE552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uk-UA"/>
              </w:rPr>
            </w:pP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uk-UA"/>
              </w:rPr>
              <w:t>Переклад слів:</w:t>
            </w:r>
          </w:p>
          <w:p w:rsidR="000B3B64" w:rsidRDefault="00DE552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uk-UA"/>
              </w:rPr>
              <w:t>Т</w:t>
            </w:r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очка </w:t>
            </w:r>
            <w:proofErr w:type="spellStart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з'єднання</w:t>
            </w:r>
            <w:proofErr w:type="spellEnd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з кораблем</w:t>
            </w:r>
          </w:p>
          <w:p w:rsidR="000B3B64" w:rsidRDefault="00DE552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Рішення</w:t>
            </w:r>
            <w:proofErr w:type="spellEnd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для </w:t>
            </w:r>
            <w:proofErr w:type="spellStart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малооб'ємних</w:t>
            </w:r>
            <w:proofErr w:type="spellEnd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суден </w:t>
            </w:r>
            <w:proofErr w:type="spellStart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із</w:t>
            </w:r>
            <w:proofErr w:type="spellEnd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понижувальним</w:t>
            </w:r>
            <w:proofErr w:type="spellEnd"/>
            <w:r w:rsidRPr="00DE5524"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трансформатором</w:t>
            </w:r>
          </w:p>
          <w:p w:rsidR="00AB5ECD" w:rsidRPr="00C33B4F" w:rsidRDefault="00AB5ECD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DE5524" w:rsidRDefault="00DE5524" w:rsidP="000B3B64">
            <w:pPr>
              <w:rPr>
                <w:rStyle w:val="q4iaw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Характеристики SPC: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Конструкція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до IEC 80005-1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Стандартний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40-футовий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висококубовий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класифікацію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CSC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– Макс. 7,5 МВА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переданої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потужності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при 6600 В, 60 Гц та 30 °C</w:t>
            </w:r>
          </w:p>
          <w:p w:rsidR="000B3B64" w:rsidRPr="00D170C3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Можливість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як по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лівому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, так і правому борту</w:t>
            </w:r>
            <w:r w:rsidR="00D170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судна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Безпечна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заблокована</w:t>
            </w:r>
            <w:proofErr w:type="spellEnd"/>
            <w:r w:rsidR="00D170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високовольтна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- Людино-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машинний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інтерфейс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="00D170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керівництво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оператора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сигналізацію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Вбудована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сигналізації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Електричний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привід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кабельного барабана,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контроль натягу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ізольований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 з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осушувачем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підігрівом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уникнути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пошкодження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вологи</w:t>
            </w:r>
            <w:proofErr w:type="spellEnd"/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Зручна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обслуговуванні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</w:p>
          <w:p w:rsidR="00C33B4F" w:rsidRDefault="00C33B4F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B4F" w:rsidRDefault="00C33B4F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B4F" w:rsidRDefault="00C33B4F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B4F" w:rsidRDefault="00C33B4F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B4F" w:rsidRDefault="00C33B4F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Об'єм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поставок: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Техніко-економічний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Бортова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інспекція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Інженерні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переобладнання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модифікація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розподільних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щитів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сертифікат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короткого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замикання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координації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плюс будь-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необхідні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коригування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Інтеграція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силових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ланцюгів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ланцюгів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інтеграція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силових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ланцюгів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ланцюгів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існуючий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розподільний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щит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Уточнення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інтерфейсу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до систем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автоматизації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енергопостачання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та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координація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переобладнання</w:t>
            </w:r>
            <w:proofErr w:type="spellEnd"/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</w:p>
          <w:p w:rsid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вибирають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Wärtsilä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Компанія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Wärtsilä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виконала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інсталяцій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SPC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найбільших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світових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гравців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судноплавної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судноплавної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причому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більшість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постачання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EPC.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Безперервні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розробки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професійна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з боку</w:t>
            </w:r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глобальної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гарантують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завжди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завжди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отримуєте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новітні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застосовні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</w:p>
          <w:p w:rsidR="000B3B64" w:rsidRPr="000B3B64" w:rsidRDefault="000B3B64" w:rsidP="000B3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гарантовану</w:t>
            </w:r>
            <w:proofErr w:type="spellEnd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64">
              <w:rPr>
                <w:rFonts w:ascii="Times New Roman" w:hAnsi="Times New Roman" w:cs="Times New Roman"/>
                <w:sz w:val="28"/>
                <w:szCs w:val="28"/>
              </w:rPr>
              <w:t>надійність</w:t>
            </w:r>
            <w:proofErr w:type="spellEnd"/>
          </w:p>
        </w:tc>
      </w:tr>
    </w:tbl>
    <w:p w:rsidR="00177753" w:rsidRPr="006D4820" w:rsidRDefault="00177753"/>
    <w:sectPr w:rsidR="00177753" w:rsidRPr="006D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86C30"/>
    <w:rsid w:val="000B3B64"/>
    <w:rsid w:val="00177753"/>
    <w:rsid w:val="006D4820"/>
    <w:rsid w:val="00AB5ECD"/>
    <w:rsid w:val="00C33B4F"/>
    <w:rsid w:val="00D170C3"/>
    <w:rsid w:val="00DE5524"/>
    <w:rsid w:val="00F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B23DF-6464-470C-B1CB-D50D3B02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4iawc">
    <w:name w:val="q4iawc"/>
    <w:basedOn w:val="a0"/>
    <w:rsid w:val="006D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97B4-9BA2-43DB-830A-60ED566D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theboatmen001@gmail.com</dc:creator>
  <cp:keywords/>
  <dc:description/>
  <cp:lastModifiedBy>theboatmen001@gmail.com</cp:lastModifiedBy>
  <cp:revision>5</cp:revision>
  <dcterms:created xsi:type="dcterms:W3CDTF">2022-04-17T18:44:00Z</dcterms:created>
  <dcterms:modified xsi:type="dcterms:W3CDTF">2022-06-21T18:55:00Z</dcterms:modified>
</cp:coreProperties>
</file>