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BA0" w:rsidRDefault="00774BA0" w:rsidP="00742081">
      <w:pPr>
        <w:jc w:val="center"/>
        <w:rPr>
          <w:rFonts w:ascii="Times New Roman" w:hAnsi="Times New Roman" w:cs="Times New Roman"/>
          <w:sz w:val="32"/>
          <w:szCs w:val="32"/>
          <w:lang w:val="en-US"/>
        </w:rPr>
      </w:pPr>
    </w:p>
    <w:p w:rsidR="00742081" w:rsidRDefault="00742081" w:rsidP="00742081">
      <w:pPr>
        <w:jc w:val="center"/>
        <w:rPr>
          <w:rFonts w:ascii="Times New Roman" w:hAnsi="Times New Roman" w:cs="Times New Roman"/>
          <w:sz w:val="32"/>
          <w:szCs w:val="32"/>
          <w:lang w:val="en-US"/>
        </w:rPr>
      </w:pPr>
    </w:p>
    <w:p w:rsidR="00742081" w:rsidRDefault="00742081" w:rsidP="00742081">
      <w:pPr>
        <w:jc w:val="center"/>
        <w:rPr>
          <w:rFonts w:ascii="Times New Roman" w:hAnsi="Times New Roman" w:cs="Times New Roman"/>
          <w:sz w:val="32"/>
          <w:szCs w:val="32"/>
          <w:lang w:val="en-US"/>
        </w:rPr>
      </w:pPr>
    </w:p>
    <w:p w:rsidR="00742081" w:rsidRDefault="00742081" w:rsidP="00742081">
      <w:pPr>
        <w:jc w:val="center"/>
        <w:rPr>
          <w:rFonts w:ascii="Times New Roman" w:hAnsi="Times New Roman" w:cs="Times New Roman"/>
          <w:sz w:val="32"/>
          <w:szCs w:val="32"/>
          <w:lang w:val="en-US"/>
        </w:rPr>
      </w:pPr>
    </w:p>
    <w:p w:rsidR="00742081" w:rsidRDefault="00742081" w:rsidP="00742081">
      <w:pPr>
        <w:jc w:val="center"/>
        <w:rPr>
          <w:rFonts w:ascii="Times New Roman" w:hAnsi="Times New Roman" w:cs="Times New Roman"/>
          <w:sz w:val="32"/>
          <w:szCs w:val="32"/>
          <w:lang w:val="en-US"/>
        </w:rPr>
      </w:pPr>
    </w:p>
    <w:p w:rsidR="00742081" w:rsidRDefault="00742081" w:rsidP="00742081">
      <w:pPr>
        <w:jc w:val="center"/>
        <w:rPr>
          <w:rFonts w:ascii="Times New Roman" w:hAnsi="Times New Roman" w:cs="Times New Roman"/>
          <w:sz w:val="32"/>
          <w:szCs w:val="32"/>
          <w:lang w:val="en-US"/>
        </w:rPr>
      </w:pPr>
    </w:p>
    <w:p w:rsidR="00742081" w:rsidRPr="00742081" w:rsidRDefault="00742081" w:rsidP="00742081">
      <w:pPr>
        <w:jc w:val="center"/>
        <w:rPr>
          <w:rFonts w:ascii="Times New Roman" w:hAnsi="Times New Roman" w:cs="Times New Roman"/>
          <w:b/>
          <w:sz w:val="48"/>
          <w:szCs w:val="48"/>
        </w:rPr>
      </w:pPr>
      <w:r w:rsidRPr="00742081">
        <w:rPr>
          <w:rFonts w:ascii="Times New Roman" w:hAnsi="Times New Roman" w:cs="Times New Roman"/>
          <w:b/>
          <w:sz w:val="48"/>
          <w:szCs w:val="48"/>
        </w:rPr>
        <w:t>ДОПОВІДЬ</w:t>
      </w:r>
    </w:p>
    <w:p w:rsidR="00742081" w:rsidRDefault="00742081" w:rsidP="00742081">
      <w:pPr>
        <w:jc w:val="center"/>
        <w:rPr>
          <w:rFonts w:ascii="Times New Roman" w:hAnsi="Times New Roman" w:cs="Times New Roman"/>
          <w:sz w:val="36"/>
          <w:szCs w:val="36"/>
        </w:rPr>
      </w:pPr>
      <w:r w:rsidRPr="00742081">
        <w:rPr>
          <w:rFonts w:ascii="Times New Roman" w:hAnsi="Times New Roman" w:cs="Times New Roman"/>
          <w:sz w:val="36"/>
          <w:szCs w:val="36"/>
        </w:rPr>
        <w:t xml:space="preserve">до </w:t>
      </w:r>
      <w:r>
        <w:rPr>
          <w:rFonts w:ascii="Times New Roman" w:hAnsi="Times New Roman" w:cs="Times New Roman"/>
          <w:sz w:val="36"/>
          <w:szCs w:val="36"/>
        </w:rPr>
        <w:t>презентації</w:t>
      </w:r>
    </w:p>
    <w:p w:rsidR="00742081" w:rsidRDefault="00742081" w:rsidP="00742081">
      <w:pPr>
        <w:jc w:val="center"/>
        <w:rPr>
          <w:rFonts w:ascii="Times New Roman" w:hAnsi="Times New Roman" w:cs="Times New Roman"/>
          <w:sz w:val="40"/>
          <w:szCs w:val="40"/>
        </w:rPr>
      </w:pPr>
      <w:r w:rsidRPr="00742081">
        <w:rPr>
          <w:rFonts w:ascii="Times New Roman" w:hAnsi="Times New Roman" w:cs="Times New Roman"/>
          <w:sz w:val="40"/>
          <w:szCs w:val="40"/>
        </w:rPr>
        <w:t>«Кредитосп</w:t>
      </w:r>
      <w:r>
        <w:rPr>
          <w:rFonts w:ascii="Times New Roman" w:hAnsi="Times New Roman" w:cs="Times New Roman"/>
          <w:sz w:val="40"/>
          <w:szCs w:val="40"/>
        </w:rPr>
        <w:t>роможність та її оцінка (на прикладі підприємства ПАТ «Миргородський завод мінеральних вод») )</w:t>
      </w:r>
    </w:p>
    <w:p w:rsidR="00742081" w:rsidRDefault="00742081" w:rsidP="00742081">
      <w:pPr>
        <w:jc w:val="center"/>
        <w:rPr>
          <w:rFonts w:ascii="Times New Roman" w:hAnsi="Times New Roman" w:cs="Times New Roman"/>
          <w:sz w:val="40"/>
          <w:szCs w:val="40"/>
        </w:rPr>
      </w:pPr>
    </w:p>
    <w:p w:rsidR="00742081" w:rsidRDefault="00742081" w:rsidP="00742081">
      <w:pPr>
        <w:jc w:val="center"/>
        <w:rPr>
          <w:rFonts w:ascii="Times New Roman" w:hAnsi="Times New Roman" w:cs="Times New Roman"/>
          <w:sz w:val="40"/>
          <w:szCs w:val="40"/>
        </w:rPr>
      </w:pPr>
    </w:p>
    <w:p w:rsidR="00742081" w:rsidRDefault="00742081" w:rsidP="00742081">
      <w:pPr>
        <w:jc w:val="center"/>
        <w:rPr>
          <w:rFonts w:ascii="Times New Roman" w:hAnsi="Times New Roman" w:cs="Times New Roman"/>
          <w:sz w:val="40"/>
          <w:szCs w:val="40"/>
        </w:rPr>
      </w:pPr>
    </w:p>
    <w:p w:rsidR="00742081" w:rsidRDefault="00742081" w:rsidP="00742081">
      <w:pPr>
        <w:jc w:val="center"/>
        <w:rPr>
          <w:rFonts w:ascii="Times New Roman" w:hAnsi="Times New Roman" w:cs="Times New Roman"/>
          <w:sz w:val="40"/>
          <w:szCs w:val="40"/>
        </w:rPr>
      </w:pPr>
    </w:p>
    <w:p w:rsidR="00742081" w:rsidRDefault="00742081" w:rsidP="00742081">
      <w:pPr>
        <w:jc w:val="center"/>
        <w:rPr>
          <w:rFonts w:ascii="Times New Roman" w:hAnsi="Times New Roman" w:cs="Times New Roman"/>
          <w:sz w:val="40"/>
          <w:szCs w:val="40"/>
        </w:rPr>
      </w:pPr>
    </w:p>
    <w:p w:rsidR="00742081" w:rsidRDefault="00742081" w:rsidP="00742081">
      <w:pPr>
        <w:jc w:val="center"/>
        <w:rPr>
          <w:rFonts w:ascii="Times New Roman" w:hAnsi="Times New Roman" w:cs="Times New Roman"/>
          <w:sz w:val="40"/>
          <w:szCs w:val="40"/>
        </w:rPr>
      </w:pPr>
    </w:p>
    <w:p w:rsidR="00742081" w:rsidRDefault="00742081" w:rsidP="00742081">
      <w:pPr>
        <w:jc w:val="center"/>
        <w:rPr>
          <w:rFonts w:ascii="Times New Roman" w:hAnsi="Times New Roman" w:cs="Times New Roman"/>
          <w:sz w:val="40"/>
          <w:szCs w:val="40"/>
        </w:rPr>
      </w:pPr>
    </w:p>
    <w:p w:rsidR="00742081" w:rsidRDefault="00742081" w:rsidP="00742081">
      <w:pPr>
        <w:jc w:val="center"/>
        <w:rPr>
          <w:rFonts w:ascii="Times New Roman" w:hAnsi="Times New Roman" w:cs="Times New Roman"/>
          <w:sz w:val="40"/>
          <w:szCs w:val="40"/>
        </w:rPr>
      </w:pPr>
    </w:p>
    <w:p w:rsidR="00742081" w:rsidRDefault="00742081" w:rsidP="00742081">
      <w:pPr>
        <w:jc w:val="center"/>
        <w:rPr>
          <w:rFonts w:ascii="Times New Roman" w:hAnsi="Times New Roman" w:cs="Times New Roman"/>
          <w:sz w:val="40"/>
          <w:szCs w:val="40"/>
        </w:rPr>
      </w:pPr>
    </w:p>
    <w:p w:rsidR="00742081" w:rsidRDefault="00742081" w:rsidP="00742081">
      <w:pPr>
        <w:jc w:val="center"/>
        <w:rPr>
          <w:rFonts w:ascii="Times New Roman" w:hAnsi="Times New Roman" w:cs="Times New Roman"/>
          <w:sz w:val="40"/>
          <w:szCs w:val="40"/>
        </w:rPr>
      </w:pPr>
    </w:p>
    <w:p w:rsidR="00742081" w:rsidRDefault="00742081" w:rsidP="00742081">
      <w:pPr>
        <w:jc w:val="center"/>
        <w:rPr>
          <w:rFonts w:ascii="Times New Roman" w:hAnsi="Times New Roman" w:cs="Times New Roman"/>
          <w:sz w:val="40"/>
          <w:szCs w:val="40"/>
        </w:rPr>
      </w:pPr>
    </w:p>
    <w:p w:rsidR="00742081" w:rsidRDefault="00F36655" w:rsidP="00F36655">
      <w:pPr>
        <w:spacing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BB64C4">
        <w:rPr>
          <w:rFonts w:ascii="Times New Roman" w:eastAsia="Times New Roman" w:hAnsi="Times New Roman" w:cs="Times New Roman"/>
          <w:sz w:val="28"/>
          <w:szCs w:val="28"/>
        </w:rPr>
        <w:t>В даній</w:t>
      </w:r>
      <w:r>
        <w:rPr>
          <w:rFonts w:ascii="Times New Roman" w:eastAsia="Times New Roman" w:hAnsi="Times New Roman" w:cs="Times New Roman"/>
          <w:sz w:val="28"/>
          <w:szCs w:val="28"/>
        </w:rPr>
        <w:t xml:space="preserve"> презентації ми</w:t>
      </w:r>
      <w:r w:rsidR="0002125C">
        <w:rPr>
          <w:rFonts w:ascii="Times New Roman" w:eastAsia="Times New Roman" w:hAnsi="Times New Roman" w:cs="Times New Roman"/>
          <w:sz w:val="28"/>
          <w:szCs w:val="28"/>
        </w:rPr>
        <w:t xml:space="preserve"> коротко</w:t>
      </w:r>
      <w:r>
        <w:rPr>
          <w:rFonts w:ascii="Times New Roman" w:eastAsia="Times New Roman" w:hAnsi="Times New Roman" w:cs="Times New Roman"/>
          <w:sz w:val="28"/>
          <w:szCs w:val="28"/>
        </w:rPr>
        <w:t xml:space="preserve"> розгля</w:t>
      </w:r>
      <w:r w:rsidR="0002125C">
        <w:rPr>
          <w:rFonts w:ascii="Times New Roman" w:eastAsia="Times New Roman" w:hAnsi="Times New Roman" w:cs="Times New Roman"/>
          <w:sz w:val="28"/>
          <w:szCs w:val="28"/>
        </w:rPr>
        <w:t>нули</w:t>
      </w:r>
      <w:r>
        <w:rPr>
          <w:rFonts w:ascii="Times New Roman" w:eastAsia="Times New Roman" w:hAnsi="Times New Roman" w:cs="Times New Roman"/>
          <w:sz w:val="28"/>
          <w:szCs w:val="28"/>
        </w:rPr>
        <w:t>, дослід</w:t>
      </w:r>
      <w:r w:rsidR="0002125C">
        <w:rPr>
          <w:rFonts w:ascii="Times New Roman" w:eastAsia="Times New Roman" w:hAnsi="Times New Roman" w:cs="Times New Roman"/>
          <w:sz w:val="28"/>
          <w:szCs w:val="28"/>
        </w:rPr>
        <w:t>или</w:t>
      </w:r>
      <w:r>
        <w:rPr>
          <w:rFonts w:ascii="Times New Roman" w:eastAsia="Times New Roman" w:hAnsi="Times New Roman" w:cs="Times New Roman"/>
          <w:sz w:val="28"/>
          <w:szCs w:val="28"/>
        </w:rPr>
        <w:t xml:space="preserve"> та да</w:t>
      </w:r>
      <w:r w:rsidR="0002125C">
        <w:rPr>
          <w:rFonts w:ascii="Times New Roman" w:eastAsia="Times New Roman" w:hAnsi="Times New Roman" w:cs="Times New Roman"/>
          <w:sz w:val="28"/>
          <w:szCs w:val="28"/>
        </w:rPr>
        <w:t>ли</w:t>
      </w:r>
      <w:r>
        <w:rPr>
          <w:rFonts w:ascii="Times New Roman" w:eastAsia="Times New Roman" w:hAnsi="Times New Roman" w:cs="Times New Roman"/>
          <w:sz w:val="28"/>
          <w:szCs w:val="28"/>
        </w:rPr>
        <w:t xml:space="preserve"> оцінку кредитоспроможності підприємству </w:t>
      </w:r>
      <w:r w:rsidRPr="00F36655">
        <w:rPr>
          <w:rFonts w:ascii="Times New Roman" w:eastAsia="Times New Roman" w:hAnsi="Times New Roman" w:cs="Times New Roman"/>
          <w:sz w:val="28"/>
          <w:szCs w:val="28"/>
        </w:rPr>
        <w:t>ПАТ «Миргородський завод мінеральних вод»</w:t>
      </w:r>
      <w:r w:rsidR="0002125C">
        <w:rPr>
          <w:rFonts w:ascii="Times New Roman" w:eastAsia="Times New Roman" w:hAnsi="Times New Roman" w:cs="Times New Roman"/>
          <w:sz w:val="28"/>
          <w:szCs w:val="28"/>
        </w:rPr>
        <w:t>, а також запропонували рекомендації щодо оптимізації виробничої діяльності даного підприємства.</w:t>
      </w:r>
    </w:p>
    <w:p w:rsidR="00BE7E14" w:rsidRPr="00BB64C4" w:rsidRDefault="00BE7E14" w:rsidP="00BE7E14">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BB64C4">
        <w:rPr>
          <w:rFonts w:ascii="Times New Roman" w:hAnsi="Times New Roman" w:cs="Times New Roman"/>
          <w:sz w:val="28"/>
          <w:szCs w:val="28"/>
        </w:rPr>
        <w:t>Метою визначення оцінки креди</w:t>
      </w:r>
      <w:r>
        <w:rPr>
          <w:rFonts w:ascii="Times New Roman" w:hAnsi="Times New Roman" w:cs="Times New Roman"/>
          <w:sz w:val="28"/>
          <w:szCs w:val="28"/>
        </w:rPr>
        <w:t>то</w:t>
      </w:r>
      <w:r w:rsidRPr="00BB64C4">
        <w:rPr>
          <w:rFonts w:ascii="Times New Roman" w:hAnsi="Times New Roman" w:cs="Times New Roman"/>
          <w:sz w:val="28"/>
          <w:szCs w:val="28"/>
        </w:rPr>
        <w:t>спроможності є отримання ключових параметрів, які несуть інформацію, яка дозволяє визначити ступінь кредитоспроможності підприємства.</w:t>
      </w:r>
    </w:p>
    <w:p w:rsidR="00CE0EB7" w:rsidRDefault="0002125C" w:rsidP="00F9315A">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CE0EB7" w:rsidRPr="00CE0EB7">
        <w:rPr>
          <w:rFonts w:ascii="Times New Roman" w:hAnsi="Times New Roman" w:cs="Times New Roman"/>
          <w:sz w:val="28"/>
          <w:szCs w:val="28"/>
        </w:rPr>
        <w:t>Згідно Положення Національного банку України «Про кредитування» кредитоспроможність трактується як здатність позичальника в повному обсязі і у визначений кредитною угодою термін розрахуватися за своїми борговими зобов’язаннями, а згідно Постанови Правління НБУ «Про порядок формування та використання резерву для відшкодування можливих втрат за кредитними операціями банків» – як наявність у позичальника (контрагента банку) передумов для отримання кредиту та його здатність повернути кредит і відсотки за ним у повному обсязі та в обумовлені договором строки.</w:t>
      </w:r>
    </w:p>
    <w:p w:rsidR="00CE0EB7" w:rsidRPr="00BB64C4" w:rsidRDefault="00CE0EB7" w:rsidP="00CE0EB7">
      <w:pPr>
        <w:pStyle w:val="a7"/>
        <w:spacing w:beforeAutospacing="0" w:after="0" w:afterAutospacing="0" w:line="360" w:lineRule="auto"/>
        <w:jc w:val="both"/>
        <w:rPr>
          <w:sz w:val="28"/>
          <w:szCs w:val="21"/>
          <w:lang w:val="uk-UA"/>
        </w:rPr>
      </w:pPr>
      <w:r w:rsidRPr="00BB64C4">
        <w:rPr>
          <w:sz w:val="28"/>
          <w:szCs w:val="21"/>
          <w:lang w:val="uk-UA"/>
        </w:rPr>
        <w:t xml:space="preserve">     До основних критеріїв оцінювання кредитоспроможності позичальника належать такі:</w:t>
      </w:r>
    </w:p>
    <w:p w:rsidR="00CE0EB7" w:rsidRPr="00BB64C4" w:rsidRDefault="00CE0EB7" w:rsidP="00CE0EB7">
      <w:pPr>
        <w:pStyle w:val="a7"/>
        <w:numPr>
          <w:ilvl w:val="0"/>
          <w:numId w:val="1"/>
        </w:numPr>
        <w:spacing w:beforeAutospacing="0" w:after="0" w:afterAutospacing="0" w:line="360" w:lineRule="auto"/>
        <w:jc w:val="both"/>
        <w:rPr>
          <w:sz w:val="28"/>
          <w:szCs w:val="21"/>
          <w:lang w:val="uk-UA"/>
        </w:rPr>
      </w:pPr>
      <w:r w:rsidRPr="00BB64C4">
        <w:rPr>
          <w:sz w:val="28"/>
          <w:szCs w:val="21"/>
          <w:lang w:val="uk-UA"/>
        </w:rPr>
        <w:t>забезпеченість позичальника власними коштами щонайменше на 50 % від загальної суми витрат, які він здійснює;</w:t>
      </w:r>
    </w:p>
    <w:p w:rsidR="00CE0EB7" w:rsidRPr="00BB64C4" w:rsidRDefault="00CE0EB7" w:rsidP="00CE0EB7">
      <w:pPr>
        <w:pStyle w:val="a7"/>
        <w:numPr>
          <w:ilvl w:val="0"/>
          <w:numId w:val="1"/>
        </w:numPr>
        <w:spacing w:beforeAutospacing="0" w:after="0" w:afterAutospacing="0" w:line="360" w:lineRule="auto"/>
        <w:jc w:val="both"/>
        <w:rPr>
          <w:sz w:val="28"/>
          <w:szCs w:val="21"/>
          <w:lang w:val="uk-UA"/>
        </w:rPr>
      </w:pPr>
      <w:r w:rsidRPr="00BB64C4">
        <w:rPr>
          <w:sz w:val="28"/>
          <w:szCs w:val="21"/>
          <w:lang w:val="uk-UA"/>
        </w:rPr>
        <w:t>репутація позичальника (кваліфікація  та здібності керівника, дотримання ділової етики, договірної та платіжної дисципліни);</w:t>
      </w:r>
    </w:p>
    <w:p w:rsidR="00CE0EB7" w:rsidRPr="00BB64C4" w:rsidRDefault="00CE0EB7" w:rsidP="00CE0EB7">
      <w:pPr>
        <w:pStyle w:val="a7"/>
        <w:numPr>
          <w:ilvl w:val="0"/>
          <w:numId w:val="1"/>
        </w:numPr>
        <w:spacing w:beforeAutospacing="0" w:after="0" w:afterAutospacing="0" w:line="360" w:lineRule="auto"/>
        <w:jc w:val="both"/>
        <w:rPr>
          <w:sz w:val="28"/>
          <w:szCs w:val="21"/>
          <w:lang w:val="uk-UA"/>
        </w:rPr>
      </w:pPr>
      <w:r w:rsidRPr="00BB64C4">
        <w:rPr>
          <w:sz w:val="28"/>
          <w:szCs w:val="21"/>
          <w:lang w:val="uk-UA"/>
        </w:rPr>
        <w:t>оцінка продукції, яка випускається, наявність замовлень на її реалізацію, характер послуг, що надаються (конкурентоспроможність на внутрішньому та зовнішньому ринках, попит на продукцію та послуги, обсяги експорту, ступінь залежності попиту на продукцію від сезонності та ін.);</w:t>
      </w:r>
    </w:p>
    <w:p w:rsidR="00CE0EB7" w:rsidRPr="00BB64C4" w:rsidRDefault="00CE0EB7" w:rsidP="00CE0EB7">
      <w:pPr>
        <w:pStyle w:val="a7"/>
        <w:numPr>
          <w:ilvl w:val="0"/>
          <w:numId w:val="1"/>
        </w:numPr>
        <w:spacing w:beforeAutospacing="0" w:after="0" w:afterAutospacing="0" w:line="360" w:lineRule="auto"/>
        <w:jc w:val="both"/>
        <w:rPr>
          <w:sz w:val="28"/>
          <w:szCs w:val="21"/>
          <w:lang w:val="uk-UA"/>
        </w:rPr>
      </w:pPr>
      <w:r w:rsidRPr="00BB64C4">
        <w:rPr>
          <w:sz w:val="28"/>
          <w:szCs w:val="21"/>
          <w:lang w:val="uk-UA"/>
        </w:rPr>
        <w:t>економічна кон'юнктура (перспективи розвитку позичальника, наявність або потенційна можливість джерел для фінансування та капіталовкладень);</w:t>
      </w:r>
    </w:p>
    <w:p w:rsidR="00CE0EB7" w:rsidRPr="00BB64C4" w:rsidRDefault="00CE0EB7" w:rsidP="00CE0EB7">
      <w:pPr>
        <w:pStyle w:val="a7"/>
        <w:numPr>
          <w:ilvl w:val="0"/>
          <w:numId w:val="1"/>
        </w:numPr>
        <w:spacing w:beforeAutospacing="0" w:after="0" w:afterAutospacing="0" w:line="360" w:lineRule="auto"/>
        <w:jc w:val="both"/>
        <w:rPr>
          <w:sz w:val="28"/>
          <w:szCs w:val="21"/>
          <w:lang w:val="uk-UA"/>
        </w:rPr>
      </w:pPr>
      <w:r w:rsidRPr="00BB64C4">
        <w:rPr>
          <w:sz w:val="28"/>
          <w:szCs w:val="21"/>
          <w:lang w:val="uk-UA"/>
        </w:rPr>
        <w:lastRenderedPageBreak/>
        <w:t>ринкова кон'юнктура (перспективи розвитку ринку даного товару чи послуги, позиціювання товару чи послуги позичальника, темпи зростання ринку та інші фактори, що впливають на його розвиток).</w:t>
      </w:r>
    </w:p>
    <w:p w:rsidR="00CE0EB7" w:rsidRPr="00BB64C4" w:rsidRDefault="001B14BB" w:rsidP="00CE0EB7">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E0EB7" w:rsidRPr="00BB64C4">
        <w:rPr>
          <w:rFonts w:ascii="Times New Roman" w:eastAsia="Times New Roman" w:hAnsi="Times New Roman" w:cs="Times New Roman"/>
          <w:sz w:val="28"/>
          <w:szCs w:val="28"/>
          <w:lang w:eastAsia="ru-RU"/>
        </w:rPr>
        <w:t>При оцінці кредитоспроможності позичальника – юридичної особи – вітчизняні банки використовують два методичні підходи, які базуються на:</w:t>
      </w:r>
    </w:p>
    <w:p w:rsidR="00CE0EB7" w:rsidRPr="00BB64C4" w:rsidRDefault="00CE0EB7" w:rsidP="00CE0EB7">
      <w:pPr>
        <w:pStyle w:val="a8"/>
        <w:numPr>
          <w:ilvl w:val="0"/>
          <w:numId w:val="2"/>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оцінці фінансової стійкості клієнта на підставі системи фінансових коефіцієнтів;</w:t>
      </w:r>
    </w:p>
    <w:p w:rsidR="00CE0EB7" w:rsidRPr="00BB64C4" w:rsidRDefault="00CE0EB7" w:rsidP="00CE0EB7">
      <w:pPr>
        <w:pStyle w:val="a8"/>
        <w:numPr>
          <w:ilvl w:val="0"/>
          <w:numId w:val="2"/>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аналізі грошових коштів.</w:t>
      </w:r>
    </w:p>
    <w:p w:rsidR="00CE0EB7" w:rsidRPr="00BB64C4" w:rsidRDefault="00CE0EB7" w:rsidP="00CE0EB7">
      <w:pPr>
        <w:shd w:val="clear" w:color="auto" w:fill="FFFFFF"/>
        <w:spacing w:after="0" w:line="360" w:lineRule="auto"/>
        <w:jc w:val="both"/>
        <w:rPr>
          <w:rFonts w:ascii="Times New Roman" w:eastAsia="Times New Roman" w:hAnsi="Times New Roman" w:cs="Times New Roman"/>
          <w:sz w:val="28"/>
          <w:szCs w:val="28"/>
          <w:lang w:eastAsia="ru-RU"/>
        </w:rPr>
      </w:pPr>
      <w:r w:rsidRPr="00BB64C4">
        <w:rPr>
          <w:rFonts w:ascii="Times New Roman" w:eastAsia="Times New Roman" w:hAnsi="Times New Roman" w:cs="Times New Roman"/>
          <w:sz w:val="28"/>
          <w:szCs w:val="28"/>
          <w:lang w:eastAsia="ru-RU"/>
        </w:rPr>
        <w:t xml:space="preserve">     Найбільш розповсюдженим у практиці вітчизняних банків є використання методу оцінки фінансової стійкості клієнта на основі системи фінансових коефіцієнтів, які  в свою чергу, становлять чотири групи. Вони є наступними: </w:t>
      </w:r>
    </w:p>
    <w:p w:rsidR="00CE0EB7" w:rsidRPr="00BB64C4" w:rsidRDefault="00CE0EB7" w:rsidP="00CE0EB7">
      <w:pPr>
        <w:pStyle w:val="a8"/>
        <w:numPr>
          <w:ilvl w:val="0"/>
          <w:numId w:val="3"/>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 xml:space="preserve">коефіцієнти ліквідності; </w:t>
      </w:r>
    </w:p>
    <w:p w:rsidR="00CE0EB7" w:rsidRPr="00BB64C4" w:rsidRDefault="00CE0EB7" w:rsidP="00CE0EB7">
      <w:pPr>
        <w:pStyle w:val="a8"/>
        <w:numPr>
          <w:ilvl w:val="0"/>
          <w:numId w:val="3"/>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 xml:space="preserve">коефіцієнти фінансової незалежності; </w:t>
      </w:r>
    </w:p>
    <w:p w:rsidR="00CE0EB7" w:rsidRPr="00BB64C4" w:rsidRDefault="00CE0EB7" w:rsidP="00CE0EB7">
      <w:pPr>
        <w:pStyle w:val="a8"/>
        <w:numPr>
          <w:ilvl w:val="0"/>
          <w:numId w:val="3"/>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коефіцієнти оборотності;</w:t>
      </w:r>
    </w:p>
    <w:p w:rsidR="00CE0EB7" w:rsidRPr="00BB64C4" w:rsidRDefault="00CE0EB7" w:rsidP="00CE0EB7">
      <w:pPr>
        <w:pStyle w:val="a8"/>
        <w:numPr>
          <w:ilvl w:val="0"/>
          <w:numId w:val="3"/>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коефіцієнти рентабельності.</w:t>
      </w:r>
    </w:p>
    <w:p w:rsidR="00CE0EB7" w:rsidRPr="00BB64C4" w:rsidRDefault="00CE0EB7" w:rsidP="00CE0EB7">
      <w:pPr>
        <w:shd w:val="clear" w:color="auto" w:fill="FFFFFF"/>
        <w:spacing w:after="0" w:line="360" w:lineRule="auto"/>
        <w:jc w:val="both"/>
        <w:rPr>
          <w:rFonts w:ascii="Times New Roman" w:eastAsia="Times New Roman" w:hAnsi="Times New Roman" w:cs="Times New Roman"/>
          <w:sz w:val="28"/>
          <w:szCs w:val="28"/>
          <w:lang w:eastAsia="ru-RU"/>
        </w:rPr>
      </w:pPr>
      <w:r w:rsidRPr="00BB64C4">
        <w:rPr>
          <w:rFonts w:ascii="Times New Roman" w:eastAsia="Times New Roman" w:hAnsi="Times New Roman" w:cs="Times New Roman"/>
          <w:sz w:val="28"/>
          <w:szCs w:val="28"/>
          <w:lang w:eastAsia="ru-RU"/>
        </w:rPr>
        <w:t xml:space="preserve">     Інформаційною базою для здійснення оцінки фінансового стану позичальника є офіційна звітність (баланс підприємства (ф. №1), Звіт про фінансові результати (ф. №2), Звіт про рух грошових коштів (ф. №3), звітні документи про рух грошових коштів на його рахунках та інформація з пакета документів, який надає позичальник для отримання кредиту.</w:t>
      </w:r>
    </w:p>
    <w:p w:rsidR="00CE0EB7" w:rsidRPr="00BB64C4" w:rsidRDefault="00CE0EB7" w:rsidP="00CE0EB7">
      <w:p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ПАТ «Миргородський завод мінеральних вод» – провідний вітчизняний виробник з багаторічним досвідом роботи та бездоганною репутацією. Завод оснащений найсучаснішим обладнанням та сертифікований за міжнародними стандартами. Саме тому, він є одним з передових у вітчизняній галузі, а його персонал вважається одним з найбільш кваліфікованих в Україні.</w:t>
      </w:r>
    </w:p>
    <w:p w:rsidR="00CE0EB7" w:rsidRPr="00BB64C4" w:rsidRDefault="00CE0EB7" w:rsidP="00CE0EB7">
      <w:pPr>
        <w:tabs>
          <w:tab w:val="left" w:pos="7020"/>
        </w:tabs>
        <w:spacing w:after="0" w:line="360" w:lineRule="auto"/>
        <w:contextualSpacing/>
        <w:jc w:val="both"/>
        <w:rPr>
          <w:rFonts w:ascii="Times New Roman" w:hAnsi="Times New Roman"/>
          <w:sz w:val="28"/>
          <w:szCs w:val="28"/>
        </w:rPr>
      </w:pPr>
      <w:r>
        <w:rPr>
          <w:rFonts w:ascii="Times New Roman" w:hAnsi="Times New Roman" w:cs="Times New Roman"/>
          <w:sz w:val="28"/>
          <w:szCs w:val="28"/>
        </w:rPr>
        <w:t xml:space="preserve"> </w:t>
      </w:r>
      <w:r w:rsidR="00541D46">
        <w:rPr>
          <w:rFonts w:ascii="Times New Roman" w:hAnsi="Times New Roman" w:cs="Times New Roman"/>
          <w:sz w:val="28"/>
          <w:szCs w:val="28"/>
          <w:lang w:val="en-US"/>
        </w:rPr>
        <w:t xml:space="preserve">     </w:t>
      </w:r>
      <w:r w:rsidRPr="00BB64C4">
        <w:rPr>
          <w:rFonts w:ascii="Times New Roman" w:hAnsi="Times New Roman" w:cs="Times New Roman"/>
          <w:sz w:val="28"/>
          <w:szCs w:val="28"/>
        </w:rPr>
        <w:t xml:space="preserve">Аналіз </w:t>
      </w:r>
      <w:r w:rsidRPr="00BB64C4">
        <w:rPr>
          <w:rFonts w:ascii="Times New Roman" w:hAnsi="Times New Roman"/>
          <w:sz w:val="28"/>
          <w:szCs w:val="28"/>
        </w:rPr>
        <w:t xml:space="preserve">роботи підприємства  </w:t>
      </w:r>
      <w:r w:rsidRPr="00BB64C4">
        <w:rPr>
          <w:rFonts w:ascii="Times New Roman" w:hAnsi="Times New Roman" w:cs="Times New Roman"/>
          <w:sz w:val="28"/>
          <w:szCs w:val="28"/>
        </w:rPr>
        <w:t xml:space="preserve">ПАТ «Миргородський завод мінеральних вод», був проведений </w:t>
      </w:r>
      <w:r w:rsidRPr="00BB64C4">
        <w:rPr>
          <w:rFonts w:ascii="Times New Roman" w:hAnsi="Times New Roman"/>
          <w:sz w:val="28"/>
          <w:szCs w:val="28"/>
        </w:rPr>
        <w:t>за допомогою основних фінансово-економічних показників на основі даних Балансу (форми №1), форми №2 «Звіт про фінансові результати» та форми №3 «Звіт про рух грошових коштів (за прямим методом)», за 2014-2016 роки. Він показав нам наступне:</w:t>
      </w:r>
    </w:p>
    <w:p w:rsidR="00CE0EB7" w:rsidRPr="00BB64C4" w:rsidRDefault="00CE0EB7" w:rsidP="00CE0EB7">
      <w:p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lastRenderedPageBreak/>
        <w:t xml:space="preserve">     Показник чистого доходу у 2016 р. становив 342 808 тис. грн., що на 75 803 тис. грн. більше за показник 2014 р. та на 18 453 тис. грн. більше за показник 2015 р. Збільшення чистого доходу свідчить про підвищення обсягів діяльності та активну позицію підприємства на ринках збуту.    </w:t>
      </w:r>
    </w:p>
    <w:p w:rsidR="00CE0EB7" w:rsidRPr="00BB64C4" w:rsidRDefault="00CE0EB7" w:rsidP="00CE0EB7">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Валов</w:t>
      </w:r>
      <w:r w:rsidR="001B14BB">
        <w:rPr>
          <w:rFonts w:ascii="Times New Roman" w:hAnsi="Times New Roman" w:cs="Times New Roman"/>
          <w:sz w:val="28"/>
          <w:szCs w:val="28"/>
        </w:rPr>
        <w:t>ий прибуток в 2016 році в порів</w:t>
      </w:r>
      <w:r w:rsidRPr="00BB64C4">
        <w:rPr>
          <w:rFonts w:ascii="Times New Roman" w:hAnsi="Times New Roman" w:cs="Times New Roman"/>
          <w:sz w:val="28"/>
          <w:szCs w:val="28"/>
        </w:rPr>
        <w:t>ня</w:t>
      </w:r>
      <w:r w:rsidR="001B14BB">
        <w:rPr>
          <w:rFonts w:ascii="Times New Roman" w:hAnsi="Times New Roman" w:cs="Times New Roman"/>
          <w:sz w:val="28"/>
          <w:szCs w:val="28"/>
        </w:rPr>
        <w:t>н</w:t>
      </w:r>
      <w:r w:rsidRPr="00BB64C4">
        <w:rPr>
          <w:rFonts w:ascii="Times New Roman" w:hAnsi="Times New Roman" w:cs="Times New Roman"/>
          <w:sz w:val="28"/>
          <w:szCs w:val="28"/>
        </w:rPr>
        <w:t>ні із 2014 роком, збільшився на 4 452 тис. грн., але зменши</w:t>
      </w:r>
      <w:r w:rsidR="001B14BB">
        <w:rPr>
          <w:rFonts w:ascii="Times New Roman" w:hAnsi="Times New Roman" w:cs="Times New Roman"/>
          <w:sz w:val="28"/>
          <w:szCs w:val="28"/>
        </w:rPr>
        <w:t>вся на 3 294 тис. грн. в порівн</w:t>
      </w:r>
      <w:r w:rsidRPr="00BB64C4">
        <w:rPr>
          <w:rFonts w:ascii="Times New Roman" w:hAnsi="Times New Roman" w:cs="Times New Roman"/>
          <w:sz w:val="28"/>
          <w:szCs w:val="28"/>
        </w:rPr>
        <w:t>я</w:t>
      </w:r>
      <w:r w:rsidR="001B14BB">
        <w:rPr>
          <w:rFonts w:ascii="Times New Roman" w:hAnsi="Times New Roman" w:cs="Times New Roman"/>
          <w:sz w:val="28"/>
          <w:szCs w:val="28"/>
        </w:rPr>
        <w:t>н</w:t>
      </w:r>
      <w:r w:rsidRPr="00BB64C4">
        <w:rPr>
          <w:rFonts w:ascii="Times New Roman" w:hAnsi="Times New Roman" w:cs="Times New Roman"/>
          <w:sz w:val="28"/>
          <w:szCs w:val="28"/>
        </w:rPr>
        <w:t xml:space="preserve">ні із 2015 роком. </w:t>
      </w:r>
    </w:p>
    <w:p w:rsidR="00CE0EB7" w:rsidRPr="00BB64C4" w:rsidRDefault="00CE0EB7" w:rsidP="00CE0EB7">
      <w:p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Чистий же прибуток в 2016 році в порівнянні із 2014 роком, зменшився на 5 278 тис. грн., а в  порівнянні із 2015 роком, зменшився ще на 9 435 тис. грн. </w:t>
      </w:r>
    </w:p>
    <w:p w:rsidR="00CE0EB7" w:rsidRPr="00BB64C4" w:rsidRDefault="00CE0EB7" w:rsidP="00CE0EB7">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Що ж стосується економіко-фінансового стану даного підприємства то він в цілому Про це, свідчить наступне:</w:t>
      </w:r>
    </w:p>
    <w:p w:rsidR="00CE0EB7" w:rsidRPr="00BB64C4" w:rsidRDefault="00CE0EB7" w:rsidP="00CE0EB7">
      <w:pPr>
        <w:pStyle w:val="a8"/>
        <w:numPr>
          <w:ilvl w:val="0"/>
          <w:numId w:val="4"/>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i/>
          <w:sz w:val="28"/>
          <w:szCs w:val="28"/>
          <w:lang w:val="uk-UA"/>
        </w:rPr>
        <w:t xml:space="preserve">збільшення власного капіталу </w:t>
      </w:r>
      <w:r w:rsidRPr="00BB64C4">
        <w:rPr>
          <w:rFonts w:ascii="Times New Roman" w:hAnsi="Times New Roman" w:cs="Times New Roman"/>
          <w:sz w:val="28"/>
          <w:szCs w:val="28"/>
          <w:lang w:val="uk-UA"/>
        </w:rPr>
        <w:t xml:space="preserve"> –  загалом в 2016 році  в сумі (тобто, якщо додати порівняння із 2014 та 2015 роками), він збільшився на 91 165 тис. грн.;</w:t>
      </w:r>
    </w:p>
    <w:p w:rsidR="00CE0EB7" w:rsidRPr="00BB64C4" w:rsidRDefault="00CE0EB7" w:rsidP="00CE0EB7">
      <w:pPr>
        <w:pStyle w:val="a8"/>
        <w:numPr>
          <w:ilvl w:val="0"/>
          <w:numId w:val="4"/>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i/>
          <w:sz w:val="28"/>
          <w:szCs w:val="28"/>
          <w:lang w:val="uk-UA"/>
        </w:rPr>
        <w:t>відсутність</w:t>
      </w:r>
      <w:r w:rsidRPr="00BB64C4">
        <w:rPr>
          <w:rFonts w:ascii="Times New Roman" w:hAnsi="Times New Roman" w:cs="Times New Roman"/>
          <w:sz w:val="28"/>
          <w:szCs w:val="28"/>
          <w:lang w:val="uk-UA"/>
        </w:rPr>
        <w:t xml:space="preserve"> в 2016 році, довгострокових зобов’язань та швидке  (що свідчить від’ємний показник порівняння) погашення поточних зобов’язань на протязі 2014-2016 років. А незначні довгострокові зобов’язання в 2014 та 2015 роках, ніяк не впливають на фінансовий стан підприємства;</w:t>
      </w:r>
    </w:p>
    <w:p w:rsidR="00CE0EB7" w:rsidRPr="00BB64C4" w:rsidRDefault="00CE0EB7" w:rsidP="00CE0EB7">
      <w:pPr>
        <w:pStyle w:val="a8"/>
        <w:numPr>
          <w:ilvl w:val="0"/>
          <w:numId w:val="4"/>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i/>
          <w:sz w:val="28"/>
          <w:szCs w:val="28"/>
          <w:lang w:val="uk-UA"/>
        </w:rPr>
        <w:t xml:space="preserve">збільшення продуктивності праці </w:t>
      </w:r>
      <w:r w:rsidRPr="00BB64C4">
        <w:rPr>
          <w:rFonts w:ascii="Times New Roman" w:hAnsi="Times New Roman" w:cs="Times New Roman"/>
          <w:sz w:val="28"/>
          <w:szCs w:val="28"/>
          <w:lang w:val="uk-UA"/>
        </w:rPr>
        <w:t xml:space="preserve">– на протязі трьох років (2014-2016 роки), продуктивність праці суттєво збільшується. </w:t>
      </w:r>
    </w:p>
    <w:p w:rsidR="00CE0EB7" w:rsidRPr="00BB64C4" w:rsidRDefault="001B14BB" w:rsidP="00CE0EB7">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CE0EB7">
        <w:rPr>
          <w:rFonts w:ascii="Times New Roman" w:hAnsi="Times New Roman" w:cs="Times New Roman"/>
          <w:sz w:val="28"/>
          <w:szCs w:val="28"/>
        </w:rPr>
        <w:t>Підприємство</w:t>
      </w:r>
      <w:r w:rsidR="00CE0EB7" w:rsidRPr="00BB64C4">
        <w:rPr>
          <w:rFonts w:ascii="Times New Roman" w:hAnsi="Times New Roman" w:cs="Times New Roman"/>
          <w:sz w:val="28"/>
          <w:szCs w:val="28"/>
        </w:rPr>
        <w:t xml:space="preserve"> ПАТ «Миргородський завод мінеральних вод» в  цілому кредитоспроможне, тож його на нашу думку, можна віднести до класу Б, так, як дане підприємство має не дуже значні (але все ж таки важливі з точки зору кредитоспроможності), відхилення у:</w:t>
      </w:r>
    </w:p>
    <w:p w:rsidR="00CE0EB7" w:rsidRPr="00BB64C4" w:rsidRDefault="00CE0EB7" w:rsidP="00CE0EB7">
      <w:pPr>
        <w:pStyle w:val="a8"/>
        <w:numPr>
          <w:ilvl w:val="0"/>
          <w:numId w:val="5"/>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i/>
          <w:sz w:val="28"/>
          <w:szCs w:val="28"/>
          <w:lang w:val="uk-UA"/>
        </w:rPr>
        <w:t>коефіцієнті миттєвої ліквідності</w:t>
      </w:r>
      <w:r w:rsidRPr="00BB64C4">
        <w:rPr>
          <w:rFonts w:ascii="Times New Roman" w:hAnsi="Times New Roman" w:cs="Times New Roman"/>
          <w:sz w:val="28"/>
          <w:szCs w:val="28"/>
          <w:lang w:val="uk-UA"/>
        </w:rPr>
        <w:t xml:space="preserve"> (в 2014 та 2015 роках, від'ємні показники – - 0,1 % та - 0,4 %, при нормі більше 0,2 %. В 2016 же році, цей показник становить 0, не дотягнувши лише до норми дві десятих);</w:t>
      </w:r>
    </w:p>
    <w:p w:rsidR="00CE0EB7" w:rsidRPr="00BB64C4" w:rsidRDefault="00CE0EB7" w:rsidP="00CE0EB7">
      <w:pPr>
        <w:pStyle w:val="a8"/>
        <w:numPr>
          <w:ilvl w:val="0"/>
          <w:numId w:val="5"/>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i/>
          <w:sz w:val="28"/>
          <w:szCs w:val="28"/>
          <w:lang w:val="uk-UA"/>
        </w:rPr>
        <w:t>коефіцієнті маневреності власних коштів</w:t>
      </w:r>
      <w:r w:rsidRPr="00BB64C4">
        <w:rPr>
          <w:rFonts w:ascii="Times New Roman" w:hAnsi="Times New Roman" w:cs="Times New Roman"/>
          <w:sz w:val="28"/>
          <w:szCs w:val="28"/>
          <w:lang w:val="uk-UA"/>
        </w:rPr>
        <w:t xml:space="preserve"> (не вистачило всього лише 0,1-0,2 %, до нормального показника – 0,5 %. Особливо це стосується 2015 року. Там він становить 0,4 %);</w:t>
      </w:r>
    </w:p>
    <w:p w:rsidR="00CE0EB7" w:rsidRPr="00BB64C4" w:rsidRDefault="00CE0EB7" w:rsidP="00CE0EB7">
      <w:pPr>
        <w:pStyle w:val="a8"/>
        <w:numPr>
          <w:ilvl w:val="0"/>
          <w:numId w:val="5"/>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i/>
          <w:sz w:val="28"/>
          <w:szCs w:val="28"/>
          <w:lang w:val="uk-UA"/>
        </w:rPr>
        <w:lastRenderedPageBreak/>
        <w:t>рентабельності активів та продажу</w:t>
      </w:r>
      <w:r w:rsidRPr="00BB64C4">
        <w:rPr>
          <w:rFonts w:ascii="Times New Roman" w:hAnsi="Times New Roman" w:cs="Times New Roman"/>
          <w:sz w:val="28"/>
          <w:szCs w:val="28"/>
          <w:lang w:val="uk-UA"/>
        </w:rPr>
        <w:t xml:space="preserve"> (відхилення в даних показниках, стосуються лише 2016 року, тому що  в порівнянні із 2014 та 2015 роками, в 2016 році рентабельність активів та продаж дещо знизилися, про що нам яскраво говорять від’ємні показники порівняння, а саме: - 0,04 % та - 0,05 % по активам; - 0,04 % – продажі).                  </w:t>
      </w:r>
    </w:p>
    <w:p w:rsidR="00CE0EB7" w:rsidRPr="00BB64C4" w:rsidRDefault="00CE0EB7" w:rsidP="00CE0EB7">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Таким чином, вищезазначені відхилення не дають нам змоги, віднести ПАТ «Миргородський завод мінеральних вод» до класу А по кредитоспроможності (так як, для цього класу всі показники, що стосуються кредитоспроможності, повинні бути на протязі трьох аналізованих років, без спадів та в межах зазначених норм, чого не можна сказати про наше підприємство).</w:t>
      </w:r>
    </w:p>
    <w:p w:rsidR="00CE0EB7" w:rsidRPr="00BB64C4" w:rsidRDefault="00CE0EB7" w:rsidP="00CE0EB7">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Проаналізовані фінансово-економічний стан, діяльність та кредитоспроможність </w:t>
      </w:r>
      <w:r w:rsidRPr="00BB64C4">
        <w:rPr>
          <w:rFonts w:ascii="Times New Roman" w:hAnsi="Times New Roman"/>
          <w:sz w:val="28"/>
          <w:szCs w:val="28"/>
        </w:rPr>
        <w:t xml:space="preserve">підприємства  </w:t>
      </w:r>
      <w:r w:rsidRPr="00BB64C4">
        <w:rPr>
          <w:rFonts w:ascii="Times New Roman" w:hAnsi="Times New Roman" w:cs="Times New Roman"/>
          <w:sz w:val="28"/>
          <w:szCs w:val="28"/>
        </w:rPr>
        <w:t>ПАТ «Миргородський завод мінеральних вод», протягом 2014-2016 рр., дають нам підстави підсумувати наступні проблеми даного підприємства:</w:t>
      </w:r>
    </w:p>
    <w:p w:rsidR="00CE0EB7" w:rsidRPr="00BB64C4" w:rsidRDefault="00CE0EB7" w:rsidP="00CE0EB7">
      <w:pPr>
        <w:pStyle w:val="a8"/>
        <w:numPr>
          <w:ilvl w:val="0"/>
          <w:numId w:val="6"/>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зменшення в останньому, 2016 році (протягом аналізованих 2014-2016 рр.) валового та чистого прибутку;</w:t>
      </w:r>
    </w:p>
    <w:p w:rsidR="00CE0EB7" w:rsidRPr="00BB64C4" w:rsidRDefault="00CE0EB7" w:rsidP="00CE0EB7">
      <w:pPr>
        <w:pStyle w:val="a8"/>
        <w:numPr>
          <w:ilvl w:val="0"/>
          <w:numId w:val="6"/>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зниження фондовіддачі до основних фондів на 1 одиницю продукції;</w:t>
      </w:r>
    </w:p>
    <w:p w:rsidR="00CE0EB7" w:rsidRPr="00BB64C4" w:rsidRDefault="00CE0EB7" w:rsidP="00CE0EB7">
      <w:pPr>
        <w:pStyle w:val="a8"/>
        <w:numPr>
          <w:ilvl w:val="0"/>
          <w:numId w:val="6"/>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зменшення операційної рентабельності реалізованої продукції;</w:t>
      </w:r>
    </w:p>
    <w:p w:rsidR="00CE0EB7" w:rsidRPr="00BB64C4" w:rsidRDefault="00CE0EB7" w:rsidP="00CE0EB7">
      <w:pPr>
        <w:pStyle w:val="a8"/>
        <w:numPr>
          <w:ilvl w:val="0"/>
          <w:numId w:val="6"/>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зниження рентабельності витрат</w:t>
      </w:r>
    </w:p>
    <w:p w:rsidR="00CE0EB7" w:rsidRPr="00BB64C4" w:rsidRDefault="00CE0EB7" w:rsidP="00CE0EB7">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З приводу кредитоспроможності ПАТ «Миргородський завод мінеральних вод», то тут проявляються  проблеми у коефіцієнтах миттєвої ліквідності, маневреності власних коштів та рентабельності активів і продажу (останнє стосується тільки 2016 року),   </w:t>
      </w:r>
    </w:p>
    <w:p w:rsidR="00CE0EB7" w:rsidRPr="00BB64C4" w:rsidRDefault="00CE0EB7" w:rsidP="00CE0EB7">
      <w:pPr>
        <w:spacing w:after="0" w:line="360" w:lineRule="auto"/>
        <w:jc w:val="both"/>
        <w:rPr>
          <w:rFonts w:ascii="Times New Roman" w:hAnsi="Times New Roman" w:cs="Times New Roman"/>
          <w:sz w:val="28"/>
          <w:szCs w:val="28"/>
        </w:rPr>
      </w:pPr>
      <w:r w:rsidRPr="00BB64C4">
        <w:rPr>
          <w:rFonts w:ascii="Times New Roman" w:hAnsi="Times New Roman" w:cs="Times New Roman"/>
          <w:sz w:val="28"/>
          <w:szCs w:val="28"/>
        </w:rPr>
        <w:t xml:space="preserve">     На ці  всі вищезазначені проблеми (особливо  на рентабельність по всім показникам) на нашу думку суттєво вплинула зміна головного керівництва ПАТ «Миргородський завод мінеральних вод», яка відбулася наприкінці 2015 року.</w:t>
      </w:r>
    </w:p>
    <w:p w:rsidR="00CE0EB7" w:rsidRPr="00BB64C4" w:rsidRDefault="00CE0EB7" w:rsidP="00CE0EB7">
      <w:pPr>
        <w:spacing w:after="0" w:line="360" w:lineRule="auto"/>
        <w:jc w:val="both"/>
        <w:rPr>
          <w:rFonts w:ascii="Times New Roman" w:hAnsi="Times New Roman" w:cs="Times New Roman"/>
          <w:sz w:val="28"/>
          <w:szCs w:val="28"/>
        </w:rPr>
      </w:pPr>
      <w:r w:rsidRPr="00BB64C4">
        <w:rPr>
          <w:rFonts w:ascii="Times New Roman" w:hAnsi="Times New Roman" w:cs="Times New Roman"/>
          <w:sz w:val="28"/>
          <w:szCs w:val="28"/>
        </w:rPr>
        <w:t xml:space="preserve">     Даний  аспект є дуже важливим в роботі будь-якого підприємства. Тому що, зміна головного керівництва, водночас зумовлює зміну стратегії управління підприємством. Іншими словами, при зміні головного керівництва, водночас </w:t>
      </w:r>
      <w:r w:rsidRPr="00BB64C4">
        <w:rPr>
          <w:rFonts w:ascii="Times New Roman" w:hAnsi="Times New Roman" w:cs="Times New Roman"/>
          <w:sz w:val="28"/>
          <w:szCs w:val="28"/>
        </w:rPr>
        <w:lastRenderedPageBreak/>
        <w:t>змінюється і організаційний менеджмент підприємства. В свою чергу, він включає в себе:</w:t>
      </w:r>
    </w:p>
    <w:p w:rsidR="00CE0EB7" w:rsidRPr="00BB64C4" w:rsidRDefault="00CE0EB7" w:rsidP="00CE0EB7">
      <w:pPr>
        <w:pStyle w:val="a8"/>
        <w:numPr>
          <w:ilvl w:val="0"/>
          <w:numId w:val="7"/>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виробничий менеджмент;</w:t>
      </w:r>
    </w:p>
    <w:p w:rsidR="00CE0EB7" w:rsidRPr="00BB64C4" w:rsidRDefault="00CE0EB7" w:rsidP="00CE0EB7">
      <w:pPr>
        <w:pStyle w:val="a8"/>
        <w:numPr>
          <w:ilvl w:val="0"/>
          <w:numId w:val="7"/>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фінансовий менеджмент;</w:t>
      </w:r>
    </w:p>
    <w:p w:rsidR="00CE0EB7" w:rsidRPr="00BB64C4" w:rsidRDefault="00CE0EB7" w:rsidP="00CE0EB7">
      <w:pPr>
        <w:pStyle w:val="a8"/>
        <w:numPr>
          <w:ilvl w:val="0"/>
          <w:numId w:val="7"/>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інноваційний менеджмент.</w:t>
      </w:r>
    </w:p>
    <w:p w:rsidR="001B14BB" w:rsidRPr="00BB64C4" w:rsidRDefault="001B14BB" w:rsidP="001B14BB">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BB64C4">
        <w:rPr>
          <w:rFonts w:ascii="Times New Roman" w:hAnsi="Times New Roman" w:cs="Times New Roman"/>
          <w:sz w:val="28"/>
          <w:szCs w:val="28"/>
        </w:rPr>
        <w:t>Відтак, керівництво і вибрана ним стратегія управління та її втілення, є по суті фундаментом не  тільки для діяльності будь-якого підприємства, але і для отримання ним прибутку. Адже саме від керівника та його управлінських рішень і дій, залежить чи буде його підприємство прибутковим, або ж навпаки – зазнає серйозного збитку, що призведе до закриття виробничої установи.</w:t>
      </w:r>
    </w:p>
    <w:p w:rsidR="001B14BB" w:rsidRPr="00BB64C4" w:rsidRDefault="001B14BB" w:rsidP="001B14BB">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BB64C4">
        <w:rPr>
          <w:rFonts w:ascii="Times New Roman" w:hAnsi="Times New Roman" w:cs="Times New Roman"/>
          <w:sz w:val="28"/>
          <w:szCs w:val="28"/>
        </w:rPr>
        <w:t>На основі даних проблем підприємства ПАТ «Миргородський завод мінеральних вод», протягом 2014-2016 рр., хочемо дати рекомендації щодо оптимізації діяльності та розвитку даного підприємства в подальшому.</w:t>
      </w:r>
    </w:p>
    <w:p w:rsidR="001B14BB" w:rsidRPr="00BB64C4" w:rsidRDefault="001B14BB" w:rsidP="001B14BB">
      <w:pPr>
        <w:spacing w:after="0" w:line="360" w:lineRule="auto"/>
        <w:jc w:val="both"/>
        <w:rPr>
          <w:rFonts w:ascii="Times New Roman" w:hAnsi="Times New Roman" w:cs="Times New Roman"/>
          <w:sz w:val="28"/>
          <w:szCs w:val="28"/>
        </w:rPr>
      </w:pPr>
      <w:r w:rsidRPr="00BB64C4">
        <w:rPr>
          <w:rFonts w:ascii="Times New Roman" w:hAnsi="Times New Roman" w:cs="Times New Roman"/>
          <w:sz w:val="28"/>
          <w:szCs w:val="28"/>
        </w:rPr>
        <w:t xml:space="preserve">     Підприємство має впровадити наступне:</w:t>
      </w:r>
    </w:p>
    <w:p w:rsidR="001B14BB" w:rsidRPr="00BB64C4" w:rsidRDefault="001B14BB" w:rsidP="001B14BB">
      <w:pPr>
        <w:pStyle w:val="a8"/>
        <w:numPr>
          <w:ilvl w:val="0"/>
          <w:numId w:val="8"/>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 xml:space="preserve">набір фінансово-економічних, організаційних та методичних компонентів, основними з яких є стратегія підприємства, орієнтована на перспективні потреби клієнта; </w:t>
      </w:r>
    </w:p>
    <w:p w:rsidR="001B14BB" w:rsidRPr="00BB64C4" w:rsidRDefault="001B14BB" w:rsidP="001B14BB">
      <w:pPr>
        <w:pStyle w:val="a8"/>
        <w:numPr>
          <w:ilvl w:val="0"/>
          <w:numId w:val="8"/>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оновлений набір фінансово-економічних інструментів, який в свою чергу, дасть змогу  знизити витрати, збільшити прибуток, ефективно використовувати матеріальні ресурси тим самим,  зменшуючи час прийняття рішень;</w:t>
      </w:r>
    </w:p>
    <w:p w:rsidR="001B14BB" w:rsidRPr="00BB64C4" w:rsidRDefault="001B14BB" w:rsidP="001B14BB">
      <w:pPr>
        <w:pStyle w:val="a8"/>
        <w:numPr>
          <w:ilvl w:val="0"/>
          <w:numId w:val="8"/>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нову організаційну структуру управління, що дасть змогу ефективно використовувати трудові ресурси тим самим покращити якість кінцевого результату реалізованої продукції;</w:t>
      </w:r>
    </w:p>
    <w:p w:rsidR="001B14BB" w:rsidRPr="00BB64C4" w:rsidRDefault="001B14BB" w:rsidP="001B14BB">
      <w:pPr>
        <w:pStyle w:val="a8"/>
        <w:numPr>
          <w:ilvl w:val="0"/>
          <w:numId w:val="8"/>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нові умови праці персоналу та тим самим покращити якість кінцевого результату реалізованої продукції.</w:t>
      </w:r>
    </w:p>
    <w:p w:rsidR="001B14BB" w:rsidRDefault="001B14BB" w:rsidP="001B14BB">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Якщо дотримуватися всіх запропонованих рекомендацій, то прогнозування в подальшій діяльності ПАТ «Миргородський завод мінеральних вод», виглядатиме наступним чином:  розвиток  підприємства по даним рекомендаціям, повинен сприяти збільшенню обсягів продажу, а також </w:t>
      </w:r>
      <w:r w:rsidRPr="00BB64C4">
        <w:rPr>
          <w:rFonts w:ascii="Times New Roman" w:hAnsi="Times New Roman" w:cs="Times New Roman"/>
          <w:sz w:val="28"/>
          <w:szCs w:val="28"/>
        </w:rPr>
        <w:lastRenderedPageBreak/>
        <w:t>керівництва трудовим колективом. Збільшення обсягів продажу передує збільшенням обсягу виробництва, що передбачає збільшення попиту, а тим самим і збільшення прибутку підприємства.</w:t>
      </w:r>
    </w:p>
    <w:p w:rsidR="001B14BB" w:rsidRDefault="001B14BB" w:rsidP="001B14BB">
      <w:pPr>
        <w:spacing w:after="0" w:line="360" w:lineRule="auto"/>
        <w:contextualSpacing/>
        <w:jc w:val="both"/>
        <w:rPr>
          <w:rFonts w:ascii="Times New Roman" w:hAnsi="Times New Roman" w:cs="Times New Roman"/>
          <w:sz w:val="28"/>
          <w:szCs w:val="28"/>
        </w:rPr>
      </w:pPr>
    </w:p>
    <w:p w:rsidR="001B14BB" w:rsidRDefault="001B14BB" w:rsidP="001B14BB">
      <w:pPr>
        <w:spacing w:after="0" w:line="360" w:lineRule="auto"/>
        <w:contextualSpacing/>
        <w:jc w:val="both"/>
        <w:rPr>
          <w:rFonts w:ascii="Times New Roman" w:hAnsi="Times New Roman" w:cs="Times New Roman"/>
          <w:sz w:val="28"/>
          <w:szCs w:val="28"/>
        </w:rPr>
      </w:pPr>
    </w:p>
    <w:p w:rsidR="001B14BB" w:rsidRPr="001B14BB" w:rsidRDefault="001B14BB" w:rsidP="001B14BB">
      <w:pPr>
        <w:spacing w:after="0" w:line="360" w:lineRule="auto"/>
        <w:contextualSpacing/>
        <w:jc w:val="center"/>
        <w:rPr>
          <w:rFonts w:ascii="Times New Roman" w:hAnsi="Times New Roman" w:cs="Times New Roman"/>
          <w:sz w:val="32"/>
          <w:szCs w:val="32"/>
        </w:rPr>
      </w:pPr>
      <w:r w:rsidRPr="001B14BB">
        <w:rPr>
          <w:rFonts w:ascii="Times New Roman" w:hAnsi="Times New Roman" w:cs="Times New Roman"/>
          <w:sz w:val="32"/>
          <w:szCs w:val="32"/>
        </w:rPr>
        <w:t>Дякуємо за увагу!</w:t>
      </w:r>
    </w:p>
    <w:p w:rsidR="00F36655" w:rsidRPr="006B2E23" w:rsidRDefault="00F36655" w:rsidP="00F36655">
      <w:pPr>
        <w:spacing w:line="360" w:lineRule="auto"/>
        <w:contextualSpacing/>
        <w:jc w:val="both"/>
        <w:rPr>
          <w:rFonts w:ascii="Times New Roman" w:hAnsi="Times New Roman" w:cs="Times New Roman"/>
          <w:sz w:val="28"/>
          <w:szCs w:val="28"/>
        </w:rPr>
      </w:pPr>
    </w:p>
    <w:sectPr w:rsidR="00F36655" w:rsidRPr="006B2E23" w:rsidSect="00742081">
      <w:headerReference w:type="default" r:id="rId7"/>
      <w:pgSz w:w="11906" w:h="16838"/>
      <w:pgMar w:top="850" w:right="850" w:bottom="850" w:left="1417"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70FB" w:rsidRDefault="007170FB" w:rsidP="00742081">
      <w:pPr>
        <w:spacing w:after="0" w:line="240" w:lineRule="auto"/>
      </w:pPr>
      <w:r>
        <w:separator/>
      </w:r>
    </w:p>
  </w:endnote>
  <w:endnote w:type="continuationSeparator" w:id="1">
    <w:p w:rsidR="007170FB" w:rsidRDefault="007170FB" w:rsidP="007420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70FB" w:rsidRDefault="007170FB" w:rsidP="00742081">
      <w:pPr>
        <w:spacing w:after="0" w:line="240" w:lineRule="auto"/>
      </w:pPr>
      <w:r>
        <w:separator/>
      </w:r>
    </w:p>
  </w:footnote>
  <w:footnote w:type="continuationSeparator" w:id="1">
    <w:p w:rsidR="007170FB" w:rsidRDefault="007170FB" w:rsidP="0074208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82335"/>
      <w:docPartObj>
        <w:docPartGallery w:val="Page Numbers (Top of Page)"/>
        <w:docPartUnique/>
      </w:docPartObj>
    </w:sdtPr>
    <w:sdtContent>
      <w:p w:rsidR="00742081" w:rsidRDefault="004168C4">
        <w:pPr>
          <w:pStyle w:val="a3"/>
          <w:jc w:val="right"/>
        </w:pPr>
        <w:fldSimple w:instr=" PAGE   \* MERGEFORMAT ">
          <w:r w:rsidR="00541D46">
            <w:rPr>
              <w:noProof/>
            </w:rPr>
            <w:t>3</w:t>
          </w:r>
        </w:fldSimple>
      </w:p>
    </w:sdtContent>
  </w:sdt>
  <w:p w:rsidR="00742081" w:rsidRDefault="0074208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52FF7"/>
    <w:multiLevelType w:val="hybridMultilevel"/>
    <w:tmpl w:val="C4741C1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4CE117D2"/>
    <w:multiLevelType w:val="hybridMultilevel"/>
    <w:tmpl w:val="C186D74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51CF32D0"/>
    <w:multiLevelType w:val="hybridMultilevel"/>
    <w:tmpl w:val="91B6961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617C236E"/>
    <w:multiLevelType w:val="hybridMultilevel"/>
    <w:tmpl w:val="EC9470F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6E2B423F"/>
    <w:multiLevelType w:val="hybridMultilevel"/>
    <w:tmpl w:val="62AA93A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6E5913EA"/>
    <w:multiLevelType w:val="hybridMultilevel"/>
    <w:tmpl w:val="48DEE4A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6EED58AD"/>
    <w:multiLevelType w:val="hybridMultilevel"/>
    <w:tmpl w:val="54B63D5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7BD03D3F"/>
    <w:multiLevelType w:val="hybridMultilevel"/>
    <w:tmpl w:val="C130F57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2"/>
  </w:num>
  <w:num w:numId="5">
    <w:abstractNumId w:val="7"/>
  </w:num>
  <w:num w:numId="6">
    <w:abstractNumId w:val="1"/>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742081"/>
    <w:rsid w:val="0002125C"/>
    <w:rsid w:val="000B2551"/>
    <w:rsid w:val="001B14BB"/>
    <w:rsid w:val="004168C4"/>
    <w:rsid w:val="004171C1"/>
    <w:rsid w:val="00541D46"/>
    <w:rsid w:val="006B2E23"/>
    <w:rsid w:val="007170FB"/>
    <w:rsid w:val="00742081"/>
    <w:rsid w:val="00774BA0"/>
    <w:rsid w:val="00BE7E14"/>
    <w:rsid w:val="00CE0EB7"/>
    <w:rsid w:val="00F36655"/>
    <w:rsid w:val="00F9315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B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2081"/>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742081"/>
  </w:style>
  <w:style w:type="paragraph" w:styleId="a5">
    <w:name w:val="footer"/>
    <w:basedOn w:val="a"/>
    <w:link w:val="a6"/>
    <w:uiPriority w:val="99"/>
    <w:semiHidden/>
    <w:unhideWhenUsed/>
    <w:rsid w:val="00742081"/>
    <w:pPr>
      <w:tabs>
        <w:tab w:val="center" w:pos="4819"/>
        <w:tab w:val="right" w:pos="9639"/>
      </w:tabs>
      <w:spacing w:after="0" w:line="240" w:lineRule="auto"/>
    </w:pPr>
  </w:style>
  <w:style w:type="character" w:customStyle="1" w:styleId="a6">
    <w:name w:val="Нижний колонтитул Знак"/>
    <w:basedOn w:val="a0"/>
    <w:link w:val="a5"/>
    <w:uiPriority w:val="99"/>
    <w:semiHidden/>
    <w:rsid w:val="00742081"/>
  </w:style>
  <w:style w:type="paragraph" w:styleId="a7">
    <w:name w:val="Normal (Web)"/>
    <w:basedOn w:val="a"/>
    <w:uiPriority w:val="99"/>
    <w:unhideWhenUsed/>
    <w:qFormat/>
    <w:rsid w:val="00CE0EB7"/>
    <w:pPr>
      <w:spacing w:beforeAutospacing="1" w:after="160" w:afterAutospacing="1" w:line="240" w:lineRule="auto"/>
    </w:pPr>
    <w:rPr>
      <w:rFonts w:ascii="Times New Roman" w:eastAsia="Times New Roman" w:hAnsi="Times New Roman" w:cs="Times New Roman"/>
      <w:sz w:val="24"/>
      <w:szCs w:val="24"/>
      <w:lang w:val="ru-RU" w:eastAsia="ru-RU"/>
    </w:rPr>
  </w:style>
  <w:style w:type="paragraph" w:styleId="a8">
    <w:name w:val="List Paragraph"/>
    <w:basedOn w:val="a"/>
    <w:uiPriority w:val="34"/>
    <w:qFormat/>
    <w:rsid w:val="00CE0EB7"/>
    <w:pPr>
      <w:spacing w:after="160" w:line="259" w:lineRule="auto"/>
      <w:ind w:left="720"/>
      <w:contextualSpacing/>
    </w:pPr>
    <w:rPr>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7</Pages>
  <Words>5963</Words>
  <Characters>3400</Characters>
  <Application>Microsoft Office Word</Application>
  <DocSecurity>0</DocSecurity>
  <Lines>28</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7</cp:revision>
  <dcterms:created xsi:type="dcterms:W3CDTF">2018-05-09T04:52:00Z</dcterms:created>
  <dcterms:modified xsi:type="dcterms:W3CDTF">2018-05-10T05:59:00Z</dcterms:modified>
</cp:coreProperties>
</file>