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5118"/>
        <w:gridCol w:w="4282"/>
      </w:tblGrid>
      <w:tr w:rsidR="00A36572" w14:paraId="3199CD61" w14:textId="77777777" w:rsidTr="00235CF6">
        <w:trPr>
          <w:trHeight w:val="351"/>
        </w:trPr>
        <w:tc>
          <w:tcPr>
            <w:tcW w:w="5118" w:type="dxa"/>
          </w:tcPr>
          <w:p w14:paraId="36AFE1E8" w14:textId="77777777" w:rsidR="00A36572" w:rsidRPr="00A36572" w:rsidRDefault="00A36572">
            <w:pPr>
              <w:rPr>
                <w:lang w:val="uk-UA"/>
              </w:rPr>
            </w:pPr>
            <w:r>
              <w:rPr>
                <w:lang w:val="uk-UA"/>
              </w:rPr>
              <w:t>ИСХОДНИК</w:t>
            </w:r>
          </w:p>
        </w:tc>
        <w:tc>
          <w:tcPr>
            <w:tcW w:w="4282" w:type="dxa"/>
          </w:tcPr>
          <w:p w14:paraId="147A4445" w14:textId="77777777" w:rsidR="00A36572" w:rsidRPr="00A36572" w:rsidRDefault="00A36572">
            <w:pPr>
              <w:rPr>
                <w:lang w:val="uk-UA"/>
              </w:rPr>
            </w:pPr>
            <w:r>
              <w:rPr>
                <w:lang w:val="uk-UA"/>
              </w:rPr>
              <w:t>ПЕРЕВОД</w:t>
            </w:r>
          </w:p>
        </w:tc>
      </w:tr>
      <w:tr w:rsidR="00A36572" w:rsidRPr="00277901" w14:paraId="21270CA2" w14:textId="77777777" w:rsidTr="00235CF6">
        <w:trPr>
          <w:trHeight w:val="13685"/>
        </w:trPr>
        <w:tc>
          <w:tcPr>
            <w:tcW w:w="5118" w:type="dxa"/>
          </w:tcPr>
          <w:p w14:paraId="7468D28F" w14:textId="77777777" w:rsidR="00A36572" w:rsidRPr="00171A2B" w:rsidRDefault="00A36572" w:rsidP="00171A2B">
            <w:pPr>
              <w:shd w:val="clear" w:color="auto" w:fill="FFFFFF"/>
              <w:ind w:right="175"/>
              <w:jc w:val="both"/>
              <w:rPr>
                <w:lang w:val="en-US"/>
              </w:rPr>
            </w:pPr>
            <w:r w:rsidRPr="00171A2B">
              <w:rPr>
                <w:b/>
                <w:bCs/>
                <w:color w:val="000000"/>
                <w:lang w:val="en-US"/>
              </w:rPr>
              <w:t>3 PHOTO STABILITY STUDY</w:t>
            </w:r>
          </w:p>
          <w:p w14:paraId="7462AD5C" w14:textId="77777777" w:rsidR="00A36572" w:rsidRPr="00171A2B" w:rsidRDefault="00A36572" w:rsidP="00171A2B">
            <w:pPr>
              <w:shd w:val="clear" w:color="auto" w:fill="FFFFFF"/>
              <w:spacing w:line="274" w:lineRule="exact"/>
              <w:ind w:right="175"/>
              <w:jc w:val="both"/>
              <w:rPr>
                <w:lang w:val="en-US"/>
              </w:rPr>
            </w:pPr>
            <w:r w:rsidRPr="00171A2B">
              <w:rPr>
                <w:color w:val="000000"/>
                <w:lang w:val="en-US"/>
              </w:rPr>
              <w:t>Photo stability testing was carried out on a single batch (lot 0804765, 85.60 mg/mL) of solvent for solution for injection, in its primary container (directly exposed) and in the secondary pack, according to ICH Q1B “</w:t>
            </w:r>
            <w:proofErr w:type="spellStart"/>
            <w:r w:rsidRPr="00171A2B">
              <w:rPr>
                <w:color w:val="000000"/>
                <w:lang w:val="en-US"/>
              </w:rPr>
              <w:t>Photostability</w:t>
            </w:r>
            <w:proofErr w:type="spellEnd"/>
            <w:r w:rsidRPr="00171A2B">
              <w:rPr>
                <w:color w:val="000000"/>
                <w:lang w:val="en-US"/>
              </w:rPr>
              <w:t xml:space="preserve"> Testing of New Drug Substances and Products”. The purpose of the study was to evaluate the sensitivity of Ademetionine 500 mg Solvent for Parenteral Use to light exposure. Protected samples (wrapped in aluminum foil) were co-incubated as a dark control. Samples were loaded and placed horizontally with respect to the </w:t>
            </w:r>
            <w:r w:rsidRPr="00171A2B">
              <w:rPr>
                <w:color w:val="000000"/>
                <w:spacing w:val="-1"/>
                <w:lang w:val="en-US"/>
              </w:rPr>
              <w:t xml:space="preserve">light source, to provide the most uniform light exposure. Irradiation was performed in the visible </w:t>
            </w:r>
            <w:r w:rsidRPr="00171A2B">
              <w:rPr>
                <w:color w:val="000000"/>
                <w:lang w:val="en-US"/>
              </w:rPr>
              <w:t xml:space="preserve">wavelength range at not less than 1.2 million lux hours and in the near UV wavelength range at </w:t>
            </w:r>
            <w:r w:rsidRPr="00171A2B">
              <w:rPr>
                <w:color w:val="000000"/>
                <w:spacing w:val="-1"/>
                <w:lang w:val="en-US"/>
              </w:rPr>
              <w:t xml:space="preserve">not less than </w:t>
            </w:r>
            <w:proofErr w:type="spellStart"/>
            <w:r w:rsidRPr="00171A2B">
              <w:rPr>
                <w:color w:val="000000"/>
                <w:spacing w:val="-1"/>
                <w:lang w:val="en-US"/>
              </w:rPr>
              <w:t>than</w:t>
            </w:r>
            <w:proofErr w:type="spellEnd"/>
            <w:r w:rsidRPr="00171A2B">
              <w:rPr>
                <w:color w:val="000000"/>
                <w:spacing w:val="-1"/>
                <w:lang w:val="en-US"/>
              </w:rPr>
              <w:t xml:space="preserve"> 200 W/m</w:t>
            </w:r>
            <w:r w:rsidRPr="00171A2B">
              <w:rPr>
                <w:color w:val="000000"/>
                <w:spacing w:val="-1"/>
                <w:vertAlign w:val="superscript"/>
                <w:lang w:val="en-US"/>
              </w:rPr>
              <w:t>2</w:t>
            </w:r>
            <w:r w:rsidRPr="00171A2B">
              <w:rPr>
                <w:color w:val="000000"/>
                <w:spacing w:val="-1"/>
                <w:lang w:val="en-US"/>
              </w:rPr>
              <w:t xml:space="preserve">. At the end of the exposure period, the samples were examined for </w:t>
            </w:r>
            <w:r w:rsidRPr="00171A2B">
              <w:rPr>
                <w:color w:val="000000"/>
                <w:lang w:val="en-US"/>
              </w:rPr>
              <w:t>any changes in appearance, pH and for assay.</w:t>
            </w:r>
          </w:p>
          <w:p w14:paraId="08A1948B" w14:textId="77777777" w:rsidR="00A36572" w:rsidRPr="00171A2B" w:rsidRDefault="00A36572" w:rsidP="00171A2B">
            <w:pPr>
              <w:ind w:right="175"/>
              <w:jc w:val="both"/>
              <w:rPr>
                <w:color w:val="000000"/>
                <w:lang w:val="uk-UA"/>
              </w:rPr>
            </w:pPr>
            <w:r w:rsidRPr="00171A2B">
              <w:rPr>
                <w:color w:val="000000"/>
                <w:lang w:val="en-US"/>
              </w:rPr>
              <w:t xml:space="preserve">After exposure to light, no differences between the dark control samples, directly exposed </w:t>
            </w:r>
            <w:r w:rsidRPr="00171A2B">
              <w:rPr>
                <w:color w:val="000000"/>
                <w:spacing w:val="-1"/>
                <w:lang w:val="en-US"/>
              </w:rPr>
              <w:t xml:space="preserve">samples and secondary packed samples </w:t>
            </w:r>
            <w:r w:rsidRPr="00171A2B">
              <w:rPr>
                <w:spacing w:val="-1"/>
                <w:lang w:val="en-US"/>
              </w:rPr>
              <w:t>were observed (see</w:t>
            </w:r>
            <w:hyperlink w:anchor="bookmark3" w:history="1">
              <w:r w:rsidRPr="00171A2B">
                <w:rPr>
                  <w:spacing w:val="-1"/>
                  <w:lang w:val="en-US"/>
                </w:rPr>
                <w:t xml:space="preserve"> Table 1)</w:t>
              </w:r>
            </w:hyperlink>
            <w:r w:rsidRPr="00171A2B">
              <w:rPr>
                <w:spacing w:val="-1"/>
                <w:lang w:val="en-US"/>
              </w:rPr>
              <w:t>, showing that the</w:t>
            </w:r>
            <w:r w:rsidRPr="00171A2B">
              <w:rPr>
                <w:color w:val="000000"/>
                <w:spacing w:val="-1"/>
                <w:lang w:val="en-US"/>
              </w:rPr>
              <w:t xml:space="preserve"> solvent is </w:t>
            </w:r>
            <w:r w:rsidRPr="00171A2B">
              <w:rPr>
                <w:color w:val="000000"/>
                <w:lang w:val="en-US"/>
              </w:rPr>
              <w:t>not sensitive to light.</w:t>
            </w:r>
          </w:p>
          <w:p w14:paraId="39CC3E30" w14:textId="77777777" w:rsidR="00A36572" w:rsidRPr="00171A2B" w:rsidRDefault="00A36572" w:rsidP="00171A2B">
            <w:pPr>
              <w:shd w:val="clear" w:color="auto" w:fill="FFFFFF"/>
              <w:spacing w:before="120"/>
              <w:ind w:right="175"/>
              <w:jc w:val="both"/>
              <w:rPr>
                <w:lang w:val="en-US"/>
              </w:rPr>
            </w:pPr>
            <w:r w:rsidRPr="00171A2B">
              <w:rPr>
                <w:b/>
                <w:bCs/>
                <w:color w:val="000000"/>
                <w:lang w:val="en-US"/>
              </w:rPr>
              <w:t xml:space="preserve">1.1 </w:t>
            </w:r>
            <w:proofErr w:type="spellStart"/>
            <w:r w:rsidRPr="00171A2B">
              <w:rPr>
                <w:b/>
                <w:bCs/>
                <w:color w:val="000000"/>
                <w:lang w:val="en-US"/>
              </w:rPr>
              <w:t>Depyrogenation</w:t>
            </w:r>
            <w:proofErr w:type="spellEnd"/>
            <w:r w:rsidRPr="00171A2B">
              <w:rPr>
                <w:b/>
                <w:bCs/>
                <w:color w:val="000000"/>
                <w:lang w:val="en-US"/>
              </w:rPr>
              <w:t xml:space="preserve"> of ampoules</w:t>
            </w:r>
          </w:p>
          <w:p w14:paraId="6B7A78EC" w14:textId="77777777" w:rsidR="00A36572" w:rsidRPr="00171A2B" w:rsidRDefault="00A36572" w:rsidP="00171A2B">
            <w:pPr>
              <w:shd w:val="clear" w:color="auto" w:fill="FFFFFF"/>
              <w:spacing w:before="120" w:line="274" w:lineRule="exact"/>
              <w:ind w:right="175"/>
              <w:jc w:val="both"/>
              <w:rPr>
                <w:lang w:val="en-US"/>
              </w:rPr>
            </w:pPr>
            <w:r w:rsidRPr="00171A2B">
              <w:rPr>
                <w:color w:val="000000"/>
                <w:lang w:val="en-US"/>
              </w:rPr>
              <w:t xml:space="preserve">The glass ampoules for Ademetionine 500 mg solvent for parenteral use are washed and </w:t>
            </w:r>
            <w:proofErr w:type="spellStart"/>
            <w:r w:rsidRPr="00171A2B">
              <w:rPr>
                <w:color w:val="000000"/>
                <w:spacing w:val="-1"/>
                <w:lang w:val="en-US"/>
              </w:rPr>
              <w:t>depyrogenated</w:t>
            </w:r>
            <w:proofErr w:type="spellEnd"/>
            <w:r w:rsidRPr="00171A2B">
              <w:rPr>
                <w:color w:val="000000"/>
                <w:spacing w:val="-1"/>
                <w:lang w:val="en-US"/>
              </w:rPr>
              <w:t xml:space="preserve"> and then transferred to the filling machine. The </w:t>
            </w:r>
            <w:proofErr w:type="spellStart"/>
            <w:r w:rsidRPr="00171A2B">
              <w:rPr>
                <w:color w:val="000000"/>
                <w:spacing w:val="-1"/>
                <w:lang w:val="en-US"/>
              </w:rPr>
              <w:t>depyrogenation</w:t>
            </w:r>
            <w:proofErr w:type="spellEnd"/>
            <w:r w:rsidRPr="00171A2B">
              <w:rPr>
                <w:color w:val="000000"/>
                <w:spacing w:val="-1"/>
                <w:lang w:val="en-US"/>
              </w:rPr>
              <w:t xml:space="preserve"> conditions and </w:t>
            </w:r>
            <w:r w:rsidRPr="00171A2B">
              <w:rPr>
                <w:color w:val="000000"/>
                <w:lang w:val="en-US"/>
              </w:rPr>
              <w:t>validations thereof are in agreement with the Ph. Eur.</w:t>
            </w:r>
          </w:p>
          <w:p w14:paraId="547DEC7F" w14:textId="77777777" w:rsidR="00A36572" w:rsidRPr="00171A2B" w:rsidRDefault="00A36572" w:rsidP="00171A2B">
            <w:pPr>
              <w:shd w:val="clear" w:color="auto" w:fill="FFFFFF"/>
              <w:spacing w:before="120" w:line="274" w:lineRule="exact"/>
              <w:ind w:right="175"/>
              <w:jc w:val="both"/>
              <w:rPr>
                <w:lang w:val="en-US"/>
              </w:rPr>
            </w:pPr>
            <w:r w:rsidRPr="00171A2B">
              <w:rPr>
                <w:color w:val="000000"/>
                <w:lang w:val="en-US"/>
              </w:rPr>
              <w:t xml:space="preserve">The </w:t>
            </w:r>
            <w:proofErr w:type="spellStart"/>
            <w:r w:rsidRPr="00171A2B">
              <w:rPr>
                <w:color w:val="000000"/>
                <w:lang w:val="en-US"/>
              </w:rPr>
              <w:t>depyrogenation</w:t>
            </w:r>
            <w:proofErr w:type="spellEnd"/>
            <w:r w:rsidRPr="00171A2B">
              <w:rPr>
                <w:color w:val="000000"/>
                <w:lang w:val="en-US"/>
              </w:rPr>
              <w:t xml:space="preserve"> of the glass ampoules is performed in a dry heat tunnel, at a minimum temperature of 300°C with a belt speed providing exposure in the heating zone to meet a </w:t>
            </w:r>
            <w:r w:rsidRPr="00171A2B">
              <w:rPr>
                <w:color w:val="000000"/>
                <w:spacing w:val="-2"/>
                <w:lang w:val="en-US"/>
              </w:rPr>
              <w:t>minimum of 8 minutes. The tunnel is separated into four zones. The 1</w:t>
            </w:r>
            <w:r w:rsidRPr="00171A2B">
              <w:rPr>
                <w:color w:val="000000"/>
                <w:spacing w:val="-2"/>
                <w:vertAlign w:val="superscript"/>
                <w:lang w:val="en-US"/>
              </w:rPr>
              <w:t>st</w:t>
            </w:r>
            <w:r w:rsidRPr="00171A2B">
              <w:rPr>
                <w:color w:val="000000"/>
                <w:spacing w:val="-2"/>
                <w:lang w:val="en-US"/>
              </w:rPr>
              <w:t xml:space="preserve"> zone is the in-feed of the ampoules, the 2</w:t>
            </w:r>
            <w:r w:rsidRPr="00171A2B">
              <w:rPr>
                <w:color w:val="000000"/>
                <w:spacing w:val="-2"/>
                <w:vertAlign w:val="superscript"/>
                <w:lang w:val="en-US"/>
              </w:rPr>
              <w:t>nd</w:t>
            </w:r>
            <w:r w:rsidRPr="00171A2B">
              <w:rPr>
                <w:color w:val="000000"/>
                <w:spacing w:val="-2"/>
                <w:lang w:val="en-US"/>
              </w:rPr>
              <w:t xml:space="preserve"> and 3</w:t>
            </w:r>
            <w:r w:rsidRPr="00171A2B">
              <w:rPr>
                <w:color w:val="000000"/>
                <w:spacing w:val="-2"/>
                <w:vertAlign w:val="superscript"/>
                <w:lang w:val="en-US"/>
              </w:rPr>
              <w:t>rd</w:t>
            </w:r>
            <w:r w:rsidRPr="00171A2B">
              <w:rPr>
                <w:color w:val="000000"/>
                <w:spacing w:val="-2"/>
                <w:lang w:val="en-US"/>
              </w:rPr>
              <w:t xml:space="preserve"> are the sterilization zones and the last one is the cooling zone.</w:t>
            </w:r>
          </w:p>
          <w:p w14:paraId="7DE69A3A" w14:textId="77777777" w:rsidR="00A36572" w:rsidRPr="00A36572" w:rsidRDefault="00A36572" w:rsidP="00A36572">
            <w:pPr>
              <w:rPr>
                <w:lang w:val="uk-UA"/>
              </w:rPr>
            </w:pPr>
          </w:p>
        </w:tc>
        <w:tc>
          <w:tcPr>
            <w:tcW w:w="4282" w:type="dxa"/>
          </w:tcPr>
          <w:p w14:paraId="12B797F6" w14:textId="77777777" w:rsidR="00A36572" w:rsidRDefault="00277901" w:rsidP="00C62359">
            <w:pPr>
              <w:jc w:val="both"/>
              <w:rPr>
                <w:lang w:val="uk-UA"/>
              </w:rPr>
            </w:pPr>
            <w:r>
              <w:rPr>
                <w:lang w:val="uk-UA"/>
              </w:rPr>
              <w:t xml:space="preserve">3 Дослідження </w:t>
            </w:r>
            <w:proofErr w:type="spellStart"/>
            <w:r>
              <w:rPr>
                <w:lang w:val="uk-UA"/>
              </w:rPr>
              <w:t>фотостабільності</w:t>
            </w:r>
            <w:proofErr w:type="spellEnd"/>
          </w:p>
          <w:p w14:paraId="284D79A2" w14:textId="42E78BE4" w:rsidR="00683EA2" w:rsidRDefault="00124BB8" w:rsidP="00C62359">
            <w:pPr>
              <w:jc w:val="both"/>
              <w:rPr>
                <w:lang w:val="uk-UA"/>
              </w:rPr>
            </w:pPr>
            <w:r>
              <w:rPr>
                <w:lang w:val="uk-UA"/>
              </w:rPr>
              <w:t xml:space="preserve">Тестування </w:t>
            </w:r>
            <w:proofErr w:type="spellStart"/>
            <w:r>
              <w:rPr>
                <w:lang w:val="uk-UA"/>
              </w:rPr>
              <w:t>фотостабільності</w:t>
            </w:r>
            <w:proofErr w:type="spellEnd"/>
            <w:r w:rsidR="00277901">
              <w:rPr>
                <w:lang w:val="uk-UA"/>
              </w:rPr>
              <w:t xml:space="preserve"> було проведено </w:t>
            </w:r>
            <w:r w:rsidR="00D12336">
              <w:rPr>
                <w:lang w:val="uk-UA"/>
              </w:rPr>
              <w:t>в одній серії</w:t>
            </w:r>
            <w:r w:rsidR="00277901" w:rsidRPr="00277901">
              <w:rPr>
                <w:lang w:val="uk-UA"/>
              </w:rPr>
              <w:t xml:space="preserve"> (партія 080476</w:t>
            </w:r>
            <w:r w:rsidR="00C62359">
              <w:rPr>
                <w:lang w:val="uk-UA"/>
              </w:rPr>
              <w:t xml:space="preserve">5, 85,60 мг / мл) розчинника для </w:t>
            </w:r>
            <w:r w:rsidR="00277901" w:rsidRPr="00277901">
              <w:rPr>
                <w:lang w:val="uk-UA"/>
              </w:rPr>
              <w:t>розчину для ін'єкцій, у його первинн</w:t>
            </w:r>
            <w:r w:rsidR="00A53A1D">
              <w:rPr>
                <w:lang w:val="uk-UA"/>
              </w:rPr>
              <w:t xml:space="preserve">ій упаковці </w:t>
            </w:r>
            <w:r w:rsidR="00277901" w:rsidRPr="00277901">
              <w:rPr>
                <w:lang w:val="uk-UA"/>
              </w:rPr>
              <w:t>(</w:t>
            </w:r>
            <w:r w:rsidR="00277901">
              <w:rPr>
                <w:lang w:val="uk-UA"/>
              </w:rPr>
              <w:t xml:space="preserve">при </w:t>
            </w:r>
            <w:r w:rsidR="00277901" w:rsidRPr="00277901">
              <w:rPr>
                <w:lang w:val="uk-UA"/>
              </w:rPr>
              <w:t>безпосередньо</w:t>
            </w:r>
            <w:r w:rsidR="00277901">
              <w:rPr>
                <w:lang w:val="uk-UA"/>
              </w:rPr>
              <w:t>му</w:t>
            </w:r>
            <w:r w:rsidR="00277901" w:rsidRPr="00277901">
              <w:rPr>
                <w:lang w:val="uk-UA"/>
              </w:rPr>
              <w:t xml:space="preserve"> </w:t>
            </w:r>
            <w:r w:rsidR="00277901">
              <w:rPr>
                <w:lang w:val="uk-UA"/>
              </w:rPr>
              <w:t>впливі)</w:t>
            </w:r>
            <w:r w:rsidR="00277901" w:rsidRPr="00277901">
              <w:rPr>
                <w:lang w:val="uk-UA"/>
              </w:rPr>
              <w:t xml:space="preserve"> та у вторинній упаковці, згідно ICH Q1B "Тестування </w:t>
            </w:r>
            <w:proofErr w:type="spellStart"/>
            <w:r w:rsidR="00277901" w:rsidRPr="00277901">
              <w:rPr>
                <w:lang w:val="uk-UA"/>
              </w:rPr>
              <w:t>фотостабільності</w:t>
            </w:r>
            <w:proofErr w:type="spellEnd"/>
            <w:r w:rsidR="00277901" w:rsidRPr="00277901">
              <w:rPr>
                <w:lang w:val="uk-UA"/>
              </w:rPr>
              <w:t xml:space="preserve"> нових лікарських речовин та продуктів" .</w:t>
            </w:r>
            <w:r w:rsidR="00277901">
              <w:rPr>
                <w:lang w:val="uk-UA"/>
              </w:rPr>
              <w:t xml:space="preserve"> Метою дослідження була оцінка чутливості 500 мг розчинника </w:t>
            </w:r>
            <w:proofErr w:type="spellStart"/>
            <w:r w:rsidR="00277901">
              <w:rPr>
                <w:lang w:val="uk-UA"/>
              </w:rPr>
              <w:t>Адеметіоніну</w:t>
            </w:r>
            <w:proofErr w:type="spellEnd"/>
            <w:r w:rsidR="00277901">
              <w:rPr>
                <w:lang w:val="uk-UA"/>
              </w:rPr>
              <w:t xml:space="preserve"> для </w:t>
            </w:r>
            <w:proofErr w:type="spellStart"/>
            <w:r w:rsidR="00277901">
              <w:rPr>
                <w:lang w:val="uk-UA"/>
              </w:rPr>
              <w:t>парентерального</w:t>
            </w:r>
            <w:proofErr w:type="spellEnd"/>
            <w:r w:rsidR="00277901">
              <w:rPr>
                <w:lang w:val="uk-UA"/>
              </w:rPr>
              <w:t xml:space="preserve"> застосування до опромінення світлом.</w:t>
            </w:r>
            <w:r w:rsidR="00277901" w:rsidRPr="00277901">
              <w:t xml:space="preserve"> </w:t>
            </w:r>
            <w:r w:rsidR="00277901">
              <w:rPr>
                <w:lang w:val="uk-UA"/>
              </w:rPr>
              <w:t>Захищені зразки (</w:t>
            </w:r>
            <w:r w:rsidR="00683EA2">
              <w:rPr>
                <w:lang w:val="uk-UA"/>
              </w:rPr>
              <w:t xml:space="preserve">загорнуті в алюмінієву фольгу) були </w:t>
            </w:r>
            <w:r w:rsidR="0046293B">
              <w:rPr>
                <w:lang w:val="uk-UA"/>
              </w:rPr>
              <w:t xml:space="preserve">спільно інкубовані </w:t>
            </w:r>
            <w:r w:rsidR="00683EA2">
              <w:rPr>
                <w:lang w:val="uk-UA"/>
              </w:rPr>
              <w:t>в</w:t>
            </w:r>
            <w:r w:rsidR="00154F33">
              <w:rPr>
                <w:lang w:val="uk-UA"/>
              </w:rPr>
              <w:t xml:space="preserve"> якості </w:t>
            </w:r>
            <w:r w:rsidR="00D12336">
              <w:rPr>
                <w:lang w:val="uk-UA"/>
              </w:rPr>
              <w:t>темного контролю</w:t>
            </w:r>
            <w:r w:rsidR="00683EA2">
              <w:rPr>
                <w:lang w:val="uk-UA"/>
              </w:rPr>
              <w:t xml:space="preserve">. Зразки </w:t>
            </w:r>
            <w:r w:rsidR="00D12336">
              <w:rPr>
                <w:lang w:val="uk-UA"/>
              </w:rPr>
              <w:t>були закріплені та розміщені</w:t>
            </w:r>
            <w:r w:rsidR="00683EA2">
              <w:rPr>
                <w:lang w:val="uk-UA"/>
              </w:rPr>
              <w:t xml:space="preserve"> горизонтально щодо джерела світла, щоб забезпечити найбільш рівномірне освітлення. </w:t>
            </w:r>
            <w:r w:rsidR="00683EA2" w:rsidRPr="00683EA2">
              <w:rPr>
                <w:lang w:val="uk-UA"/>
              </w:rPr>
              <w:t>Опромінення проводили у видимому діапазоні довжин</w:t>
            </w:r>
            <w:r w:rsidR="00683EA2">
              <w:rPr>
                <w:lang w:val="uk-UA"/>
              </w:rPr>
              <w:t>и хвилі</w:t>
            </w:r>
            <w:r w:rsidR="00683EA2" w:rsidRPr="00683EA2">
              <w:rPr>
                <w:lang w:val="uk-UA"/>
              </w:rPr>
              <w:t xml:space="preserve"> не менше 1,2 млн. </w:t>
            </w:r>
            <w:proofErr w:type="spellStart"/>
            <w:r w:rsidR="00683EA2" w:rsidRPr="00683EA2">
              <w:rPr>
                <w:lang w:val="uk-UA"/>
              </w:rPr>
              <w:t>Лк</w:t>
            </w:r>
            <w:proofErr w:type="spellEnd"/>
            <w:r w:rsidR="00683EA2" w:rsidRPr="00683EA2">
              <w:rPr>
                <w:lang w:val="uk-UA"/>
              </w:rPr>
              <w:t xml:space="preserve"> / год та в ближньому діапазоні УФ</w:t>
            </w:r>
            <w:r w:rsidR="00C62359">
              <w:rPr>
                <w:lang w:val="uk-UA"/>
              </w:rPr>
              <w:t>-діапазону не менше 200 Вт / м2</w:t>
            </w:r>
            <w:r w:rsidR="00683EA2">
              <w:rPr>
                <w:lang w:val="uk-UA"/>
              </w:rPr>
              <w:t xml:space="preserve"> </w:t>
            </w:r>
            <w:r w:rsidR="00683EA2" w:rsidRPr="00683EA2">
              <w:rPr>
                <w:lang w:val="uk-UA"/>
              </w:rPr>
              <w:t xml:space="preserve">. Наприкінці періоду опромінення зразки досліджували на предмет будь-яких змін зовнішнього вигляду, </w:t>
            </w:r>
            <w:proofErr w:type="spellStart"/>
            <w:r w:rsidR="00683EA2" w:rsidRPr="00683EA2">
              <w:rPr>
                <w:lang w:val="uk-UA"/>
              </w:rPr>
              <w:t>рН</w:t>
            </w:r>
            <w:proofErr w:type="spellEnd"/>
            <w:r w:rsidR="00683EA2" w:rsidRPr="00683EA2">
              <w:rPr>
                <w:lang w:val="uk-UA"/>
              </w:rPr>
              <w:t xml:space="preserve"> та </w:t>
            </w:r>
            <w:r w:rsidR="00D12336">
              <w:rPr>
                <w:lang w:val="uk-UA"/>
              </w:rPr>
              <w:t>пробу</w:t>
            </w:r>
            <w:r w:rsidR="00683EA2" w:rsidRPr="00683EA2">
              <w:rPr>
                <w:lang w:val="uk-UA"/>
              </w:rPr>
              <w:t>.</w:t>
            </w:r>
            <w:r w:rsidR="00683EA2">
              <w:rPr>
                <w:lang w:val="uk-UA"/>
              </w:rPr>
              <w:t xml:space="preserve"> Після впливу світла </w:t>
            </w:r>
            <w:r w:rsidR="00154F33">
              <w:rPr>
                <w:lang w:val="uk-UA"/>
              </w:rPr>
              <w:t xml:space="preserve">досліджувалась </w:t>
            </w:r>
            <w:r w:rsidR="00683EA2">
              <w:rPr>
                <w:lang w:val="uk-UA"/>
              </w:rPr>
              <w:t>відсутність відмі</w:t>
            </w:r>
            <w:r w:rsidR="00154F33">
              <w:rPr>
                <w:lang w:val="uk-UA"/>
              </w:rPr>
              <w:t xml:space="preserve">нностей між </w:t>
            </w:r>
            <w:r w:rsidR="00A53A1D">
              <w:rPr>
                <w:lang w:val="uk-UA"/>
              </w:rPr>
              <w:t xml:space="preserve">контрольною групою, </w:t>
            </w:r>
            <w:r w:rsidR="00683EA2">
              <w:rPr>
                <w:lang w:val="uk-UA"/>
              </w:rPr>
              <w:t>безпосередньо відкритими зразками та вторинно упакованими зразками</w:t>
            </w:r>
            <w:r w:rsidR="00154F33">
              <w:rPr>
                <w:lang w:val="uk-UA"/>
              </w:rPr>
              <w:t xml:space="preserve"> (див. Табл.1), показуючи, що розчинник не чутливий до світла.</w:t>
            </w:r>
          </w:p>
          <w:p w14:paraId="3F3FF758" w14:textId="77777777" w:rsidR="007C61CD" w:rsidRPr="007C61CD" w:rsidRDefault="007C61CD" w:rsidP="007C61CD">
            <w:pPr>
              <w:pStyle w:val="a4"/>
              <w:numPr>
                <w:ilvl w:val="1"/>
                <w:numId w:val="1"/>
              </w:numPr>
              <w:jc w:val="both"/>
              <w:rPr>
                <w:lang w:val="uk-UA"/>
              </w:rPr>
            </w:pPr>
            <w:proofErr w:type="spellStart"/>
            <w:r w:rsidRPr="007C61CD">
              <w:rPr>
                <w:lang w:val="uk-UA"/>
              </w:rPr>
              <w:t>Депіроген</w:t>
            </w:r>
            <w:r>
              <w:rPr>
                <w:lang w:val="uk-UA"/>
              </w:rPr>
              <w:t>із</w:t>
            </w:r>
            <w:r w:rsidRPr="007C61CD">
              <w:rPr>
                <w:lang w:val="uk-UA"/>
              </w:rPr>
              <w:t>ація</w:t>
            </w:r>
            <w:proofErr w:type="spellEnd"/>
            <w:r w:rsidRPr="007C61CD">
              <w:rPr>
                <w:lang w:val="uk-UA"/>
              </w:rPr>
              <w:t xml:space="preserve"> ампул</w:t>
            </w:r>
          </w:p>
          <w:p w14:paraId="1400CD5A" w14:textId="08C7D627" w:rsidR="007C61CD" w:rsidRDefault="007C61CD" w:rsidP="007C61CD">
            <w:pPr>
              <w:jc w:val="both"/>
              <w:rPr>
                <w:lang w:val="uk-UA"/>
              </w:rPr>
            </w:pPr>
            <w:r>
              <w:rPr>
                <w:lang w:val="uk-UA"/>
              </w:rPr>
              <w:t xml:space="preserve">Скляні ампули для 500 мг розчинника </w:t>
            </w:r>
            <w:proofErr w:type="spellStart"/>
            <w:r>
              <w:rPr>
                <w:lang w:val="uk-UA"/>
              </w:rPr>
              <w:t>Адеметіоніну</w:t>
            </w:r>
            <w:proofErr w:type="spellEnd"/>
            <w:r>
              <w:rPr>
                <w:lang w:val="uk-UA"/>
              </w:rPr>
              <w:t xml:space="preserve"> для </w:t>
            </w:r>
            <w:proofErr w:type="spellStart"/>
            <w:r>
              <w:rPr>
                <w:lang w:val="uk-UA"/>
              </w:rPr>
              <w:t>парентерального</w:t>
            </w:r>
            <w:proofErr w:type="spellEnd"/>
            <w:r>
              <w:rPr>
                <w:lang w:val="uk-UA"/>
              </w:rPr>
              <w:t xml:space="preserve"> застосування </w:t>
            </w:r>
            <w:r w:rsidR="00D12336">
              <w:rPr>
                <w:lang w:val="uk-UA"/>
              </w:rPr>
              <w:t>вимиваю</w:t>
            </w:r>
            <w:r>
              <w:rPr>
                <w:lang w:val="uk-UA"/>
              </w:rPr>
              <w:t xml:space="preserve">ться та </w:t>
            </w:r>
            <w:proofErr w:type="spellStart"/>
            <w:r>
              <w:rPr>
                <w:lang w:val="uk-UA"/>
              </w:rPr>
              <w:t>депі</w:t>
            </w:r>
            <w:r w:rsidR="00D12336">
              <w:rPr>
                <w:lang w:val="uk-UA"/>
              </w:rPr>
              <w:t>рогенізуються</w:t>
            </w:r>
            <w:proofErr w:type="spellEnd"/>
            <w:r w:rsidR="00D12336">
              <w:rPr>
                <w:lang w:val="uk-UA"/>
              </w:rPr>
              <w:t xml:space="preserve"> та потім переміщую</w:t>
            </w:r>
            <w:bookmarkStart w:id="0" w:name="_GoBack"/>
            <w:bookmarkEnd w:id="0"/>
            <w:r>
              <w:rPr>
                <w:lang w:val="uk-UA"/>
              </w:rPr>
              <w:t>ться у пакувальне обладнання.</w:t>
            </w:r>
          </w:p>
          <w:p w14:paraId="7DD2BC20" w14:textId="77777777" w:rsidR="007C61CD" w:rsidRDefault="007C61CD" w:rsidP="007C61CD">
            <w:pPr>
              <w:jc w:val="both"/>
              <w:rPr>
                <w:lang w:val="uk-UA"/>
              </w:rPr>
            </w:pPr>
            <w:r>
              <w:rPr>
                <w:lang w:val="uk-UA"/>
              </w:rPr>
              <w:t xml:space="preserve">Умови </w:t>
            </w:r>
            <w:proofErr w:type="spellStart"/>
            <w:r>
              <w:rPr>
                <w:lang w:val="uk-UA"/>
              </w:rPr>
              <w:t>депірогеніза</w:t>
            </w:r>
            <w:r w:rsidR="00235CF6">
              <w:rPr>
                <w:lang w:val="uk-UA"/>
              </w:rPr>
              <w:t>ції</w:t>
            </w:r>
            <w:proofErr w:type="spellEnd"/>
            <w:r w:rsidR="00235CF6">
              <w:rPr>
                <w:lang w:val="uk-UA"/>
              </w:rPr>
              <w:t xml:space="preserve"> та її перевірка узгоджен</w:t>
            </w:r>
            <w:r w:rsidR="00235CF6" w:rsidRPr="00235CF6">
              <w:rPr>
                <w:lang w:val="uk-UA"/>
              </w:rPr>
              <w:t>і</w:t>
            </w:r>
            <w:r>
              <w:rPr>
                <w:lang w:val="uk-UA"/>
              </w:rPr>
              <w:t xml:space="preserve"> з європейською фармакопеєю.</w:t>
            </w:r>
          </w:p>
          <w:p w14:paraId="18880DF1" w14:textId="4FC1F7F2" w:rsidR="00235CF6" w:rsidRPr="00235CF6" w:rsidRDefault="00235CF6" w:rsidP="007C61CD">
            <w:pPr>
              <w:jc w:val="both"/>
              <w:rPr>
                <w:lang w:val="uk-UA"/>
              </w:rPr>
            </w:pPr>
            <w:proofErr w:type="spellStart"/>
            <w:r w:rsidRPr="00235CF6">
              <w:rPr>
                <w:lang w:val="uk-UA"/>
              </w:rPr>
              <w:t>Депірогенізація</w:t>
            </w:r>
            <w:proofErr w:type="spellEnd"/>
            <w:r w:rsidRPr="00235CF6">
              <w:rPr>
                <w:lang w:val="uk-UA"/>
              </w:rPr>
              <w:t xml:space="preserve"> скляних ампул проводиться в </w:t>
            </w:r>
            <w:r w:rsidR="00A53A1D">
              <w:rPr>
                <w:lang w:val="uk-UA"/>
              </w:rPr>
              <w:t>стерилізаторі тунельного типу за мінімальної температури</w:t>
            </w:r>
            <w:r w:rsidR="00A53A1D" w:rsidRPr="00235CF6">
              <w:rPr>
                <w:lang w:val="uk-UA"/>
              </w:rPr>
              <w:t xml:space="preserve"> </w:t>
            </w:r>
            <w:r w:rsidRPr="00235CF6">
              <w:rPr>
                <w:lang w:val="uk-UA"/>
              </w:rPr>
              <w:t>300 ° С зі швидкістю стрічки, що забезпечує опромінення в зоні нагрівання як мінімум 8 хвилин.</w:t>
            </w:r>
            <w:r>
              <w:rPr>
                <w:lang w:val="uk-UA"/>
              </w:rPr>
              <w:t xml:space="preserve"> Тунель розділений на 4 зони. Перша зона це подача ампул, друга та третя це стерилізаційні зони та остання це зона охолодження.</w:t>
            </w:r>
          </w:p>
          <w:p w14:paraId="368B82D6" w14:textId="77777777" w:rsidR="00235CF6" w:rsidRPr="007C61CD" w:rsidRDefault="00235CF6" w:rsidP="007C61CD">
            <w:pPr>
              <w:jc w:val="both"/>
              <w:rPr>
                <w:lang w:val="uk-UA"/>
              </w:rPr>
            </w:pPr>
          </w:p>
        </w:tc>
      </w:tr>
    </w:tbl>
    <w:p w14:paraId="45E35245" w14:textId="77777777" w:rsidR="00EB0A89" w:rsidRPr="00277901" w:rsidRDefault="00EB0A89" w:rsidP="00235CF6">
      <w:pPr>
        <w:rPr>
          <w:lang w:val="uk-UA"/>
        </w:rPr>
      </w:pPr>
    </w:p>
    <w:sectPr w:rsidR="00EB0A89" w:rsidRPr="00277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96E23"/>
    <w:multiLevelType w:val="multilevel"/>
    <w:tmpl w:val="6D1C23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69"/>
    <w:rsid w:val="00124BB8"/>
    <w:rsid w:val="00154F33"/>
    <w:rsid w:val="00171A2B"/>
    <w:rsid w:val="001B2E69"/>
    <w:rsid w:val="00235CF6"/>
    <w:rsid w:val="00277901"/>
    <w:rsid w:val="003D5B1D"/>
    <w:rsid w:val="0046293B"/>
    <w:rsid w:val="00683EA2"/>
    <w:rsid w:val="007C61CD"/>
    <w:rsid w:val="00A36572"/>
    <w:rsid w:val="00A53A1D"/>
    <w:rsid w:val="00B22414"/>
    <w:rsid w:val="00C62359"/>
    <w:rsid w:val="00D12336"/>
    <w:rsid w:val="00EB0A8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4BAE"/>
  <w15:docId w15:val="{4014363A-F97F-4D35-ABAB-6B23CA0B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6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C61CD"/>
    <w:pPr>
      <w:ind w:left="720"/>
      <w:contextualSpacing/>
    </w:pPr>
  </w:style>
  <w:style w:type="character" w:styleId="a5">
    <w:name w:val="annotation reference"/>
    <w:basedOn w:val="a0"/>
    <w:uiPriority w:val="99"/>
    <w:semiHidden/>
    <w:unhideWhenUsed/>
    <w:rsid w:val="00EB0A89"/>
    <w:rPr>
      <w:sz w:val="16"/>
      <w:szCs w:val="16"/>
    </w:rPr>
  </w:style>
  <w:style w:type="paragraph" w:styleId="a6">
    <w:name w:val="annotation text"/>
    <w:basedOn w:val="a"/>
    <w:link w:val="a7"/>
    <w:uiPriority w:val="99"/>
    <w:semiHidden/>
    <w:unhideWhenUsed/>
    <w:rsid w:val="00EB0A89"/>
    <w:pPr>
      <w:spacing w:line="240" w:lineRule="auto"/>
    </w:pPr>
    <w:rPr>
      <w:sz w:val="20"/>
      <w:szCs w:val="20"/>
    </w:rPr>
  </w:style>
  <w:style w:type="character" w:customStyle="1" w:styleId="a7">
    <w:name w:val="Текст примечания Знак"/>
    <w:basedOn w:val="a0"/>
    <w:link w:val="a6"/>
    <w:uiPriority w:val="99"/>
    <w:semiHidden/>
    <w:rsid w:val="00EB0A89"/>
    <w:rPr>
      <w:sz w:val="20"/>
      <w:szCs w:val="20"/>
    </w:rPr>
  </w:style>
  <w:style w:type="paragraph" w:styleId="a8">
    <w:name w:val="annotation subject"/>
    <w:basedOn w:val="a6"/>
    <w:next w:val="a6"/>
    <w:link w:val="a9"/>
    <w:uiPriority w:val="99"/>
    <w:semiHidden/>
    <w:unhideWhenUsed/>
    <w:rsid w:val="00EB0A89"/>
    <w:rPr>
      <w:b/>
      <w:bCs/>
    </w:rPr>
  </w:style>
  <w:style w:type="character" w:customStyle="1" w:styleId="a9">
    <w:name w:val="Тема примечания Знак"/>
    <w:basedOn w:val="a7"/>
    <w:link w:val="a8"/>
    <w:uiPriority w:val="99"/>
    <w:semiHidden/>
    <w:rsid w:val="00EB0A89"/>
    <w:rPr>
      <w:b/>
      <w:bCs/>
      <w:sz w:val="20"/>
      <w:szCs w:val="20"/>
    </w:rPr>
  </w:style>
  <w:style w:type="paragraph" w:styleId="aa">
    <w:name w:val="Balloon Text"/>
    <w:basedOn w:val="a"/>
    <w:link w:val="ab"/>
    <w:uiPriority w:val="99"/>
    <w:semiHidden/>
    <w:unhideWhenUsed/>
    <w:rsid w:val="00EB0A8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B0A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05556-2695-420E-B663-CBADBBB8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525</Words>
  <Characters>2995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Барган Оксана Валерьевна</dc:creator>
  <cp:keywords/>
  <dc:description/>
  <cp:lastModifiedBy>пк</cp:lastModifiedBy>
  <cp:revision>9</cp:revision>
  <dcterms:created xsi:type="dcterms:W3CDTF">2018-01-03T08:46:00Z</dcterms:created>
  <dcterms:modified xsi:type="dcterms:W3CDTF">2021-06-24T09:58:00Z</dcterms:modified>
</cp:coreProperties>
</file>