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5FA3781F" wp14:paraId="501817AE" wp14:textId="4A60B1CC">
      <w:pPr>
        <w:pStyle w:val="Normal"/>
        <w:spacing w:line="276" w:lineRule="auto"/>
        <w:rPr>
          <w:rFonts w:ascii="Times New Roman" w:hAnsi="Times New Roman" w:eastAsia="Times New Roman" w:cs="Times New Roman"/>
          <w:sz w:val="20"/>
          <w:szCs w:val="20"/>
        </w:rPr>
      </w:pPr>
      <w:r w:rsidRPr="5FA3781F" w:rsidR="5FA3781F">
        <w:rPr>
          <w:rFonts w:ascii="Times New Roman" w:hAnsi="Times New Roman" w:eastAsia="Times New Roman" w:cs="Times New Roman"/>
          <w:sz w:val="20"/>
          <w:szCs w:val="20"/>
        </w:rPr>
        <w:t xml:space="preserve">УДК 327(427) </w:t>
      </w:r>
    </w:p>
    <w:p w:rsidR="5FA3781F" w:rsidP="5FA3781F" w:rsidRDefault="5FA3781F" w14:paraId="57573D5F" w14:textId="07108153">
      <w:pPr>
        <w:pStyle w:val="Normal"/>
        <w:spacing w:line="276" w:lineRule="auto"/>
        <w:rPr>
          <w:rFonts w:ascii="Times New Roman" w:hAnsi="Times New Roman" w:eastAsia="Times New Roman" w:cs="Times New Roman"/>
          <w:sz w:val="20"/>
          <w:szCs w:val="20"/>
        </w:rPr>
      </w:pPr>
    </w:p>
    <w:p w:rsidR="5FA3781F" w:rsidP="5FA3781F" w:rsidRDefault="5FA3781F" w14:paraId="586E3C57" w14:textId="3C4BD4E3">
      <w:pPr>
        <w:pStyle w:val="Normal"/>
        <w:spacing w:line="276" w:lineRule="auto"/>
        <w:rPr>
          <w:rFonts w:ascii="Times New Roman" w:hAnsi="Times New Roman" w:eastAsia="Times New Roman" w:cs="Times New Roman"/>
          <w:i w:val="1"/>
          <w:iCs w:val="1"/>
          <w:noProof w:val="0"/>
          <w:sz w:val="20"/>
          <w:szCs w:val="20"/>
          <w:lang w:val="ru-RU"/>
        </w:rPr>
      </w:pPr>
      <w:r w:rsidRPr="5FA3781F" w:rsidR="5FA3781F">
        <w:rPr>
          <w:rFonts w:ascii="Times New Roman" w:hAnsi="Times New Roman" w:eastAsia="Times New Roman" w:cs="Times New Roman"/>
          <w:b w:val="1"/>
          <w:bCs w:val="1"/>
          <w:sz w:val="20"/>
          <w:szCs w:val="20"/>
        </w:rPr>
        <w:t xml:space="preserve">А.В. </w:t>
      </w:r>
      <w:r w:rsidRPr="5FA3781F" w:rsidR="5FA3781F">
        <w:rPr>
          <w:rFonts w:ascii="Times New Roman" w:hAnsi="Times New Roman" w:eastAsia="Times New Roman" w:cs="Times New Roman"/>
          <w:b w:val="1"/>
          <w:bCs w:val="1"/>
          <w:sz w:val="20"/>
          <w:szCs w:val="20"/>
        </w:rPr>
        <w:t>Єфременко</w:t>
      </w:r>
      <w:r w:rsidRPr="5FA3781F" w:rsidR="5FA3781F">
        <w:rPr>
          <w:rFonts w:ascii="Times New Roman" w:hAnsi="Times New Roman" w:eastAsia="Times New Roman" w:cs="Times New Roman"/>
          <w:b w:val="1"/>
          <w:bCs w:val="1"/>
          <w:sz w:val="20"/>
          <w:szCs w:val="20"/>
        </w:rPr>
        <w:t>,</w:t>
      </w:r>
      <w:r w:rsidRPr="5FA3781F" w:rsidR="5FA3781F">
        <w:rPr>
          <w:rFonts w:ascii="Times New Roman" w:hAnsi="Times New Roman" w:eastAsia="Times New Roman" w:cs="Times New Roman"/>
          <w:b w:val="1"/>
          <w:bCs w:val="1"/>
          <w:sz w:val="20"/>
          <w:szCs w:val="20"/>
        </w:rPr>
        <w:t xml:space="preserve"> </w:t>
      </w:r>
      <w:r w:rsidRPr="5FA3781F" w:rsidR="5FA3781F">
        <w:rPr>
          <w:rFonts w:ascii="Times New Roman" w:hAnsi="Times New Roman" w:eastAsia="Times New Roman" w:cs="Times New Roman"/>
          <w:b w:val="0"/>
          <w:bCs w:val="0"/>
          <w:sz w:val="20"/>
          <w:szCs w:val="20"/>
        </w:rPr>
        <w:t xml:space="preserve">студентка 3-го курсу факультету </w:t>
      </w:r>
      <w:r w:rsidRPr="5FA3781F" w:rsidR="5FA3781F">
        <w:rPr>
          <w:rFonts w:ascii="Times New Roman" w:hAnsi="Times New Roman" w:eastAsia="Times New Roman" w:cs="Times New Roman"/>
          <w:b w:val="0"/>
          <w:bCs w:val="0"/>
          <w:sz w:val="20"/>
          <w:szCs w:val="20"/>
        </w:rPr>
        <w:t>економічних</w:t>
      </w:r>
      <w:r w:rsidRPr="5FA3781F" w:rsidR="5FA3781F">
        <w:rPr>
          <w:rFonts w:ascii="Times New Roman" w:hAnsi="Times New Roman" w:eastAsia="Times New Roman" w:cs="Times New Roman"/>
          <w:b w:val="0"/>
          <w:bCs w:val="0"/>
          <w:sz w:val="20"/>
          <w:szCs w:val="20"/>
        </w:rPr>
        <w:t xml:space="preserve"> </w:t>
      </w:r>
      <w:r w:rsidRPr="5FA3781F" w:rsidR="5FA3781F">
        <w:rPr>
          <w:rFonts w:ascii="Times New Roman" w:hAnsi="Times New Roman" w:eastAsia="Times New Roman" w:cs="Times New Roman"/>
          <w:b w:val="0"/>
          <w:bCs w:val="0"/>
          <w:sz w:val="20"/>
          <w:szCs w:val="20"/>
        </w:rPr>
        <w:t>відносин</w:t>
      </w:r>
      <w:r w:rsidRPr="5FA3781F" w:rsidR="5FA3781F">
        <w:rPr>
          <w:rFonts w:ascii="Times New Roman" w:hAnsi="Times New Roman" w:eastAsia="Times New Roman" w:cs="Times New Roman"/>
          <w:b w:val="0"/>
          <w:bCs w:val="0"/>
          <w:sz w:val="20"/>
          <w:szCs w:val="20"/>
        </w:rPr>
        <w:t xml:space="preserve"> та </w:t>
      </w:r>
      <w:r w:rsidRPr="5FA3781F" w:rsidR="5FA3781F">
        <w:rPr>
          <w:rFonts w:ascii="Times New Roman" w:hAnsi="Times New Roman" w:eastAsia="Times New Roman" w:cs="Times New Roman"/>
          <w:b w:val="0"/>
          <w:bCs w:val="0"/>
          <w:sz w:val="20"/>
          <w:szCs w:val="20"/>
        </w:rPr>
        <w:t>фінансів</w:t>
      </w:r>
      <w:r w:rsidRPr="5FA3781F" w:rsidR="5FA3781F">
        <w:rPr>
          <w:rFonts w:ascii="Times New Roman" w:hAnsi="Times New Roman" w:eastAsia="Times New Roman" w:cs="Times New Roman"/>
          <w:b w:val="0"/>
          <w:bCs w:val="0"/>
          <w:sz w:val="20"/>
          <w:szCs w:val="20"/>
        </w:rPr>
        <w:t xml:space="preserve">, </w:t>
      </w:r>
      <w:r w:rsidRPr="5FA3781F" w:rsidR="5FA3781F">
        <w:rPr>
          <w:rFonts w:ascii="Times New Roman" w:hAnsi="Times New Roman" w:eastAsia="Times New Roman" w:cs="Times New Roman"/>
          <w:b w:val="0"/>
          <w:bCs w:val="0"/>
          <w:sz w:val="20"/>
          <w:szCs w:val="20"/>
        </w:rPr>
        <w:t>спеціальність</w:t>
      </w:r>
      <w:r w:rsidRPr="5FA3781F" w:rsidR="5FA3781F">
        <w:rPr>
          <w:rFonts w:ascii="Times New Roman" w:hAnsi="Times New Roman" w:eastAsia="Times New Roman" w:cs="Times New Roman"/>
          <w:b w:val="0"/>
          <w:bCs w:val="0"/>
          <w:sz w:val="20"/>
          <w:szCs w:val="20"/>
        </w:rPr>
        <w:t xml:space="preserve"> 051 </w:t>
      </w:r>
      <w:r w:rsidRPr="5FA3781F" w:rsidR="5FA3781F">
        <w:rPr>
          <w:rFonts w:ascii="Times New Roman" w:hAnsi="Times New Roman" w:eastAsia="Times New Roman" w:cs="Times New Roman"/>
          <w:b w:val="0"/>
          <w:bCs w:val="0"/>
          <w:sz w:val="20"/>
          <w:szCs w:val="20"/>
        </w:rPr>
        <w:t>Економіка</w:t>
      </w:r>
      <w:r w:rsidRPr="5FA3781F" w:rsidR="5FA3781F">
        <w:rPr>
          <w:rFonts w:ascii="Times New Roman" w:hAnsi="Times New Roman" w:eastAsia="Times New Roman" w:cs="Times New Roman"/>
          <w:b w:val="0"/>
          <w:bCs w:val="0"/>
          <w:i w:val="1"/>
          <w:iCs w:val="1"/>
          <w:sz w:val="20"/>
          <w:szCs w:val="20"/>
        </w:rPr>
        <w:t xml:space="preserve"> (ДБТУ, </w:t>
      </w:r>
      <w:r w:rsidRPr="5FA3781F" w:rsidR="5FA3781F">
        <w:rPr>
          <w:rFonts w:ascii="Times New Roman" w:hAnsi="Times New Roman" w:eastAsia="Times New Roman" w:cs="Times New Roman"/>
          <w:b w:val="0"/>
          <w:bCs w:val="0"/>
          <w:i w:val="1"/>
          <w:iCs w:val="1"/>
          <w:sz w:val="20"/>
          <w:szCs w:val="20"/>
        </w:rPr>
        <w:t>Харків</w:t>
      </w:r>
      <w:r w:rsidRPr="5FA3781F" w:rsidR="5FA3781F">
        <w:rPr>
          <w:rFonts w:ascii="Times New Roman" w:hAnsi="Times New Roman" w:eastAsia="Times New Roman" w:cs="Times New Roman"/>
          <w:b w:val="0"/>
          <w:bCs w:val="0"/>
          <w:i w:val="1"/>
          <w:iCs w:val="1"/>
          <w:sz w:val="20"/>
          <w:szCs w:val="20"/>
        </w:rPr>
        <w:t>)</w:t>
      </w:r>
    </w:p>
    <w:p w:rsidR="5FA3781F" w:rsidP="5FA3781F" w:rsidRDefault="5FA3781F" w14:paraId="55B707A0" w14:textId="00E0AA64">
      <w:pPr>
        <w:pStyle w:val="Normal"/>
        <w:spacing w:line="276" w:lineRule="auto"/>
        <w:rPr>
          <w:rFonts w:ascii="Times New Roman" w:hAnsi="Times New Roman" w:eastAsia="Times New Roman" w:cs="Times New Roman"/>
          <w:b w:val="0"/>
          <w:bCs w:val="0"/>
          <w:i w:val="1"/>
          <w:iCs w:val="1"/>
          <w:sz w:val="20"/>
          <w:szCs w:val="20"/>
        </w:rPr>
      </w:pPr>
    </w:p>
    <w:p w:rsidR="5FA3781F" w:rsidP="5FA3781F" w:rsidRDefault="5FA3781F" w14:paraId="76B6845E" w14:textId="1D76C2EB">
      <w:pPr>
        <w:pStyle w:val="Normal"/>
        <w:spacing w:line="276" w:lineRule="auto"/>
        <w:jc w:val="center"/>
        <w:rPr>
          <w:rFonts w:ascii="Times New Roman" w:hAnsi="Times New Roman" w:eastAsia="Times New Roman" w:cs="Times New Roman"/>
          <w:b w:val="1"/>
          <w:bCs w:val="1"/>
          <w:i w:val="0"/>
          <w:iCs w:val="0"/>
          <w:sz w:val="24"/>
          <w:szCs w:val="24"/>
        </w:rPr>
      </w:pPr>
      <w:r w:rsidRPr="5FA3781F" w:rsidR="5FA3781F">
        <w:rPr>
          <w:rFonts w:ascii="Times New Roman" w:hAnsi="Times New Roman" w:eastAsia="Times New Roman" w:cs="Times New Roman"/>
          <w:b w:val="1"/>
          <w:bCs w:val="1"/>
          <w:i w:val="0"/>
          <w:iCs w:val="0"/>
          <w:sz w:val="24"/>
          <w:szCs w:val="24"/>
        </w:rPr>
        <w:t>Інтеграція професійної підготовки в європейський простір через освіту</w:t>
      </w:r>
    </w:p>
    <w:p w:rsidR="5FA3781F" w:rsidP="5FA3781F" w:rsidRDefault="5FA3781F" w14:paraId="15B4DCB9" w14:textId="5D7B85AF">
      <w:pPr>
        <w:pStyle w:val="Normal"/>
        <w:spacing w:line="276" w:lineRule="auto"/>
        <w:jc w:val="center"/>
        <w:rPr>
          <w:rFonts w:ascii="Times New Roman" w:hAnsi="Times New Roman" w:eastAsia="Times New Roman" w:cs="Times New Roman"/>
          <w:b w:val="1"/>
          <w:bCs w:val="1"/>
          <w:i w:val="0"/>
          <w:iCs w:val="0"/>
          <w:sz w:val="20"/>
          <w:szCs w:val="20"/>
        </w:rPr>
      </w:pPr>
    </w:p>
    <w:p w:rsidR="5FA3781F" w:rsidP="5FA3781F" w:rsidRDefault="5FA3781F" w14:paraId="40F8AEC8" w14:textId="35340C15">
      <w:pPr>
        <w:pStyle w:val="Normal"/>
        <w:spacing w:line="276" w:lineRule="auto"/>
        <w:ind w:left="0" w:firstLine="708"/>
        <w:jc w:val="both"/>
        <w:rPr>
          <w:rFonts w:ascii="Times New Roman" w:hAnsi="Times New Roman" w:eastAsia="Times New Roman" w:cs="Times New Roman"/>
          <w:b w:val="0"/>
          <w:bCs w:val="0"/>
          <w:i w:val="0"/>
          <w:iCs w:val="0"/>
          <w:sz w:val="20"/>
          <w:szCs w:val="20"/>
        </w:rPr>
      </w:pPr>
      <w:r w:rsidRPr="5FA3781F" w:rsidR="5FA3781F">
        <w:rPr>
          <w:rFonts w:ascii="Times New Roman" w:hAnsi="Times New Roman" w:eastAsia="Times New Roman" w:cs="Times New Roman"/>
          <w:b w:val="0"/>
          <w:bCs w:val="0"/>
          <w:i w:val="0"/>
          <w:iCs w:val="0"/>
          <w:sz w:val="20"/>
          <w:szCs w:val="20"/>
        </w:rPr>
        <w:t xml:space="preserve">У </w:t>
      </w:r>
      <w:r w:rsidRPr="5FA3781F" w:rsidR="5FA3781F">
        <w:rPr>
          <w:rFonts w:ascii="Times New Roman" w:hAnsi="Times New Roman" w:eastAsia="Times New Roman" w:cs="Times New Roman"/>
          <w:b w:val="0"/>
          <w:bCs w:val="0"/>
          <w:i w:val="0"/>
          <w:iCs w:val="0"/>
          <w:sz w:val="20"/>
          <w:szCs w:val="20"/>
        </w:rPr>
        <w:t>сучасному</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світі</w:t>
      </w:r>
      <w:r w:rsidRPr="5FA3781F" w:rsidR="5FA3781F">
        <w:rPr>
          <w:rFonts w:ascii="Times New Roman" w:hAnsi="Times New Roman" w:eastAsia="Times New Roman" w:cs="Times New Roman"/>
          <w:b w:val="0"/>
          <w:bCs w:val="0"/>
          <w:i w:val="0"/>
          <w:iCs w:val="0"/>
          <w:sz w:val="20"/>
          <w:szCs w:val="20"/>
        </w:rPr>
        <w:t xml:space="preserve">, де </w:t>
      </w:r>
      <w:r w:rsidRPr="5FA3781F" w:rsidR="5FA3781F">
        <w:rPr>
          <w:rFonts w:ascii="Times New Roman" w:hAnsi="Times New Roman" w:eastAsia="Times New Roman" w:cs="Times New Roman"/>
          <w:b w:val="0"/>
          <w:bCs w:val="0"/>
          <w:i w:val="0"/>
          <w:iCs w:val="0"/>
          <w:sz w:val="20"/>
          <w:szCs w:val="20"/>
        </w:rPr>
        <w:t>технології</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стрімко</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розвиваються</w:t>
      </w:r>
      <w:r w:rsidRPr="5FA3781F" w:rsidR="5FA3781F">
        <w:rPr>
          <w:rFonts w:ascii="Times New Roman" w:hAnsi="Times New Roman" w:eastAsia="Times New Roman" w:cs="Times New Roman"/>
          <w:b w:val="0"/>
          <w:bCs w:val="0"/>
          <w:i w:val="0"/>
          <w:iCs w:val="0"/>
          <w:sz w:val="20"/>
          <w:szCs w:val="20"/>
        </w:rPr>
        <w:t xml:space="preserve">, а </w:t>
      </w:r>
      <w:r w:rsidRPr="5FA3781F" w:rsidR="5FA3781F">
        <w:rPr>
          <w:rFonts w:ascii="Times New Roman" w:hAnsi="Times New Roman" w:eastAsia="Times New Roman" w:cs="Times New Roman"/>
          <w:b w:val="0"/>
          <w:bCs w:val="0"/>
          <w:i w:val="0"/>
          <w:iCs w:val="0"/>
          <w:sz w:val="20"/>
          <w:szCs w:val="20"/>
        </w:rPr>
        <w:t>глобалізація</w:t>
      </w:r>
      <w:r w:rsidRPr="5FA3781F" w:rsidR="5FA3781F">
        <w:rPr>
          <w:rFonts w:ascii="Times New Roman" w:hAnsi="Times New Roman" w:eastAsia="Times New Roman" w:cs="Times New Roman"/>
          <w:b w:val="0"/>
          <w:bCs w:val="0"/>
          <w:i w:val="0"/>
          <w:iCs w:val="0"/>
          <w:sz w:val="20"/>
          <w:szCs w:val="20"/>
        </w:rPr>
        <w:t xml:space="preserve"> та </w:t>
      </w:r>
      <w:r w:rsidRPr="5FA3781F" w:rsidR="5FA3781F">
        <w:rPr>
          <w:rFonts w:ascii="Times New Roman" w:hAnsi="Times New Roman" w:eastAsia="Times New Roman" w:cs="Times New Roman"/>
          <w:b w:val="0"/>
          <w:bCs w:val="0"/>
          <w:i w:val="0"/>
          <w:iCs w:val="0"/>
          <w:sz w:val="20"/>
          <w:szCs w:val="20"/>
        </w:rPr>
        <w:t>конкуренція</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стають</w:t>
      </w:r>
      <w:r w:rsidRPr="5FA3781F" w:rsidR="5FA3781F">
        <w:rPr>
          <w:rFonts w:ascii="Times New Roman" w:hAnsi="Times New Roman" w:eastAsia="Times New Roman" w:cs="Times New Roman"/>
          <w:b w:val="0"/>
          <w:bCs w:val="0"/>
          <w:i w:val="0"/>
          <w:iCs w:val="0"/>
          <w:sz w:val="20"/>
          <w:szCs w:val="20"/>
        </w:rPr>
        <w:t xml:space="preserve"> нормою, </w:t>
      </w:r>
      <w:r w:rsidRPr="5FA3781F" w:rsidR="5FA3781F">
        <w:rPr>
          <w:rFonts w:ascii="Times New Roman" w:hAnsi="Times New Roman" w:eastAsia="Times New Roman" w:cs="Times New Roman"/>
          <w:b w:val="0"/>
          <w:bCs w:val="0"/>
          <w:i w:val="0"/>
          <w:iCs w:val="0"/>
          <w:sz w:val="20"/>
          <w:szCs w:val="20"/>
        </w:rPr>
        <w:t>людський</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капітал</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набуває</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вирішального</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значення</w:t>
      </w:r>
      <w:r w:rsidRPr="5FA3781F" w:rsidR="5FA3781F">
        <w:rPr>
          <w:rFonts w:ascii="Times New Roman" w:hAnsi="Times New Roman" w:eastAsia="Times New Roman" w:cs="Times New Roman"/>
          <w:b w:val="0"/>
          <w:bCs w:val="0"/>
          <w:i w:val="0"/>
          <w:iCs w:val="0"/>
          <w:sz w:val="20"/>
          <w:szCs w:val="20"/>
        </w:rPr>
        <w:t xml:space="preserve"> для </w:t>
      </w:r>
      <w:r w:rsidRPr="5FA3781F" w:rsidR="5FA3781F">
        <w:rPr>
          <w:rFonts w:ascii="Times New Roman" w:hAnsi="Times New Roman" w:eastAsia="Times New Roman" w:cs="Times New Roman"/>
          <w:b w:val="0"/>
          <w:bCs w:val="0"/>
          <w:i w:val="0"/>
          <w:iCs w:val="0"/>
          <w:sz w:val="20"/>
          <w:szCs w:val="20"/>
        </w:rPr>
        <w:t>забезпечення</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стійкого</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економічного</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зростання</w:t>
      </w:r>
      <w:r w:rsidRPr="5FA3781F" w:rsidR="5FA3781F">
        <w:rPr>
          <w:rFonts w:ascii="Times New Roman" w:hAnsi="Times New Roman" w:eastAsia="Times New Roman" w:cs="Times New Roman"/>
          <w:b w:val="0"/>
          <w:bCs w:val="0"/>
          <w:i w:val="0"/>
          <w:iCs w:val="0"/>
          <w:sz w:val="20"/>
          <w:szCs w:val="20"/>
        </w:rPr>
        <w:t xml:space="preserve"> та </w:t>
      </w:r>
      <w:r w:rsidRPr="5FA3781F" w:rsidR="5FA3781F">
        <w:rPr>
          <w:rFonts w:ascii="Times New Roman" w:hAnsi="Times New Roman" w:eastAsia="Times New Roman" w:cs="Times New Roman"/>
          <w:b w:val="0"/>
          <w:bCs w:val="0"/>
          <w:i w:val="0"/>
          <w:iCs w:val="0"/>
          <w:sz w:val="20"/>
          <w:szCs w:val="20"/>
        </w:rPr>
        <w:t>конкурентоспроможності</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країн</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Висококваліфіковані</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фахівці</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здатні</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адаптуватися</w:t>
      </w:r>
      <w:r w:rsidRPr="5FA3781F" w:rsidR="5FA3781F">
        <w:rPr>
          <w:rFonts w:ascii="Times New Roman" w:hAnsi="Times New Roman" w:eastAsia="Times New Roman" w:cs="Times New Roman"/>
          <w:b w:val="0"/>
          <w:bCs w:val="0"/>
          <w:i w:val="0"/>
          <w:iCs w:val="0"/>
          <w:sz w:val="20"/>
          <w:szCs w:val="20"/>
        </w:rPr>
        <w:t xml:space="preserve"> до </w:t>
      </w:r>
      <w:r w:rsidRPr="5FA3781F" w:rsidR="5FA3781F">
        <w:rPr>
          <w:rFonts w:ascii="Times New Roman" w:hAnsi="Times New Roman" w:eastAsia="Times New Roman" w:cs="Times New Roman"/>
          <w:b w:val="0"/>
          <w:bCs w:val="0"/>
          <w:i w:val="0"/>
          <w:iCs w:val="0"/>
          <w:sz w:val="20"/>
          <w:szCs w:val="20"/>
        </w:rPr>
        <w:t>нових</w:t>
      </w:r>
      <w:r w:rsidRPr="5FA3781F" w:rsidR="5FA3781F">
        <w:rPr>
          <w:rFonts w:ascii="Times New Roman" w:hAnsi="Times New Roman" w:eastAsia="Times New Roman" w:cs="Times New Roman"/>
          <w:b w:val="0"/>
          <w:bCs w:val="0"/>
          <w:i w:val="0"/>
          <w:iCs w:val="0"/>
          <w:sz w:val="20"/>
          <w:szCs w:val="20"/>
        </w:rPr>
        <w:t xml:space="preserve"> умов та </w:t>
      </w:r>
      <w:r w:rsidRPr="5FA3781F" w:rsidR="5FA3781F">
        <w:rPr>
          <w:rFonts w:ascii="Times New Roman" w:hAnsi="Times New Roman" w:eastAsia="Times New Roman" w:cs="Times New Roman"/>
          <w:b w:val="0"/>
          <w:bCs w:val="0"/>
          <w:i w:val="0"/>
          <w:iCs w:val="0"/>
          <w:sz w:val="20"/>
          <w:szCs w:val="20"/>
        </w:rPr>
        <w:t>вимог</w:t>
      </w:r>
      <w:r w:rsidRPr="5FA3781F" w:rsidR="5FA3781F">
        <w:rPr>
          <w:rFonts w:ascii="Times New Roman" w:hAnsi="Times New Roman" w:eastAsia="Times New Roman" w:cs="Times New Roman"/>
          <w:b w:val="0"/>
          <w:bCs w:val="0"/>
          <w:i w:val="0"/>
          <w:iCs w:val="0"/>
          <w:sz w:val="20"/>
          <w:szCs w:val="20"/>
        </w:rPr>
        <w:t xml:space="preserve"> ринку, є </w:t>
      </w:r>
      <w:r w:rsidRPr="5FA3781F" w:rsidR="5FA3781F">
        <w:rPr>
          <w:rFonts w:ascii="Times New Roman" w:hAnsi="Times New Roman" w:eastAsia="Times New Roman" w:cs="Times New Roman"/>
          <w:b w:val="0"/>
          <w:bCs w:val="0"/>
          <w:i w:val="0"/>
          <w:iCs w:val="0"/>
          <w:sz w:val="20"/>
          <w:szCs w:val="20"/>
        </w:rPr>
        <w:t>ключовим</w:t>
      </w:r>
      <w:r w:rsidRPr="5FA3781F" w:rsidR="5FA3781F">
        <w:rPr>
          <w:rFonts w:ascii="Times New Roman" w:hAnsi="Times New Roman" w:eastAsia="Times New Roman" w:cs="Times New Roman"/>
          <w:b w:val="0"/>
          <w:bCs w:val="0"/>
          <w:i w:val="0"/>
          <w:iCs w:val="0"/>
          <w:sz w:val="20"/>
          <w:szCs w:val="20"/>
        </w:rPr>
        <w:t xml:space="preserve"> фактором </w:t>
      </w:r>
      <w:r w:rsidRPr="5FA3781F" w:rsidR="5FA3781F">
        <w:rPr>
          <w:rFonts w:ascii="Times New Roman" w:hAnsi="Times New Roman" w:eastAsia="Times New Roman" w:cs="Times New Roman"/>
          <w:b w:val="0"/>
          <w:bCs w:val="0"/>
          <w:i w:val="0"/>
          <w:iCs w:val="0"/>
          <w:sz w:val="20"/>
          <w:szCs w:val="20"/>
        </w:rPr>
        <w:t>успіху</w:t>
      </w:r>
      <w:r w:rsidRPr="5FA3781F" w:rsidR="5FA3781F">
        <w:rPr>
          <w:rFonts w:ascii="Times New Roman" w:hAnsi="Times New Roman" w:eastAsia="Times New Roman" w:cs="Times New Roman"/>
          <w:b w:val="0"/>
          <w:bCs w:val="0"/>
          <w:i w:val="0"/>
          <w:iCs w:val="0"/>
          <w:sz w:val="20"/>
          <w:szCs w:val="20"/>
        </w:rPr>
        <w:t xml:space="preserve"> як для </w:t>
      </w:r>
      <w:r w:rsidRPr="5FA3781F" w:rsidR="5FA3781F">
        <w:rPr>
          <w:rFonts w:ascii="Times New Roman" w:hAnsi="Times New Roman" w:eastAsia="Times New Roman" w:cs="Times New Roman"/>
          <w:b w:val="0"/>
          <w:bCs w:val="0"/>
          <w:i w:val="0"/>
          <w:iCs w:val="0"/>
          <w:sz w:val="20"/>
          <w:szCs w:val="20"/>
        </w:rPr>
        <w:t>окремих</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компаній</w:t>
      </w:r>
      <w:r w:rsidRPr="5FA3781F" w:rsidR="5FA3781F">
        <w:rPr>
          <w:rFonts w:ascii="Times New Roman" w:hAnsi="Times New Roman" w:eastAsia="Times New Roman" w:cs="Times New Roman"/>
          <w:b w:val="0"/>
          <w:bCs w:val="0"/>
          <w:i w:val="0"/>
          <w:iCs w:val="0"/>
          <w:sz w:val="20"/>
          <w:szCs w:val="20"/>
        </w:rPr>
        <w:t xml:space="preserve">, так і для </w:t>
      </w:r>
      <w:r w:rsidRPr="5FA3781F" w:rsidR="5FA3781F">
        <w:rPr>
          <w:rFonts w:ascii="Times New Roman" w:hAnsi="Times New Roman" w:eastAsia="Times New Roman" w:cs="Times New Roman"/>
          <w:b w:val="0"/>
          <w:bCs w:val="0"/>
          <w:i w:val="0"/>
          <w:iCs w:val="0"/>
          <w:sz w:val="20"/>
          <w:szCs w:val="20"/>
        </w:rPr>
        <w:t>держави</w:t>
      </w:r>
      <w:r w:rsidRPr="5FA3781F" w:rsidR="5FA3781F">
        <w:rPr>
          <w:rFonts w:ascii="Times New Roman" w:hAnsi="Times New Roman" w:eastAsia="Times New Roman" w:cs="Times New Roman"/>
          <w:b w:val="0"/>
          <w:bCs w:val="0"/>
          <w:i w:val="0"/>
          <w:iCs w:val="0"/>
          <w:sz w:val="20"/>
          <w:szCs w:val="20"/>
        </w:rPr>
        <w:t xml:space="preserve"> в </w:t>
      </w:r>
      <w:r w:rsidRPr="5FA3781F" w:rsidR="5FA3781F">
        <w:rPr>
          <w:rFonts w:ascii="Times New Roman" w:hAnsi="Times New Roman" w:eastAsia="Times New Roman" w:cs="Times New Roman"/>
          <w:b w:val="0"/>
          <w:bCs w:val="0"/>
          <w:i w:val="0"/>
          <w:iCs w:val="0"/>
          <w:sz w:val="20"/>
          <w:szCs w:val="20"/>
        </w:rPr>
        <w:t>цілому</w:t>
      </w:r>
      <w:r w:rsidRPr="5FA3781F" w:rsidR="5FA3781F">
        <w:rPr>
          <w:rFonts w:ascii="Times New Roman" w:hAnsi="Times New Roman" w:eastAsia="Times New Roman" w:cs="Times New Roman"/>
          <w:b w:val="0"/>
          <w:bCs w:val="0"/>
          <w:i w:val="0"/>
          <w:iCs w:val="0"/>
          <w:sz w:val="20"/>
          <w:szCs w:val="20"/>
        </w:rPr>
        <w:t>.</w:t>
      </w:r>
    </w:p>
    <w:p w:rsidR="5FA3781F" w:rsidP="3F6BD185" w:rsidRDefault="5FA3781F" w14:paraId="0FA381B9" w14:textId="6D9F500B">
      <w:pPr>
        <w:pStyle w:val="Normal"/>
        <w:spacing w:line="276" w:lineRule="auto"/>
        <w:ind w:left="0" w:firstLine="708"/>
        <w:jc w:val="both"/>
        <w:rPr>
          <w:rFonts w:ascii="Times New Roman" w:hAnsi="Times New Roman" w:eastAsia="Times New Roman" w:cs="Times New Roman"/>
          <w:b w:val="0"/>
          <w:bCs w:val="0"/>
          <w:i w:val="0"/>
          <w:iCs w:val="0"/>
          <w:sz w:val="20"/>
          <w:szCs w:val="20"/>
        </w:rPr>
      </w:pPr>
      <w:r w:rsidRPr="3F6BD185" w:rsidR="3F6BD185">
        <w:rPr>
          <w:rFonts w:ascii="Times New Roman" w:hAnsi="Times New Roman" w:eastAsia="Times New Roman" w:cs="Times New Roman"/>
          <w:b w:val="0"/>
          <w:bCs w:val="0"/>
          <w:i w:val="0"/>
          <w:iCs w:val="0"/>
          <w:sz w:val="20"/>
          <w:szCs w:val="20"/>
        </w:rPr>
        <w:t xml:space="preserve">Підвищення кваліфікації персоналу відповідно до європейських стандартів та вимог є невід'ємною частиною  розвитку людського капіталу. Це дозволяє працівникам опанувати новітніми знаннями та навичками, розвинути необхідні компетенції, що відповідають сучасним вимогам глобального ринку праці. Інтеграція України в європейський простір  вимагає  відповідної адаптації  системи освіти та професійної підготовки, що відкриває нові можливості  для розвитку людського капіталу,  сприяє  інтеграції в Європейський Союз та  забезпечує  </w:t>
      </w:r>
      <w:r w:rsidRPr="3F6BD185" w:rsidR="3F6BD185">
        <w:rPr>
          <w:rFonts w:ascii="Times New Roman" w:hAnsi="Times New Roman" w:eastAsia="Times New Roman" w:cs="Times New Roman"/>
          <w:b w:val="0"/>
          <w:bCs w:val="0"/>
          <w:i w:val="0"/>
          <w:iCs w:val="0"/>
          <w:sz w:val="20"/>
          <w:szCs w:val="20"/>
        </w:rPr>
        <w:t>конкурентоздатність</w:t>
      </w:r>
      <w:r w:rsidRPr="3F6BD185" w:rsidR="3F6BD185">
        <w:rPr>
          <w:rFonts w:ascii="Times New Roman" w:hAnsi="Times New Roman" w:eastAsia="Times New Roman" w:cs="Times New Roman"/>
          <w:b w:val="0"/>
          <w:bCs w:val="0"/>
          <w:i w:val="0"/>
          <w:iCs w:val="0"/>
          <w:sz w:val="20"/>
          <w:szCs w:val="20"/>
        </w:rPr>
        <w:t xml:space="preserve"> українських фахівців на міжнародному рівні.</w:t>
      </w:r>
    </w:p>
    <w:p w:rsidR="5FA3781F" w:rsidP="5FA3781F" w:rsidRDefault="5FA3781F" w14:paraId="452A4480" w14:textId="305F8093">
      <w:pPr>
        <w:pStyle w:val="Normal"/>
        <w:spacing w:line="276" w:lineRule="auto"/>
        <w:ind w:left="0" w:firstLine="708"/>
        <w:jc w:val="both"/>
        <w:rPr>
          <w:rFonts w:ascii="Times New Roman" w:hAnsi="Times New Roman" w:eastAsia="Times New Roman" w:cs="Times New Roman"/>
          <w:b w:val="0"/>
          <w:bCs w:val="0"/>
          <w:i w:val="0"/>
          <w:iCs w:val="0"/>
          <w:sz w:val="20"/>
          <w:szCs w:val="20"/>
        </w:rPr>
      </w:pPr>
      <w:r w:rsidRPr="5FA3781F" w:rsidR="5FA3781F">
        <w:rPr>
          <w:rFonts w:ascii="Times New Roman" w:hAnsi="Times New Roman" w:eastAsia="Times New Roman" w:cs="Times New Roman"/>
          <w:b w:val="0"/>
          <w:bCs w:val="0"/>
          <w:i w:val="0"/>
          <w:iCs w:val="0"/>
          <w:sz w:val="20"/>
          <w:szCs w:val="20"/>
        </w:rPr>
        <w:t>Ця</w:t>
      </w:r>
      <w:r w:rsidRPr="5FA3781F" w:rsidR="5FA3781F">
        <w:rPr>
          <w:rFonts w:ascii="Times New Roman" w:hAnsi="Times New Roman" w:eastAsia="Times New Roman" w:cs="Times New Roman"/>
          <w:b w:val="0"/>
          <w:bCs w:val="0"/>
          <w:i w:val="0"/>
          <w:iCs w:val="0"/>
          <w:sz w:val="20"/>
          <w:szCs w:val="20"/>
        </w:rPr>
        <w:t xml:space="preserve"> теза покликана </w:t>
      </w:r>
      <w:r w:rsidRPr="5FA3781F" w:rsidR="5FA3781F">
        <w:rPr>
          <w:rFonts w:ascii="Times New Roman" w:hAnsi="Times New Roman" w:eastAsia="Times New Roman" w:cs="Times New Roman"/>
          <w:b w:val="0"/>
          <w:bCs w:val="0"/>
          <w:i w:val="0"/>
          <w:iCs w:val="0"/>
          <w:sz w:val="20"/>
          <w:szCs w:val="20"/>
        </w:rPr>
        <w:t>розглянути</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ключові</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аспекти</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розвитку</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людського</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капіталу</w:t>
      </w:r>
      <w:r w:rsidRPr="5FA3781F" w:rsidR="5FA3781F">
        <w:rPr>
          <w:rFonts w:ascii="Times New Roman" w:hAnsi="Times New Roman" w:eastAsia="Times New Roman" w:cs="Times New Roman"/>
          <w:b w:val="0"/>
          <w:bCs w:val="0"/>
          <w:i w:val="0"/>
          <w:iCs w:val="0"/>
          <w:sz w:val="20"/>
          <w:szCs w:val="20"/>
        </w:rPr>
        <w:t xml:space="preserve"> та </w:t>
      </w:r>
      <w:r w:rsidRPr="5FA3781F" w:rsidR="5FA3781F">
        <w:rPr>
          <w:rFonts w:ascii="Times New Roman" w:hAnsi="Times New Roman" w:eastAsia="Times New Roman" w:cs="Times New Roman"/>
          <w:b w:val="0"/>
          <w:bCs w:val="0"/>
          <w:i w:val="0"/>
          <w:iCs w:val="0"/>
          <w:sz w:val="20"/>
          <w:szCs w:val="20"/>
        </w:rPr>
        <w:t>підвищення</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кваліфікації</w:t>
      </w:r>
      <w:r w:rsidRPr="5FA3781F" w:rsidR="5FA3781F">
        <w:rPr>
          <w:rFonts w:ascii="Times New Roman" w:hAnsi="Times New Roman" w:eastAsia="Times New Roman" w:cs="Times New Roman"/>
          <w:b w:val="0"/>
          <w:bCs w:val="0"/>
          <w:i w:val="0"/>
          <w:iCs w:val="0"/>
          <w:sz w:val="20"/>
          <w:szCs w:val="20"/>
        </w:rPr>
        <w:t xml:space="preserve"> персоналу </w:t>
      </w:r>
      <w:r w:rsidRPr="5FA3781F" w:rsidR="5FA3781F">
        <w:rPr>
          <w:rFonts w:ascii="Times New Roman" w:hAnsi="Times New Roman" w:eastAsia="Times New Roman" w:cs="Times New Roman"/>
          <w:b w:val="0"/>
          <w:bCs w:val="0"/>
          <w:i w:val="0"/>
          <w:iCs w:val="0"/>
          <w:sz w:val="20"/>
          <w:szCs w:val="20"/>
        </w:rPr>
        <w:t>згідно</w:t>
      </w:r>
      <w:r w:rsidRPr="5FA3781F" w:rsidR="5FA3781F">
        <w:rPr>
          <w:rFonts w:ascii="Times New Roman" w:hAnsi="Times New Roman" w:eastAsia="Times New Roman" w:cs="Times New Roman"/>
          <w:b w:val="0"/>
          <w:bCs w:val="0"/>
          <w:i w:val="0"/>
          <w:iCs w:val="0"/>
          <w:sz w:val="20"/>
          <w:szCs w:val="20"/>
        </w:rPr>
        <w:t xml:space="preserve"> з </w:t>
      </w:r>
      <w:r w:rsidRPr="5FA3781F" w:rsidR="5FA3781F">
        <w:rPr>
          <w:rFonts w:ascii="Times New Roman" w:hAnsi="Times New Roman" w:eastAsia="Times New Roman" w:cs="Times New Roman"/>
          <w:b w:val="0"/>
          <w:bCs w:val="0"/>
          <w:i w:val="0"/>
          <w:iCs w:val="0"/>
          <w:sz w:val="20"/>
          <w:szCs w:val="20"/>
        </w:rPr>
        <w:t>європейськими</w:t>
      </w:r>
      <w:r w:rsidRPr="5FA3781F" w:rsidR="5FA3781F">
        <w:rPr>
          <w:rFonts w:ascii="Times New Roman" w:hAnsi="Times New Roman" w:eastAsia="Times New Roman" w:cs="Times New Roman"/>
          <w:b w:val="0"/>
          <w:bCs w:val="0"/>
          <w:i w:val="0"/>
          <w:iCs w:val="0"/>
          <w:sz w:val="20"/>
          <w:szCs w:val="20"/>
        </w:rPr>
        <w:t xml:space="preserve"> стандартами,  </w:t>
      </w:r>
      <w:r w:rsidRPr="5FA3781F" w:rsidR="5FA3781F">
        <w:rPr>
          <w:rFonts w:ascii="Times New Roman" w:hAnsi="Times New Roman" w:eastAsia="Times New Roman" w:cs="Times New Roman"/>
          <w:b w:val="0"/>
          <w:bCs w:val="0"/>
          <w:i w:val="0"/>
          <w:iCs w:val="0"/>
          <w:sz w:val="20"/>
          <w:szCs w:val="20"/>
        </w:rPr>
        <w:t>визначити</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ключові</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виклики</w:t>
      </w:r>
      <w:r w:rsidRPr="5FA3781F" w:rsidR="5FA3781F">
        <w:rPr>
          <w:rFonts w:ascii="Times New Roman" w:hAnsi="Times New Roman" w:eastAsia="Times New Roman" w:cs="Times New Roman"/>
          <w:b w:val="0"/>
          <w:bCs w:val="0"/>
          <w:i w:val="0"/>
          <w:iCs w:val="0"/>
          <w:sz w:val="20"/>
          <w:szCs w:val="20"/>
        </w:rPr>
        <w:t xml:space="preserve"> та  </w:t>
      </w:r>
      <w:r w:rsidRPr="5FA3781F" w:rsidR="5FA3781F">
        <w:rPr>
          <w:rFonts w:ascii="Times New Roman" w:hAnsi="Times New Roman" w:eastAsia="Times New Roman" w:cs="Times New Roman"/>
          <w:b w:val="0"/>
          <w:bCs w:val="0"/>
          <w:i w:val="0"/>
          <w:iCs w:val="0"/>
          <w:sz w:val="20"/>
          <w:szCs w:val="20"/>
        </w:rPr>
        <w:t>перспективи</w:t>
      </w:r>
      <w:r w:rsidRPr="5FA3781F" w:rsidR="5FA3781F">
        <w:rPr>
          <w:rFonts w:ascii="Times New Roman" w:hAnsi="Times New Roman" w:eastAsia="Times New Roman" w:cs="Times New Roman"/>
          <w:b w:val="0"/>
          <w:bCs w:val="0"/>
          <w:i w:val="0"/>
          <w:iCs w:val="0"/>
          <w:sz w:val="20"/>
          <w:szCs w:val="20"/>
        </w:rPr>
        <w:t xml:space="preserve">  для  </w:t>
      </w:r>
      <w:r w:rsidRPr="5FA3781F" w:rsidR="5FA3781F">
        <w:rPr>
          <w:rFonts w:ascii="Times New Roman" w:hAnsi="Times New Roman" w:eastAsia="Times New Roman" w:cs="Times New Roman"/>
          <w:b w:val="0"/>
          <w:bCs w:val="0"/>
          <w:i w:val="0"/>
          <w:iCs w:val="0"/>
          <w:sz w:val="20"/>
          <w:szCs w:val="20"/>
        </w:rPr>
        <w:t>України</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на  шляху</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інтеграції</w:t>
      </w:r>
      <w:r w:rsidRPr="5FA3781F" w:rsidR="5FA3781F">
        <w:rPr>
          <w:rFonts w:ascii="Times New Roman" w:hAnsi="Times New Roman" w:eastAsia="Times New Roman" w:cs="Times New Roman"/>
          <w:b w:val="0"/>
          <w:bCs w:val="0"/>
          <w:i w:val="0"/>
          <w:iCs w:val="0"/>
          <w:sz w:val="20"/>
          <w:szCs w:val="20"/>
        </w:rPr>
        <w:t xml:space="preserve">  в  </w:t>
      </w:r>
      <w:r w:rsidRPr="5FA3781F" w:rsidR="5FA3781F">
        <w:rPr>
          <w:rFonts w:ascii="Times New Roman" w:hAnsi="Times New Roman" w:eastAsia="Times New Roman" w:cs="Times New Roman"/>
          <w:b w:val="0"/>
          <w:bCs w:val="0"/>
          <w:i w:val="0"/>
          <w:iCs w:val="0"/>
          <w:sz w:val="20"/>
          <w:szCs w:val="20"/>
        </w:rPr>
        <w:t>європейський</w:t>
      </w:r>
      <w:r w:rsidRPr="5FA3781F" w:rsidR="5FA3781F">
        <w:rPr>
          <w:rFonts w:ascii="Times New Roman" w:hAnsi="Times New Roman" w:eastAsia="Times New Roman" w:cs="Times New Roman"/>
          <w:b w:val="0"/>
          <w:bCs w:val="0"/>
          <w:i w:val="0"/>
          <w:iCs w:val="0"/>
          <w:sz w:val="20"/>
          <w:szCs w:val="20"/>
        </w:rPr>
        <w:t xml:space="preserve">  </w:t>
      </w:r>
      <w:r w:rsidRPr="5FA3781F" w:rsidR="5FA3781F">
        <w:rPr>
          <w:rFonts w:ascii="Times New Roman" w:hAnsi="Times New Roman" w:eastAsia="Times New Roman" w:cs="Times New Roman"/>
          <w:b w:val="0"/>
          <w:bCs w:val="0"/>
          <w:i w:val="0"/>
          <w:iCs w:val="0"/>
          <w:sz w:val="20"/>
          <w:szCs w:val="20"/>
        </w:rPr>
        <w:t>простір</w:t>
      </w:r>
      <w:r w:rsidRPr="5FA3781F" w:rsidR="5FA3781F">
        <w:rPr>
          <w:rFonts w:ascii="Times New Roman" w:hAnsi="Times New Roman" w:eastAsia="Times New Roman" w:cs="Times New Roman"/>
          <w:b w:val="0"/>
          <w:bCs w:val="0"/>
          <w:i w:val="0"/>
          <w:iCs w:val="0"/>
          <w:sz w:val="20"/>
          <w:szCs w:val="20"/>
        </w:rPr>
        <w:t>.</w:t>
      </w:r>
    </w:p>
    <w:p w:rsidR="5FA3781F" w:rsidP="5FA3781F" w:rsidRDefault="5FA3781F" w14:paraId="77868B53" w14:textId="247F55AC">
      <w:pPr>
        <w:pStyle w:val="Normal"/>
        <w:spacing w:line="276" w:lineRule="auto"/>
        <w:ind w:left="0" w:firstLine="708"/>
        <w:jc w:val="both"/>
      </w:pPr>
      <w:r w:rsidRPr="5FA3781F" w:rsidR="5FA3781F">
        <w:rPr>
          <w:rFonts w:ascii="Times New Roman" w:hAnsi="Times New Roman" w:eastAsia="Times New Roman" w:cs="Times New Roman"/>
          <w:noProof w:val="0"/>
          <w:sz w:val="20"/>
          <w:szCs w:val="20"/>
          <w:lang w:val="uk-UA"/>
        </w:rPr>
        <w:t>Історично Україна відставала за показниками економіки та людського капіталу порівняно із сусідніми країнами та країнами із середнім рівнем доходу. Війна завдала істотної шкоди людському капіталу України: багато людей загинули, чимало отримали поранення і травми, що зробило їх непрацездатними. За оцінками, більше третини населення були змушені залишити свої домівки, роботу, школу, а також місця і людей, які були невід’ємною частиною їхнього життя. Багато українців, переважно жінки з дітьми, знайшли прихисток за кордоном, проте, часто їхнє життя у країнах, що приймають, є дорогим і важким, незважаючи на велику підтримку.</w:t>
      </w:r>
    </w:p>
    <w:p w:rsidR="5FA3781F" w:rsidP="5FA3781F" w:rsidRDefault="5FA3781F" w14:paraId="5F03536C" w14:textId="085445BF">
      <w:pPr>
        <w:pStyle w:val="Normal"/>
        <w:spacing w:line="276" w:lineRule="auto"/>
        <w:ind w:left="0" w:firstLine="708"/>
        <w:jc w:val="both"/>
      </w:pPr>
      <w:r w:rsidRPr="3F6BD185" w:rsidR="3F6BD185">
        <w:rPr>
          <w:rFonts w:ascii="Times New Roman" w:hAnsi="Times New Roman" w:eastAsia="Times New Roman" w:cs="Times New Roman"/>
          <w:noProof w:val="0"/>
          <w:sz w:val="20"/>
          <w:szCs w:val="20"/>
          <w:lang w:val="uk-UA"/>
        </w:rPr>
        <w:t>Для України надзвичайно важливо зупинити втрату людського капіталу та створити умови, що сприятимуть поверненню до шляху зростання як людського капіталу, так і економіки в цілому. Основне місце в цих зусиллях відведено відновленню і покращенню закладів охорони здоров’я та освіти, поверненню учнів до закладів загальної середньої освіти та надолуженню освітньої програми, навчанню та розвитку навичок, пов’язаних із потребами ринку, забезпеченню гідних можливостей для працевлаштування, а також зобов’язанню допомогти кожній людині повністю реалізувати свій потенціал. Це включає в себе роботу з відповідними зацікавленими сторонами, зокрема соціальними партнерами, а також з найбільш вразливими групами, включаючи людей, які пережили психічні та фізичні травми, та співпрацю з ними. Зазначені зусилля також включають налагодження контакту з українцями, які зараз проживають за кордоном, та сприяння їх поверненню [1].</w:t>
      </w:r>
    </w:p>
    <w:p w:rsidR="5FA3781F" w:rsidP="5FA3781F" w:rsidRDefault="5FA3781F" w14:paraId="48E9D41D" w14:textId="477AE2ED">
      <w:pPr>
        <w:pStyle w:val="Normal"/>
        <w:spacing w:line="276" w:lineRule="auto"/>
        <w:ind w:left="0" w:firstLine="708"/>
        <w:jc w:val="both"/>
      </w:pPr>
      <w:r w:rsidRPr="5FA3781F" w:rsidR="5FA3781F">
        <w:rPr>
          <w:rFonts w:ascii="Times New Roman" w:hAnsi="Times New Roman" w:eastAsia="Times New Roman" w:cs="Times New Roman"/>
          <w:noProof w:val="0"/>
          <w:sz w:val="20"/>
          <w:szCs w:val="20"/>
          <w:lang w:val="uk-UA"/>
        </w:rPr>
        <w:t>Україна веде важку війну не тільки за свою територію, а й за національну та культурну ідентичність, свободу, право на волевиявлення. Тому сьогодні роль освіти і науки полягає не лише в підготовці здобувачів до життя та подальшого навчання, а й у формуванні їхньої національної свідомості, культурних цінностей, відповідальності, суб’єктності, критичного мислення. Водночас пандемія та війна уповільнюють процеси розвитку освіти, трансформації освітньої системи. Для ухвалення подальших рішень, формування політик та ефективного управління необхідно врахувати як позитивні здобутки, які ми маємо в освітньому й науковому просторі, так і виклики, зумовлені різними чинниками.</w:t>
      </w:r>
    </w:p>
    <w:p w:rsidR="5FA3781F" w:rsidP="5FA3781F" w:rsidRDefault="5FA3781F" w14:paraId="5F6B1AFD" w14:textId="0FC9D4B5">
      <w:pPr>
        <w:pStyle w:val="Normal"/>
        <w:spacing w:line="276" w:lineRule="auto"/>
        <w:ind w:left="0" w:firstLine="708"/>
        <w:jc w:val="both"/>
      </w:pPr>
      <w:r w:rsidRPr="5FA3781F" w:rsidR="5FA3781F">
        <w:rPr>
          <w:rFonts w:ascii="Times New Roman" w:hAnsi="Times New Roman" w:eastAsia="Times New Roman" w:cs="Times New Roman"/>
          <w:noProof w:val="0"/>
          <w:sz w:val="20"/>
          <w:szCs w:val="20"/>
          <w:lang w:val="uk-UA"/>
        </w:rPr>
        <w:t>Ключові виклики у сфері освіти і науки можна умовно розділити на чотири групи: втрата людського капіталу; зруйнована інфраструктура; потреба в трансформації змісту й організації освітнього процесу й наукової діяльності; проблеми, пов’язані з фінансуванням освіти і науки.</w:t>
      </w:r>
    </w:p>
    <w:p w:rsidR="5FA3781F" w:rsidP="5FA3781F" w:rsidRDefault="5FA3781F" w14:paraId="50DB73F7" w14:textId="3241E2A3">
      <w:pPr>
        <w:pStyle w:val="Normal"/>
        <w:spacing w:line="276" w:lineRule="auto"/>
        <w:ind w:left="0" w:firstLine="708"/>
        <w:jc w:val="both"/>
        <w:rPr>
          <w:rFonts w:ascii="Times New Roman" w:hAnsi="Times New Roman" w:eastAsia="Times New Roman" w:cs="Times New Roman"/>
          <w:b w:val="1"/>
          <w:bCs w:val="1"/>
          <w:noProof w:val="0"/>
          <w:sz w:val="20"/>
          <w:szCs w:val="20"/>
          <w:lang w:val="uk-UA"/>
        </w:rPr>
      </w:pPr>
      <w:r w:rsidRPr="5FA3781F" w:rsidR="5FA3781F">
        <w:rPr>
          <w:rFonts w:ascii="Times New Roman" w:hAnsi="Times New Roman" w:eastAsia="Times New Roman" w:cs="Times New Roman"/>
          <w:b w:val="1"/>
          <w:bCs w:val="1"/>
          <w:noProof w:val="0"/>
          <w:sz w:val="20"/>
          <w:szCs w:val="20"/>
          <w:lang w:val="uk-UA"/>
        </w:rPr>
        <w:t xml:space="preserve">Виклики, пов’язані із втратами людського капіталу </w:t>
      </w:r>
    </w:p>
    <w:p w:rsidR="5FA3781F" w:rsidP="5FA3781F" w:rsidRDefault="5FA3781F" w14:paraId="343B1F4B" w14:textId="0886E65E">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Жертви серед працівників закладів освіти, освітніх і наукових установ, науково-виробничих об’єднань, державних органів (установ), які забезпечують підтримку </w:t>
      </w:r>
      <w:r w:rsidRPr="5FA3781F" w:rsidR="5FA3781F">
        <w:rPr>
          <w:rFonts w:ascii="Times New Roman" w:hAnsi="Times New Roman" w:eastAsia="Times New Roman" w:cs="Times New Roman"/>
          <w:noProof w:val="0"/>
          <w:sz w:val="20"/>
          <w:szCs w:val="20"/>
          <w:lang w:val="uk-UA"/>
        </w:rPr>
        <w:t>освітньо</w:t>
      </w:r>
      <w:r w:rsidRPr="5FA3781F" w:rsidR="5FA3781F">
        <w:rPr>
          <w:rFonts w:ascii="Times New Roman" w:hAnsi="Times New Roman" w:eastAsia="Times New Roman" w:cs="Times New Roman"/>
          <w:noProof w:val="0"/>
          <w:sz w:val="20"/>
          <w:szCs w:val="20"/>
          <w:lang w:val="uk-UA"/>
        </w:rPr>
        <w:t xml:space="preserve">-наукової сфери; зниження спроможності до ефективної освітньої / наукової діяльності та зниження працездатності через психологічні травми. </w:t>
      </w:r>
    </w:p>
    <w:p w:rsidR="5FA3781F" w:rsidP="5FA3781F" w:rsidRDefault="5FA3781F" w14:paraId="6A4C793D" w14:textId="3EFA0330">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Низький соціальний престиж професії педагога і науковця, відсутність </w:t>
      </w:r>
      <w:r w:rsidRPr="5FA3781F" w:rsidR="5FA3781F">
        <w:rPr>
          <w:rFonts w:ascii="Times New Roman" w:hAnsi="Times New Roman" w:eastAsia="Times New Roman" w:cs="Times New Roman"/>
          <w:noProof w:val="0"/>
          <w:sz w:val="20"/>
          <w:szCs w:val="20"/>
          <w:lang w:val="uk-UA"/>
        </w:rPr>
        <w:t>стимулюючих</w:t>
      </w:r>
      <w:r w:rsidRPr="5FA3781F" w:rsidR="5FA3781F">
        <w:rPr>
          <w:rFonts w:ascii="Times New Roman" w:hAnsi="Times New Roman" w:eastAsia="Times New Roman" w:cs="Times New Roman"/>
          <w:noProof w:val="0"/>
          <w:sz w:val="20"/>
          <w:szCs w:val="20"/>
          <w:lang w:val="uk-UA"/>
        </w:rPr>
        <w:t xml:space="preserve"> кар’єрних траєкторій, незначна частка молодих учених і педагогів у кадровому потенціалі. </w:t>
      </w:r>
    </w:p>
    <w:p w:rsidR="5FA3781F" w:rsidP="5FA3781F" w:rsidRDefault="5FA3781F" w14:paraId="1A268CE5" w14:textId="052E6281">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Багаторічне зниження рівня народжуваності, що спричинило демографічну кризу, надлишок інфраструктури і порушення балансу між попитом на якісну вищу освіту і можливостями мережі.</w:t>
      </w:r>
    </w:p>
    <w:p w:rsidR="5FA3781F" w:rsidP="5FA3781F" w:rsidRDefault="5FA3781F" w14:paraId="4189E716" w14:textId="07CD5136">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Обмежені можливості для розвитку кваліфікованих управлінських команд, які відповідали б потребам інтеграції системи вищої освіти України в єдиний європейський простір вищої освіти. </w:t>
      </w:r>
    </w:p>
    <w:p w:rsidR="5FA3781F" w:rsidP="5FA3781F" w:rsidRDefault="5FA3781F" w14:paraId="2D7D9F21" w14:textId="0AE3A63B">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Відсутність у закладах освіти або недостатній рівень підготовки практичних психологів, фахівців для надання корекційно-</w:t>
      </w:r>
      <w:r w:rsidRPr="5FA3781F" w:rsidR="5FA3781F">
        <w:rPr>
          <w:rFonts w:ascii="Times New Roman" w:hAnsi="Times New Roman" w:eastAsia="Times New Roman" w:cs="Times New Roman"/>
          <w:noProof w:val="0"/>
          <w:sz w:val="20"/>
          <w:szCs w:val="20"/>
          <w:lang w:val="uk-UA"/>
        </w:rPr>
        <w:t>розвиткових</w:t>
      </w:r>
      <w:r w:rsidRPr="5FA3781F" w:rsidR="5FA3781F">
        <w:rPr>
          <w:rFonts w:ascii="Times New Roman" w:hAnsi="Times New Roman" w:eastAsia="Times New Roman" w:cs="Times New Roman"/>
          <w:noProof w:val="0"/>
          <w:sz w:val="20"/>
          <w:szCs w:val="20"/>
          <w:lang w:val="uk-UA"/>
        </w:rPr>
        <w:t xml:space="preserve"> і психолого-педагогічних послуг, а також фахівців (консультантів) </w:t>
      </w:r>
      <w:r w:rsidRPr="5FA3781F" w:rsidR="5FA3781F">
        <w:rPr>
          <w:rFonts w:ascii="Times New Roman" w:hAnsi="Times New Roman" w:eastAsia="Times New Roman" w:cs="Times New Roman"/>
          <w:noProof w:val="0"/>
          <w:sz w:val="20"/>
          <w:szCs w:val="20"/>
          <w:lang w:val="uk-UA"/>
        </w:rPr>
        <w:t>інклюзивно</w:t>
      </w:r>
      <w:r w:rsidRPr="5FA3781F" w:rsidR="5FA3781F">
        <w:rPr>
          <w:rFonts w:ascii="Times New Roman" w:hAnsi="Times New Roman" w:eastAsia="Times New Roman" w:cs="Times New Roman"/>
          <w:noProof w:val="0"/>
          <w:sz w:val="20"/>
          <w:szCs w:val="20"/>
          <w:lang w:val="uk-UA"/>
        </w:rPr>
        <w:t xml:space="preserve">-ресурсних центрів. </w:t>
      </w:r>
    </w:p>
    <w:p w:rsidR="5FA3781F" w:rsidP="5FA3781F" w:rsidRDefault="5FA3781F" w14:paraId="0C9978E1" w14:textId="67AD9602">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Селективна міграція з переходом в еміграцію конкурентоздатних досвідчених фахівців, зокрема зі знаннями іноземних мов і визнанням у міжнародній професійній спільноті, недостатні матеріальні стимули (серед яких соціально-побутове забезпечення) для їхньої зворотної міграції (переміщення), як результат — дефіцит в Україні кваліфікованих наукових і науково-педагогічних працівників. </w:t>
      </w:r>
    </w:p>
    <w:p w:rsidR="5FA3781F" w:rsidP="5FA3781F" w:rsidRDefault="5FA3781F" w14:paraId="6FF00F7C" w14:textId="3E9BFCA5">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Ризик дефіциту в Україні кваліфікованих фахівців різних галузей. </w:t>
      </w:r>
    </w:p>
    <w:p w:rsidR="5FA3781F" w:rsidP="5FA3781F" w:rsidRDefault="5FA3781F" w14:paraId="48A244F9" w14:textId="2055F6AA">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Дисбаланс попиту на ринку праці та пропозиції з боку системи вищої освіти за деякими спеціальностями (як надлишок, так і нестача підготовлених фахівців).</w:t>
      </w:r>
    </w:p>
    <w:p w:rsidR="5FA3781F" w:rsidP="5FA3781F" w:rsidRDefault="5FA3781F" w14:paraId="00E87362" w14:textId="5BB7CFB0">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Відсутність достатніх стимулів для залучення молоді до проведення наукових досліджень, навчання в аспірантурі (докторантурі), вивчення іноземних мов. </w:t>
      </w:r>
    </w:p>
    <w:p w:rsidR="5FA3781F" w:rsidP="5FA3781F" w:rsidRDefault="5FA3781F" w14:paraId="5538725A" w14:textId="2BC10429">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Зменшення кількості здобувачів професійної (професійно-технічної) освіти, а також різка зміна їхнього статево-вікового складу через війну за умови одночасного зростання потреб ринку праці в кваліфікованих робітничих кадрах, зокрема беручи до уваги потребу у відбудові країни внаслідок війни. </w:t>
      </w:r>
    </w:p>
    <w:p w:rsidR="5FA3781F" w:rsidP="5FA3781F" w:rsidRDefault="5FA3781F" w14:paraId="2C415137" w14:textId="1AF14F03">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Значні зміни в контингенті здобувачів освіти, педагогічних, </w:t>
      </w:r>
      <w:r w:rsidRPr="5FA3781F" w:rsidR="5FA3781F">
        <w:rPr>
          <w:rFonts w:ascii="Times New Roman" w:hAnsi="Times New Roman" w:eastAsia="Times New Roman" w:cs="Times New Roman"/>
          <w:noProof w:val="0"/>
          <w:sz w:val="20"/>
          <w:szCs w:val="20"/>
          <w:lang w:val="uk-UA"/>
        </w:rPr>
        <w:t>науково-педагогічних</w:t>
      </w:r>
      <w:r w:rsidRPr="5FA3781F" w:rsidR="5FA3781F">
        <w:rPr>
          <w:rFonts w:ascii="Times New Roman" w:hAnsi="Times New Roman" w:eastAsia="Times New Roman" w:cs="Times New Roman"/>
          <w:noProof w:val="0"/>
          <w:sz w:val="20"/>
          <w:szCs w:val="20"/>
          <w:lang w:val="uk-UA"/>
        </w:rPr>
        <w:t xml:space="preserve"> і наукових працівників, спричинені війною (ВПО, особи, які виїхали за кордон через війну; особи, що перебувають на тимчасово окупованих територіях); порушення усталених наукових </w:t>
      </w:r>
      <w:r w:rsidRPr="5FA3781F" w:rsidR="5FA3781F">
        <w:rPr>
          <w:rFonts w:ascii="Times New Roman" w:hAnsi="Times New Roman" w:eastAsia="Times New Roman" w:cs="Times New Roman"/>
          <w:noProof w:val="0"/>
          <w:sz w:val="20"/>
          <w:szCs w:val="20"/>
          <w:lang w:val="uk-UA"/>
        </w:rPr>
        <w:t>зв’язків</w:t>
      </w:r>
      <w:r w:rsidRPr="5FA3781F" w:rsidR="5FA3781F">
        <w:rPr>
          <w:rFonts w:ascii="Times New Roman" w:hAnsi="Times New Roman" w:eastAsia="Times New Roman" w:cs="Times New Roman"/>
          <w:noProof w:val="0"/>
          <w:sz w:val="20"/>
          <w:szCs w:val="20"/>
          <w:lang w:val="uk-UA"/>
        </w:rPr>
        <w:t xml:space="preserve">; ускладнені процедури заміщення вакантних посад у закладах вищої освіти та наукових установах. </w:t>
      </w:r>
    </w:p>
    <w:p w:rsidR="5FA3781F" w:rsidP="5FA3781F" w:rsidRDefault="5FA3781F" w14:paraId="550799FA" w14:textId="0A25C633">
      <w:pPr>
        <w:pStyle w:val="ListParagraph"/>
        <w:numPr>
          <w:ilvl w:val="0"/>
          <w:numId w:val="1"/>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Відсутність реєстру вчених (дослідників), релевантних підходів до оцінювання їхніх навичок і можливостей, результатів наукової (науково-технічної) діяльності (зокрема із застосуванням сучасних європейських підходів).</w:t>
      </w:r>
    </w:p>
    <w:p w:rsidR="5FA3781F" w:rsidP="5FA3781F" w:rsidRDefault="5FA3781F" w14:paraId="29AA9C39" w14:textId="7836EFF6">
      <w:pPr>
        <w:pStyle w:val="Normal"/>
        <w:spacing w:line="276" w:lineRule="auto"/>
        <w:jc w:val="both"/>
        <w:rPr>
          <w:rFonts w:ascii="Times New Roman" w:hAnsi="Times New Roman" w:eastAsia="Times New Roman" w:cs="Times New Roman"/>
          <w:b w:val="1"/>
          <w:bCs w:val="1"/>
          <w:noProof w:val="0"/>
          <w:sz w:val="20"/>
          <w:szCs w:val="20"/>
          <w:lang w:val="uk-UA"/>
        </w:rPr>
      </w:pPr>
      <w:r w:rsidRPr="5FA3781F" w:rsidR="5FA3781F">
        <w:rPr>
          <w:rFonts w:ascii="Times New Roman" w:hAnsi="Times New Roman" w:eastAsia="Times New Roman" w:cs="Times New Roman"/>
          <w:b w:val="1"/>
          <w:bCs w:val="1"/>
          <w:noProof w:val="0"/>
          <w:sz w:val="20"/>
          <w:szCs w:val="20"/>
          <w:lang w:val="uk-UA"/>
        </w:rPr>
        <w:t>Виклики, пов’язані з освітньою і дослідницькою інфраструктурою</w:t>
      </w:r>
    </w:p>
    <w:p w:rsidR="5FA3781F" w:rsidP="5FA3781F" w:rsidRDefault="5FA3781F" w14:paraId="42ACC1A2" w14:textId="45A1322A">
      <w:pPr>
        <w:pStyle w:val="ListParagraph"/>
        <w:numPr>
          <w:ilvl w:val="0"/>
          <w:numId w:val="2"/>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Зруйнована та пошкоджена освітня інфраструктура, знищені й пошкоджені будівлі закладів освіти, освітніх установ унеможливлюють якісне навчання в багатьох регіонах України, не дозволяють організувати очне навчання, що спричиняє освітні втрати. </w:t>
      </w:r>
    </w:p>
    <w:p w:rsidR="5FA3781F" w:rsidP="5FA3781F" w:rsidRDefault="5FA3781F" w14:paraId="31489E58" w14:textId="0235F694">
      <w:pPr>
        <w:pStyle w:val="ListParagraph"/>
        <w:numPr>
          <w:ilvl w:val="0"/>
          <w:numId w:val="2"/>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Недостатня кількість і погане оснащення </w:t>
      </w:r>
      <w:r w:rsidRPr="5FA3781F" w:rsidR="5FA3781F">
        <w:rPr>
          <w:rFonts w:ascii="Times New Roman" w:hAnsi="Times New Roman" w:eastAsia="Times New Roman" w:cs="Times New Roman"/>
          <w:noProof w:val="0"/>
          <w:sz w:val="20"/>
          <w:szCs w:val="20"/>
          <w:lang w:val="uk-UA"/>
        </w:rPr>
        <w:t>ук</w:t>
      </w:r>
      <w:r w:rsidRPr="5FA3781F" w:rsidR="5FA3781F">
        <w:rPr>
          <w:rFonts w:ascii="Times New Roman" w:hAnsi="Times New Roman" w:eastAsia="Times New Roman" w:cs="Times New Roman"/>
          <w:noProof w:val="0"/>
          <w:sz w:val="20"/>
          <w:szCs w:val="20"/>
          <w:lang w:val="uk-UA"/>
        </w:rPr>
        <w:t>риттів</w:t>
      </w:r>
      <w:r w:rsidRPr="5FA3781F" w:rsidR="5FA3781F">
        <w:rPr>
          <w:rFonts w:ascii="Times New Roman" w:hAnsi="Times New Roman" w:eastAsia="Times New Roman" w:cs="Times New Roman"/>
          <w:noProof w:val="0"/>
          <w:sz w:val="20"/>
          <w:szCs w:val="20"/>
          <w:lang w:val="uk-UA"/>
        </w:rPr>
        <w:t xml:space="preserve"> у</w:t>
      </w:r>
      <w:r w:rsidRPr="5FA3781F" w:rsidR="5FA3781F">
        <w:rPr>
          <w:rFonts w:ascii="Times New Roman" w:hAnsi="Times New Roman" w:eastAsia="Times New Roman" w:cs="Times New Roman"/>
          <w:noProof w:val="0"/>
          <w:sz w:val="20"/>
          <w:szCs w:val="20"/>
          <w:lang w:val="uk-UA"/>
        </w:rPr>
        <w:t xml:space="preserve"> закладах освіти та освітніх установах не дозволяють створити безпечні умови для навчання здобувачів освіти. Це ускладнює організацію повноцінного навчання, спричиняє поглиблення освітніх втрат і розривів. </w:t>
      </w:r>
    </w:p>
    <w:p w:rsidR="5FA3781F" w:rsidP="5FA3781F" w:rsidRDefault="5FA3781F" w14:paraId="65D6306A" w14:textId="69B197F0">
      <w:pPr>
        <w:pStyle w:val="ListParagraph"/>
        <w:numPr>
          <w:ilvl w:val="0"/>
          <w:numId w:val="2"/>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Недостатня забезпеченість цифровим обладнанням та доступом до інтернету закладів освіти, освітніх і наукових установ. </w:t>
      </w:r>
    </w:p>
    <w:p w:rsidR="5FA3781F" w:rsidP="5FA3781F" w:rsidRDefault="5FA3781F" w14:paraId="3266688B" w14:textId="1814B11A">
      <w:pPr>
        <w:pStyle w:val="ListParagraph"/>
        <w:numPr>
          <w:ilvl w:val="0"/>
          <w:numId w:val="2"/>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Відсутність мережі кваліфікаційних / сертифікаційних центрів і недостатня розвиненість мережі закладів освіти дорослих, наукових осередків. </w:t>
      </w:r>
    </w:p>
    <w:p w:rsidR="5FA3781F" w:rsidP="5FA3781F" w:rsidRDefault="5FA3781F" w14:paraId="2BE14250" w14:textId="6758984E">
      <w:pPr>
        <w:pStyle w:val="ListParagraph"/>
        <w:numPr>
          <w:ilvl w:val="0"/>
          <w:numId w:val="2"/>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Зруйновані / пошкоджені наукові установи, зокрема науково-дослідні лабораторії, втрата наукової (науково-технічної) інформації, даних, колекцій та архівів. Загроза функціонуванню стратегічно важливих дослідницьких інфраструктурних об’єктів. </w:t>
      </w:r>
    </w:p>
    <w:p w:rsidR="5FA3781F" w:rsidP="5FA3781F" w:rsidRDefault="5FA3781F" w14:paraId="2B11ECC6" w14:textId="50D1F108">
      <w:pPr>
        <w:pStyle w:val="ListParagraph"/>
        <w:numPr>
          <w:ilvl w:val="0"/>
          <w:numId w:val="2"/>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Низький рівень розвитку інноваційної інфраструктури (технологічних, індустріальних, наукових парків, що ефективно працюють; системи трансферу технологій тощо).</w:t>
      </w:r>
    </w:p>
    <w:p w:rsidR="5FA3781F" w:rsidP="5FA3781F" w:rsidRDefault="5FA3781F" w14:paraId="1C61CBE2" w14:textId="38613287">
      <w:pPr>
        <w:pStyle w:val="Normal"/>
        <w:spacing w:line="276" w:lineRule="auto"/>
        <w:jc w:val="both"/>
        <w:rPr>
          <w:rFonts w:ascii="Times New Roman" w:hAnsi="Times New Roman" w:eastAsia="Times New Roman" w:cs="Times New Roman"/>
          <w:b w:val="1"/>
          <w:bCs w:val="1"/>
          <w:i w:val="0"/>
          <w:iCs w:val="0"/>
          <w:noProof w:val="0"/>
          <w:sz w:val="20"/>
          <w:szCs w:val="20"/>
          <w:lang w:val="uk-UA"/>
        </w:rPr>
      </w:pPr>
      <w:r w:rsidRPr="5FA3781F" w:rsidR="5FA3781F">
        <w:rPr>
          <w:rFonts w:ascii="Times New Roman" w:hAnsi="Times New Roman" w:eastAsia="Times New Roman" w:cs="Times New Roman"/>
          <w:b w:val="1"/>
          <w:bCs w:val="1"/>
          <w:i w:val="0"/>
          <w:iCs w:val="0"/>
          <w:noProof w:val="0"/>
          <w:sz w:val="20"/>
          <w:szCs w:val="20"/>
          <w:lang w:val="uk-UA"/>
        </w:rPr>
        <w:t>Виклики, пов’язані зі змістом та організацією освітнього процесу і наукової діяльності</w:t>
      </w:r>
    </w:p>
    <w:p w:rsidR="5FA3781F" w:rsidP="5FA3781F" w:rsidRDefault="5FA3781F" w14:paraId="3FE694D9" w14:textId="13CB5468">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Застарілий зміст освіти, що не є </w:t>
      </w:r>
      <w:r w:rsidRPr="5FA3781F" w:rsidR="5FA3781F">
        <w:rPr>
          <w:rFonts w:ascii="Times New Roman" w:hAnsi="Times New Roman" w:eastAsia="Times New Roman" w:cs="Times New Roman"/>
          <w:noProof w:val="0"/>
          <w:sz w:val="20"/>
          <w:szCs w:val="20"/>
          <w:lang w:val="uk-UA"/>
        </w:rPr>
        <w:t>гендерно</w:t>
      </w:r>
      <w:r w:rsidRPr="5FA3781F" w:rsidR="5FA3781F">
        <w:rPr>
          <w:rFonts w:ascii="Times New Roman" w:hAnsi="Times New Roman" w:eastAsia="Times New Roman" w:cs="Times New Roman"/>
          <w:noProof w:val="0"/>
          <w:sz w:val="20"/>
          <w:szCs w:val="20"/>
          <w:lang w:val="uk-UA"/>
        </w:rPr>
        <w:t xml:space="preserve">-чутливим, іноді містить дискримінаційні положення, зокрема стереотипні уявлення про соціальні ролі чоловіків і жінок, ознаки «мови ворожнечі», </w:t>
      </w:r>
      <w:r w:rsidRPr="5FA3781F" w:rsidR="5FA3781F">
        <w:rPr>
          <w:rFonts w:ascii="Times New Roman" w:hAnsi="Times New Roman" w:eastAsia="Times New Roman" w:cs="Times New Roman"/>
          <w:noProof w:val="0"/>
          <w:sz w:val="20"/>
          <w:szCs w:val="20"/>
          <w:lang w:val="uk-UA"/>
        </w:rPr>
        <w:t>сексизму</w:t>
      </w:r>
      <w:r w:rsidRPr="5FA3781F" w:rsidR="5FA3781F">
        <w:rPr>
          <w:rFonts w:ascii="Times New Roman" w:hAnsi="Times New Roman" w:eastAsia="Times New Roman" w:cs="Times New Roman"/>
          <w:noProof w:val="0"/>
          <w:sz w:val="20"/>
          <w:szCs w:val="20"/>
          <w:lang w:val="uk-UA"/>
        </w:rPr>
        <w:t>.</w:t>
      </w:r>
    </w:p>
    <w:p w:rsidR="5FA3781F" w:rsidP="5FA3781F" w:rsidRDefault="5FA3781F" w14:paraId="487F9E2D" w14:textId="5170ECC8">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Зміст дошкільної освіти та освітнє середовище закладів дошкільної освіти потребують оновлення й осучаснення відповідно до Європейської рамки якості дошкільної освіти та принципів інклюзії. </w:t>
      </w:r>
    </w:p>
    <w:p w:rsidR="5FA3781F" w:rsidP="5FA3781F" w:rsidRDefault="5FA3781F" w14:paraId="53D00046" w14:textId="40DF40DE">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Потреба узгодження змісту шкільної освіти та освітнього середовища з вимогами </w:t>
      </w:r>
      <w:r w:rsidRPr="5FA3781F" w:rsidR="5FA3781F">
        <w:rPr>
          <w:rFonts w:ascii="Times New Roman" w:hAnsi="Times New Roman" w:eastAsia="Times New Roman" w:cs="Times New Roman"/>
          <w:noProof w:val="0"/>
          <w:sz w:val="20"/>
          <w:szCs w:val="20"/>
          <w:lang w:val="uk-UA"/>
        </w:rPr>
        <w:t>компетентнісного</w:t>
      </w:r>
      <w:r w:rsidRPr="5FA3781F" w:rsidR="5FA3781F">
        <w:rPr>
          <w:rFonts w:ascii="Times New Roman" w:hAnsi="Times New Roman" w:eastAsia="Times New Roman" w:cs="Times New Roman"/>
          <w:noProof w:val="0"/>
          <w:sz w:val="20"/>
          <w:szCs w:val="20"/>
          <w:lang w:val="uk-UA"/>
        </w:rPr>
        <w:t xml:space="preserve"> навчання в межах реформи НУШ. </w:t>
      </w:r>
    </w:p>
    <w:p w:rsidR="5FA3781F" w:rsidP="5FA3781F" w:rsidRDefault="5FA3781F" w14:paraId="44E29796" w14:textId="64D64782">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Недостатня відповідність змісту освітніх програм і засобів навчання сучасним технологіям, що призводить до невідповідності </w:t>
      </w:r>
      <w:r w:rsidRPr="5FA3781F" w:rsidR="5FA3781F">
        <w:rPr>
          <w:rFonts w:ascii="Times New Roman" w:hAnsi="Times New Roman" w:eastAsia="Times New Roman" w:cs="Times New Roman"/>
          <w:noProof w:val="0"/>
          <w:sz w:val="20"/>
          <w:szCs w:val="20"/>
          <w:lang w:val="uk-UA"/>
        </w:rPr>
        <w:t>компетентностей</w:t>
      </w:r>
      <w:r w:rsidRPr="5FA3781F" w:rsidR="5FA3781F">
        <w:rPr>
          <w:rFonts w:ascii="Times New Roman" w:hAnsi="Times New Roman" w:eastAsia="Times New Roman" w:cs="Times New Roman"/>
          <w:noProof w:val="0"/>
          <w:sz w:val="20"/>
          <w:szCs w:val="20"/>
          <w:lang w:val="uk-UA"/>
        </w:rPr>
        <w:t xml:space="preserve"> випускників закладів професійної (професійно-технічної), фахової </w:t>
      </w:r>
      <w:r w:rsidRPr="5FA3781F" w:rsidR="5FA3781F">
        <w:rPr>
          <w:rFonts w:ascii="Times New Roman" w:hAnsi="Times New Roman" w:eastAsia="Times New Roman" w:cs="Times New Roman"/>
          <w:noProof w:val="0"/>
          <w:sz w:val="20"/>
          <w:szCs w:val="20"/>
          <w:lang w:val="uk-UA"/>
        </w:rPr>
        <w:t>передвищої</w:t>
      </w:r>
      <w:r w:rsidRPr="5FA3781F" w:rsidR="5FA3781F">
        <w:rPr>
          <w:rFonts w:ascii="Times New Roman" w:hAnsi="Times New Roman" w:eastAsia="Times New Roman" w:cs="Times New Roman"/>
          <w:noProof w:val="0"/>
          <w:sz w:val="20"/>
          <w:szCs w:val="20"/>
          <w:lang w:val="uk-UA"/>
        </w:rPr>
        <w:t xml:space="preserve"> освіти вимогам сучасного ринку праці. </w:t>
      </w:r>
    </w:p>
    <w:p w:rsidR="5FA3781F" w:rsidP="5FA3781F" w:rsidRDefault="5FA3781F" w14:paraId="083DC308" w14:textId="4B89F307">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Втрата налагоджених або відсутність партнерських відносин із бізнесом у професійній та вищій освіті. </w:t>
      </w:r>
    </w:p>
    <w:p w:rsidR="5FA3781F" w:rsidP="5FA3781F" w:rsidRDefault="5FA3781F" w14:paraId="35891A39" w14:textId="00A24095">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Асинхронізація</w:t>
      </w:r>
      <w:r w:rsidRPr="5FA3781F" w:rsidR="5FA3781F">
        <w:rPr>
          <w:rFonts w:ascii="Times New Roman" w:hAnsi="Times New Roman" w:eastAsia="Times New Roman" w:cs="Times New Roman"/>
          <w:noProof w:val="0"/>
          <w:sz w:val="20"/>
          <w:szCs w:val="20"/>
          <w:lang w:val="uk-UA"/>
        </w:rPr>
        <w:t xml:space="preserve"> зусиль і програм міністерств та закладів, залучених до підготовки / перепідготовки ветеранів війни. </w:t>
      </w:r>
    </w:p>
    <w:p w:rsidR="5FA3781F" w:rsidP="5FA3781F" w:rsidRDefault="5FA3781F" w14:paraId="1007FBE5" w14:textId="31A2CD97">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Недосконалість систем базового та конкурсного фінансування наукових досліджень і розробок (фінансування яких відбувається через різні ЦОВВ, ОМС, ГРБК), низький рівень упровадження їхніх результатів в економічну діяльність і суспільну практику, недотримання норм академічної й дослідницької доброчесності. </w:t>
      </w:r>
    </w:p>
    <w:p w:rsidR="5FA3781F" w:rsidP="5FA3781F" w:rsidRDefault="5FA3781F" w14:paraId="40A5B6AB" w14:textId="7FF274BC">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Забезпечення освітніх послуг для дітей, що перебувають на лікуванні або реабілітації в закладах охорони здоров’я, зокрема отримали поранення, травми чи постраждали внаслідок війни. </w:t>
      </w:r>
    </w:p>
    <w:p w:rsidR="5FA3781F" w:rsidP="5FA3781F" w:rsidRDefault="5FA3781F" w14:paraId="3ADA9F57" w14:textId="58373600">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Потреба актуалізації пріоритетних напрямів розвитку науки і техніки та інноваційної діяльності, з огляду на виклики сьогодення та з метою їхнього розширення, зокрема щодо оборонного та безпекового напряму, розвитку людського капіталу, ефективного відновлення територій тощо. Освітні втрати, зумовлені тривалим навчанням здобувачів освіти. </w:t>
      </w:r>
    </w:p>
    <w:p w:rsidR="5FA3781F" w:rsidP="5FA3781F" w:rsidRDefault="5FA3781F" w14:paraId="2E2225AB" w14:textId="5B356CC4">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Відсутність цілісної системи й низька якість психологічної підтримки здобувачів освіти, педагогічних працівників та інших учасників освітнього процесу в закладах освіти. </w:t>
      </w:r>
    </w:p>
    <w:p w:rsidR="5FA3781F" w:rsidP="5FA3781F" w:rsidRDefault="5FA3781F" w14:paraId="35924D37" w14:textId="2158B7C2">
      <w:pPr>
        <w:pStyle w:val="ListParagraph"/>
        <w:numPr>
          <w:ilvl w:val="0"/>
          <w:numId w:val="4"/>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Невідповідна якість інклюзивної освіти та недостатня доступність закладів і установ освіти для осіб з інвалідністю та маломобільних груп населення.</w:t>
      </w:r>
    </w:p>
    <w:p w:rsidR="5FA3781F" w:rsidP="5FA3781F" w:rsidRDefault="5FA3781F" w14:paraId="22CAF3F0" w14:textId="2F20017C">
      <w:pPr>
        <w:pStyle w:val="Normal"/>
        <w:spacing w:line="276" w:lineRule="auto"/>
        <w:jc w:val="both"/>
        <w:rPr>
          <w:rFonts w:ascii="Times New Roman" w:hAnsi="Times New Roman" w:eastAsia="Times New Roman" w:cs="Times New Roman"/>
          <w:b w:val="1"/>
          <w:bCs w:val="1"/>
          <w:noProof w:val="0"/>
          <w:sz w:val="20"/>
          <w:szCs w:val="20"/>
          <w:lang w:val="uk-UA"/>
        </w:rPr>
      </w:pPr>
      <w:r w:rsidRPr="5FA3781F" w:rsidR="5FA3781F">
        <w:rPr>
          <w:rFonts w:ascii="Times New Roman" w:hAnsi="Times New Roman" w:eastAsia="Times New Roman" w:cs="Times New Roman"/>
          <w:b w:val="1"/>
          <w:bCs w:val="1"/>
          <w:noProof w:val="0"/>
          <w:sz w:val="20"/>
          <w:szCs w:val="20"/>
          <w:lang w:val="uk-UA"/>
        </w:rPr>
        <w:t>Виклики, пов’язані із фінансуванням освіти і науки</w:t>
      </w:r>
    </w:p>
    <w:p w:rsidR="5FA3781F" w:rsidP="5FA3781F" w:rsidRDefault="5FA3781F" w14:paraId="0F987D3C" w14:textId="75B2CD12">
      <w:pPr>
        <w:pStyle w:val="ListParagraph"/>
        <w:numPr>
          <w:ilvl w:val="0"/>
          <w:numId w:val="3"/>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Недостатній обсяг фінансування системи освіти і науки на всіх рівнях. Критично низька наукоємність ВВП через недостатнє фінансування науково-технічної та інноваційної діяльності, що знижується майже з кожним роком. </w:t>
      </w:r>
    </w:p>
    <w:p w:rsidR="5FA3781F" w:rsidP="5FA3781F" w:rsidRDefault="5FA3781F" w14:paraId="0E2BC54E" w14:textId="274785C8">
      <w:pPr>
        <w:pStyle w:val="ListParagraph"/>
        <w:numPr>
          <w:ilvl w:val="0"/>
          <w:numId w:val="3"/>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Неефективне використання бюджетних коштів. </w:t>
      </w:r>
    </w:p>
    <w:p w:rsidR="5FA3781F" w:rsidP="5FA3781F" w:rsidRDefault="5FA3781F" w14:paraId="5ABE01A4" w14:textId="7D426C92">
      <w:pPr>
        <w:pStyle w:val="ListParagraph"/>
        <w:numPr>
          <w:ilvl w:val="0"/>
          <w:numId w:val="3"/>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 xml:space="preserve">Недостатній рівень навичок освітнього і наукового менеджменту щодо залучення позабюджетних джерел фінансування освітньої і наукової діяльності. </w:t>
      </w:r>
    </w:p>
    <w:p w:rsidR="5FA3781F" w:rsidP="5FA3781F" w:rsidRDefault="5FA3781F" w14:paraId="238EBA77" w14:textId="00892CDE">
      <w:pPr>
        <w:pStyle w:val="ListParagraph"/>
        <w:numPr>
          <w:ilvl w:val="0"/>
          <w:numId w:val="3"/>
        </w:numPr>
        <w:spacing w:line="276" w:lineRule="auto"/>
        <w:jc w:val="both"/>
        <w:rPr>
          <w:rFonts w:ascii="Times New Roman" w:hAnsi="Times New Roman" w:eastAsia="Times New Roman" w:cs="Times New Roman"/>
          <w:noProof w:val="0"/>
          <w:sz w:val="20"/>
          <w:szCs w:val="20"/>
          <w:lang w:val="uk-UA"/>
        </w:rPr>
      </w:pPr>
      <w:r w:rsidRPr="5FA3781F" w:rsidR="5FA3781F">
        <w:rPr>
          <w:rFonts w:ascii="Times New Roman" w:hAnsi="Times New Roman" w:eastAsia="Times New Roman" w:cs="Times New Roman"/>
          <w:noProof w:val="0"/>
          <w:sz w:val="20"/>
          <w:szCs w:val="20"/>
          <w:lang w:val="uk-UA"/>
        </w:rPr>
        <w:t>Мережа закладів освіти, наукових установ різних ЦОВВ, Національної та національних галузевих академій наук не відповідає масштабам і структурі економіки країни та потребує виваженого підходу до їхньої оптимізації та модернізації механізмів державного фінансування [2].</w:t>
      </w:r>
    </w:p>
    <w:p w:rsidR="5FA3781F" w:rsidP="5FA3781F" w:rsidRDefault="5FA3781F" w14:paraId="4622FC52" w14:textId="1150B048">
      <w:pPr>
        <w:pStyle w:val="Normal"/>
        <w:spacing w:line="276" w:lineRule="auto"/>
        <w:jc w:val="both"/>
        <w:rPr>
          <w:rFonts w:ascii="Times New Roman" w:hAnsi="Times New Roman" w:eastAsia="Times New Roman" w:cs="Times New Roman"/>
          <w:noProof w:val="0"/>
          <w:sz w:val="20"/>
          <w:szCs w:val="20"/>
          <w:lang w:val="uk-UA"/>
        </w:rPr>
      </w:pPr>
      <w:r w:rsidRPr="3F6BD185" w:rsidR="3F6BD185">
        <w:rPr>
          <w:rFonts w:ascii="Times New Roman" w:hAnsi="Times New Roman" w:eastAsia="Times New Roman" w:cs="Times New Roman"/>
          <w:noProof w:val="0"/>
          <w:sz w:val="20"/>
          <w:szCs w:val="20"/>
          <w:lang w:val="uk-UA"/>
        </w:rPr>
        <w:t>Для того, аби відповідати європейським стандартам освіти, МОН України пропонує впровадження заходів, наведених у таблиці 1 (“Матриця змін освітнього процесу”)</w:t>
      </w:r>
    </w:p>
    <w:p w:rsidR="5FA3781F" w:rsidP="3F6BD185" w:rsidRDefault="5FA3781F" w14:paraId="039D8AD8" w14:textId="44940ACF">
      <w:pPr>
        <w:pStyle w:val="Normal"/>
        <w:spacing w:line="276" w:lineRule="auto"/>
        <w:ind/>
        <w:jc w:val="right"/>
        <w:rPr>
          <w:rFonts w:ascii="Times New Roman" w:hAnsi="Times New Roman" w:eastAsia="Times New Roman" w:cs="Times New Roman"/>
          <w:b w:val="1"/>
          <w:bCs w:val="1"/>
          <w:noProof w:val="0"/>
          <w:sz w:val="20"/>
          <w:szCs w:val="20"/>
          <w:lang w:val="uk-UA"/>
        </w:rPr>
      </w:pPr>
      <w:r w:rsidRPr="3F6BD185" w:rsidR="3F6BD185">
        <w:rPr>
          <w:rFonts w:ascii="Times New Roman" w:hAnsi="Times New Roman" w:eastAsia="Times New Roman" w:cs="Times New Roman"/>
          <w:b w:val="1"/>
          <w:bCs w:val="1"/>
          <w:noProof w:val="0"/>
          <w:sz w:val="20"/>
          <w:szCs w:val="20"/>
          <w:lang w:val="uk-UA"/>
        </w:rPr>
        <w:t>Табл. 1. “Матриця змін освітнього процесу”</w:t>
      </w:r>
    </w:p>
    <w:tbl>
      <w:tblPr>
        <w:tblStyle w:val="PlainTable1"/>
        <w:tblW w:w="0" w:type="auto"/>
        <w:jc w:val="center"/>
        <w:tblLayout w:type="fixed"/>
        <w:tblLook w:val="0620" w:firstRow="1" w:lastRow="0" w:firstColumn="0" w:lastColumn="0" w:noHBand="1" w:noVBand="1"/>
      </w:tblPr>
      <w:tblGrid>
        <w:gridCol w:w="1275"/>
        <w:gridCol w:w="1575"/>
        <w:gridCol w:w="1317"/>
        <w:gridCol w:w="1575"/>
        <w:gridCol w:w="1407"/>
        <w:gridCol w:w="1273"/>
        <w:gridCol w:w="1209"/>
      </w:tblGrid>
      <w:tr w:rsidR="3F6BD185" w:rsidTr="3F6BD185" w14:paraId="5FC6B154">
        <w:trPr>
          <w:trHeight w:val="1095"/>
        </w:trPr>
        <w:tc>
          <w:tcPr>
            <w:cnfStyle w:val="000000000000" w:firstRow="0" w:lastRow="0" w:firstColumn="0" w:lastColumn="0" w:oddVBand="0" w:evenVBand="0" w:oddHBand="0" w:evenHBand="0" w:firstRowFirstColumn="0" w:firstRowLastColumn="0" w:lastRowFirstColumn="0" w:lastRowLastColumn="0"/>
            <w:tcW w:w="1275" w:type="dxa"/>
            <w:tcBorders>
              <w:top w:val="single" w:color="000000" w:themeColor="text1" w:sz="12"/>
              <w:left w:val="single" w:color="000000" w:themeColor="text1" w:sz="12"/>
              <w:bottom w:val="single" w:color="000000" w:themeColor="text1" w:sz="12"/>
              <w:right w:val="single" w:color="000000" w:themeColor="text1" w:sz="12"/>
            </w:tcBorders>
            <w:shd w:val="clear" w:color="auto" w:fill="FAE2D5" w:themeFill="accent2" w:themeFillTint="33"/>
            <w:tcMar/>
            <w:vAlign w:val="center"/>
          </w:tcPr>
          <w:p w:rsidR="3F6BD185" w:rsidP="3F6BD185" w:rsidRDefault="3F6BD185" w14:paraId="5FF25844" w14:textId="415B1D27">
            <w:pPr>
              <w:spacing w:before="0" w:beforeAutospacing="off" w:after="0" w:afterAutospacing="off"/>
              <w:jc w:val="center"/>
              <w:rPr>
                <w:rFonts w:ascii="Aptos Narrow" w:hAnsi="Aptos Narrow" w:eastAsia="Aptos Narrow" w:cs="Aptos Narrow"/>
                <w:b w:val="1"/>
                <w:bCs w:val="1"/>
                <w:i w:val="0"/>
                <w:iCs w:val="0"/>
                <w:strike w:val="0"/>
                <w:dstrike w:val="0"/>
                <w:color w:val="000000" w:themeColor="text1" w:themeTint="FF" w:themeShade="FF"/>
                <w:sz w:val="22"/>
                <w:szCs w:val="22"/>
                <w:u w:val="none"/>
              </w:rPr>
            </w:pPr>
            <w:r w:rsidRPr="3F6BD185" w:rsidR="3F6BD185">
              <w:rPr>
                <w:rFonts w:ascii="Aptos Narrow" w:hAnsi="Aptos Narrow" w:eastAsia="Aptos Narrow" w:cs="Aptos Narrow"/>
                <w:b w:val="1"/>
                <w:bCs w:val="1"/>
                <w:i w:val="0"/>
                <w:iCs w:val="0"/>
                <w:strike w:val="0"/>
                <w:dstrike w:val="0"/>
                <w:color w:val="000000" w:themeColor="text1" w:themeTint="FF" w:themeShade="FF"/>
                <w:sz w:val="22"/>
                <w:szCs w:val="22"/>
                <w:u w:val="none"/>
              </w:rPr>
              <w:t>Дитячий садок</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shd w:val="clear" w:color="auto" w:fill="FAE2D5" w:themeFill="accent2" w:themeFillTint="33"/>
            <w:tcMar/>
            <w:vAlign w:val="center"/>
          </w:tcPr>
          <w:p w:rsidR="3F6BD185" w:rsidP="3F6BD185" w:rsidRDefault="3F6BD185" w14:paraId="09E741AA" w14:textId="7D764441">
            <w:pPr>
              <w:spacing w:before="0" w:beforeAutospacing="off" w:after="0" w:afterAutospacing="off"/>
              <w:jc w:val="center"/>
              <w:rPr>
                <w:rFonts w:ascii="Aptos Narrow" w:hAnsi="Aptos Narrow" w:eastAsia="Aptos Narrow" w:cs="Aptos Narrow"/>
                <w:b w:val="1"/>
                <w:bCs w:val="1"/>
                <w:i w:val="0"/>
                <w:iCs w:val="0"/>
                <w:strike w:val="0"/>
                <w:dstrike w:val="0"/>
                <w:color w:val="000000" w:themeColor="text1" w:themeTint="FF" w:themeShade="FF"/>
                <w:sz w:val="22"/>
                <w:szCs w:val="22"/>
                <w:u w:val="none"/>
              </w:rPr>
            </w:pPr>
            <w:r w:rsidRPr="3F6BD185" w:rsidR="3F6BD185">
              <w:rPr>
                <w:rFonts w:ascii="Aptos Narrow" w:hAnsi="Aptos Narrow" w:eastAsia="Aptos Narrow" w:cs="Aptos Narrow"/>
                <w:b w:val="1"/>
                <w:bCs w:val="1"/>
                <w:i w:val="0"/>
                <w:iCs w:val="0"/>
                <w:strike w:val="0"/>
                <w:dstrike w:val="0"/>
                <w:color w:val="000000" w:themeColor="text1" w:themeTint="FF" w:themeShade="FF"/>
                <w:sz w:val="22"/>
                <w:szCs w:val="22"/>
                <w:u w:val="none"/>
              </w:rPr>
              <w:t>Школа (1-9 класи)</w:t>
            </w:r>
          </w:p>
        </w:tc>
        <w:tc>
          <w:tcPr>
            <w:cnfStyle w:val="000000000000" w:firstRow="0" w:lastRow="0" w:firstColumn="0" w:lastColumn="0" w:oddVBand="0" w:evenVBand="0" w:oddHBand="0" w:evenHBand="0" w:firstRowFirstColumn="0" w:firstRowLastColumn="0" w:lastRowFirstColumn="0" w:lastRowLastColumn="0"/>
            <w:tcW w:w="1317" w:type="dxa"/>
            <w:tcBorders>
              <w:top w:val="single" w:color="000000" w:themeColor="text1" w:sz="12"/>
              <w:left w:val="single" w:color="000000" w:themeColor="text1" w:sz="12"/>
              <w:bottom w:val="single" w:color="000000" w:themeColor="text1" w:sz="12"/>
              <w:right w:val="single" w:color="000000" w:themeColor="text1" w:sz="12"/>
            </w:tcBorders>
            <w:shd w:val="clear" w:color="auto" w:fill="FAE2D5" w:themeFill="accent2" w:themeFillTint="33"/>
            <w:tcMar/>
            <w:vAlign w:val="center"/>
          </w:tcPr>
          <w:p w:rsidR="3F6BD185" w:rsidP="3F6BD185" w:rsidRDefault="3F6BD185" w14:paraId="51277FA4" w14:textId="4351E883">
            <w:pPr>
              <w:spacing w:before="0" w:beforeAutospacing="off" w:after="0" w:afterAutospacing="off"/>
              <w:jc w:val="center"/>
              <w:rPr>
                <w:rFonts w:ascii="Aptos Narrow" w:hAnsi="Aptos Narrow" w:eastAsia="Aptos Narrow" w:cs="Aptos Narrow"/>
                <w:b w:val="1"/>
                <w:bCs w:val="1"/>
                <w:i w:val="0"/>
                <w:iCs w:val="0"/>
                <w:strike w:val="0"/>
                <w:dstrike w:val="0"/>
                <w:color w:val="000000" w:themeColor="text1" w:themeTint="FF" w:themeShade="FF"/>
                <w:sz w:val="22"/>
                <w:szCs w:val="22"/>
                <w:u w:val="none"/>
              </w:rPr>
            </w:pPr>
            <w:r w:rsidRPr="3F6BD185" w:rsidR="3F6BD185">
              <w:rPr>
                <w:rFonts w:ascii="Aptos Narrow" w:hAnsi="Aptos Narrow" w:eastAsia="Aptos Narrow" w:cs="Aptos Narrow"/>
                <w:b w:val="1"/>
                <w:bCs w:val="1"/>
                <w:i w:val="0"/>
                <w:iCs w:val="0"/>
                <w:strike w:val="0"/>
                <w:dstrike w:val="0"/>
                <w:color w:val="000000" w:themeColor="text1" w:themeTint="FF" w:themeShade="FF"/>
                <w:sz w:val="22"/>
                <w:szCs w:val="22"/>
                <w:u w:val="none"/>
              </w:rPr>
              <w:t>Академічний ліцей (10—12 класи)</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shd w:val="clear" w:color="auto" w:fill="FAE2D5" w:themeFill="accent2" w:themeFillTint="33"/>
            <w:tcMar/>
            <w:vAlign w:val="center"/>
          </w:tcPr>
          <w:p w:rsidR="3F6BD185" w:rsidP="3F6BD185" w:rsidRDefault="3F6BD185" w14:paraId="6CB65C42" w14:textId="25ACFC31">
            <w:pPr>
              <w:spacing w:before="0" w:beforeAutospacing="off" w:after="0" w:afterAutospacing="off"/>
              <w:jc w:val="center"/>
              <w:rPr>
                <w:rFonts w:ascii="Aptos Narrow" w:hAnsi="Aptos Narrow" w:eastAsia="Aptos Narrow" w:cs="Aptos Narrow"/>
                <w:b w:val="1"/>
                <w:bCs w:val="1"/>
                <w:i w:val="0"/>
                <w:iCs w:val="0"/>
                <w:strike w:val="0"/>
                <w:dstrike w:val="0"/>
                <w:color w:val="000000" w:themeColor="text1" w:themeTint="FF" w:themeShade="FF"/>
                <w:sz w:val="22"/>
                <w:szCs w:val="22"/>
                <w:u w:val="none"/>
              </w:rPr>
            </w:pPr>
            <w:r w:rsidRPr="3F6BD185" w:rsidR="3F6BD185">
              <w:rPr>
                <w:rFonts w:ascii="Aptos Narrow" w:hAnsi="Aptos Narrow" w:eastAsia="Aptos Narrow" w:cs="Aptos Narrow"/>
                <w:b w:val="1"/>
                <w:bCs w:val="1"/>
                <w:i w:val="0"/>
                <w:iCs w:val="0"/>
                <w:strike w:val="0"/>
                <w:dstrike w:val="0"/>
                <w:color w:val="000000" w:themeColor="text1" w:themeTint="FF" w:themeShade="FF"/>
                <w:sz w:val="22"/>
                <w:szCs w:val="22"/>
                <w:u w:val="none"/>
              </w:rPr>
              <w:t>Професійний та фаховий коледжі</w:t>
            </w:r>
          </w:p>
        </w:tc>
        <w:tc>
          <w:tcPr>
            <w:cnfStyle w:val="000000000000" w:firstRow="0" w:lastRow="0" w:firstColumn="0" w:lastColumn="0" w:oddVBand="0" w:evenVBand="0" w:oddHBand="0" w:evenHBand="0" w:firstRowFirstColumn="0" w:firstRowLastColumn="0" w:lastRowFirstColumn="0" w:lastRowLastColumn="0"/>
            <w:tcW w:w="1407" w:type="dxa"/>
            <w:tcBorders>
              <w:top w:val="single" w:color="000000" w:themeColor="text1" w:sz="12"/>
              <w:left w:val="single" w:color="000000" w:themeColor="text1" w:sz="12"/>
              <w:bottom w:val="single" w:color="000000" w:themeColor="text1" w:sz="12"/>
              <w:right w:val="single" w:color="000000" w:themeColor="text1" w:sz="12"/>
            </w:tcBorders>
            <w:shd w:val="clear" w:color="auto" w:fill="FAE2D5" w:themeFill="accent2" w:themeFillTint="33"/>
            <w:tcMar/>
            <w:vAlign w:val="center"/>
          </w:tcPr>
          <w:p w:rsidR="3F6BD185" w:rsidP="3F6BD185" w:rsidRDefault="3F6BD185" w14:paraId="21094151" w14:textId="454625C7">
            <w:pPr>
              <w:spacing w:before="0" w:beforeAutospacing="off" w:after="0" w:afterAutospacing="off"/>
              <w:jc w:val="center"/>
              <w:rPr>
                <w:rFonts w:ascii="Aptos Narrow" w:hAnsi="Aptos Narrow" w:eastAsia="Aptos Narrow" w:cs="Aptos Narrow"/>
                <w:b w:val="1"/>
                <w:bCs w:val="1"/>
                <w:i w:val="0"/>
                <w:iCs w:val="0"/>
                <w:strike w:val="0"/>
                <w:dstrike w:val="0"/>
                <w:color w:val="000000" w:themeColor="text1" w:themeTint="FF" w:themeShade="FF"/>
                <w:sz w:val="22"/>
                <w:szCs w:val="22"/>
                <w:u w:val="none"/>
              </w:rPr>
            </w:pPr>
            <w:r w:rsidRPr="3F6BD185" w:rsidR="3F6BD185">
              <w:rPr>
                <w:rFonts w:ascii="Aptos Narrow" w:hAnsi="Aptos Narrow" w:eastAsia="Aptos Narrow" w:cs="Aptos Narrow"/>
                <w:b w:val="1"/>
                <w:bCs w:val="1"/>
                <w:i w:val="0"/>
                <w:iCs w:val="0"/>
                <w:strike w:val="0"/>
                <w:dstrike w:val="0"/>
                <w:color w:val="000000" w:themeColor="text1" w:themeTint="FF" w:themeShade="FF"/>
                <w:sz w:val="22"/>
                <w:szCs w:val="22"/>
                <w:u w:val="none"/>
              </w:rPr>
              <w:t>Університет</w:t>
            </w:r>
          </w:p>
        </w:tc>
        <w:tc>
          <w:tcPr>
            <w:cnfStyle w:val="000000000000" w:firstRow="0" w:lastRow="0" w:firstColumn="0" w:lastColumn="0" w:oddVBand="0" w:evenVBand="0" w:oddHBand="0" w:evenHBand="0" w:firstRowFirstColumn="0" w:firstRowLastColumn="0" w:lastRowFirstColumn="0" w:lastRowLastColumn="0"/>
            <w:tcW w:w="1273" w:type="dxa"/>
            <w:tcBorders>
              <w:top w:val="single" w:color="000000" w:themeColor="text1" w:sz="12"/>
              <w:left w:val="single" w:color="000000" w:themeColor="text1" w:sz="12"/>
              <w:bottom w:val="single" w:color="000000" w:themeColor="text1" w:sz="12"/>
              <w:right w:val="single" w:color="000000" w:themeColor="text1" w:sz="12"/>
            </w:tcBorders>
            <w:shd w:val="clear" w:color="auto" w:fill="FAE2D5" w:themeFill="accent2" w:themeFillTint="33"/>
            <w:tcMar/>
            <w:vAlign w:val="center"/>
          </w:tcPr>
          <w:p w:rsidR="3F6BD185" w:rsidP="3F6BD185" w:rsidRDefault="3F6BD185" w14:paraId="44939D8E" w14:textId="29ABCFB2">
            <w:pPr>
              <w:spacing w:before="0" w:beforeAutospacing="off" w:after="0" w:afterAutospacing="off"/>
              <w:jc w:val="center"/>
              <w:rPr>
                <w:rFonts w:ascii="Aptos Narrow" w:hAnsi="Aptos Narrow" w:eastAsia="Aptos Narrow" w:cs="Aptos Narrow"/>
                <w:b w:val="1"/>
                <w:bCs w:val="1"/>
                <w:i w:val="0"/>
                <w:iCs w:val="0"/>
                <w:strike w:val="0"/>
                <w:dstrike w:val="0"/>
                <w:color w:val="000000" w:themeColor="text1" w:themeTint="FF" w:themeShade="FF"/>
                <w:sz w:val="22"/>
                <w:szCs w:val="22"/>
                <w:u w:val="none"/>
              </w:rPr>
            </w:pPr>
            <w:r w:rsidRPr="3F6BD185" w:rsidR="3F6BD185">
              <w:rPr>
                <w:rFonts w:ascii="Aptos Narrow" w:hAnsi="Aptos Narrow" w:eastAsia="Aptos Narrow" w:cs="Aptos Narrow"/>
                <w:b w:val="1"/>
                <w:bCs w:val="1"/>
                <w:i w:val="0"/>
                <w:iCs w:val="0"/>
                <w:strike w:val="0"/>
                <w:dstrike w:val="0"/>
                <w:color w:val="000000" w:themeColor="text1" w:themeTint="FF" w:themeShade="FF"/>
                <w:sz w:val="22"/>
                <w:szCs w:val="22"/>
                <w:u w:val="none"/>
              </w:rPr>
              <w:t>Наука</w:t>
            </w:r>
          </w:p>
        </w:tc>
        <w:tc>
          <w:tcPr>
            <w:cnfStyle w:val="000000000000" w:firstRow="0" w:lastRow="0" w:firstColumn="0" w:lastColumn="0" w:oddVBand="0" w:evenVBand="0" w:oddHBand="0" w:evenHBand="0" w:firstRowFirstColumn="0" w:firstRowLastColumn="0" w:lastRowFirstColumn="0" w:lastRowLastColumn="0"/>
            <w:tcW w:w="1209" w:type="dxa"/>
            <w:tcBorders>
              <w:top w:val="single" w:color="000000" w:themeColor="text1" w:sz="12"/>
              <w:left w:val="single" w:color="000000" w:themeColor="text1" w:sz="12"/>
              <w:bottom w:val="single" w:color="000000" w:themeColor="text1" w:sz="12"/>
              <w:right w:val="single" w:color="000000" w:themeColor="text1" w:sz="12"/>
            </w:tcBorders>
            <w:shd w:val="clear" w:color="auto" w:fill="FAE2D5" w:themeFill="accent2" w:themeFillTint="33"/>
            <w:tcMar/>
            <w:vAlign w:val="center"/>
          </w:tcPr>
          <w:p w:rsidR="3F6BD185" w:rsidP="3F6BD185" w:rsidRDefault="3F6BD185" w14:paraId="3BE80396" w14:textId="420CE1C9">
            <w:pPr>
              <w:spacing w:before="0" w:beforeAutospacing="off" w:after="0" w:afterAutospacing="off"/>
              <w:jc w:val="center"/>
              <w:rPr>
                <w:rFonts w:ascii="Aptos Narrow" w:hAnsi="Aptos Narrow" w:eastAsia="Aptos Narrow" w:cs="Aptos Narrow"/>
                <w:b w:val="1"/>
                <w:bCs w:val="1"/>
                <w:i w:val="0"/>
                <w:iCs w:val="0"/>
                <w:strike w:val="0"/>
                <w:dstrike w:val="0"/>
                <w:color w:val="000000" w:themeColor="text1" w:themeTint="FF" w:themeShade="FF"/>
                <w:sz w:val="22"/>
                <w:szCs w:val="22"/>
                <w:u w:val="none"/>
              </w:rPr>
            </w:pPr>
            <w:r w:rsidRPr="3F6BD185" w:rsidR="3F6BD185">
              <w:rPr>
                <w:rFonts w:ascii="Aptos Narrow" w:hAnsi="Aptos Narrow" w:eastAsia="Aptos Narrow" w:cs="Aptos Narrow"/>
                <w:b w:val="1"/>
                <w:bCs w:val="1"/>
                <w:i w:val="0"/>
                <w:iCs w:val="0"/>
                <w:strike w:val="0"/>
                <w:dstrike w:val="0"/>
                <w:color w:val="000000" w:themeColor="text1" w:themeTint="FF" w:themeShade="FF"/>
                <w:sz w:val="22"/>
                <w:szCs w:val="22"/>
                <w:u w:val="none"/>
              </w:rPr>
              <w:t>Позашкілля</w:t>
            </w:r>
          </w:p>
        </w:tc>
      </w:tr>
      <w:tr w:rsidR="3F6BD185" w:rsidTr="3F6BD185" w14:paraId="115CCE50">
        <w:trPr>
          <w:trHeight w:val="1860"/>
        </w:trPr>
        <w:tc>
          <w:tcPr>
            <w:cnfStyle w:val="000000000000" w:firstRow="0" w:lastRow="0" w:firstColumn="0" w:lastColumn="0" w:oddVBand="0" w:evenVBand="0" w:oddHBand="0" w:evenHBand="0" w:firstRowFirstColumn="0" w:firstRowLastColumn="0" w:lastRowFirstColumn="0" w:lastRowLastColumn="0"/>
            <w:tcW w:w="12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77030D44" w14:textId="67103271">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Зміст дошкільної освіти за європейськими стандартами</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3A06F8CF" w14:textId="5B767E0F">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Створення сучасної ефективної мережі закладів освіти</w:t>
            </w:r>
          </w:p>
        </w:tc>
        <w:tc>
          <w:tcPr>
            <w:cnfStyle w:val="000000000000" w:firstRow="0" w:lastRow="0" w:firstColumn="0" w:lastColumn="0" w:oddVBand="0" w:evenVBand="0" w:oddHBand="0" w:evenHBand="0" w:firstRowFirstColumn="0" w:firstRowLastColumn="0" w:lastRowFirstColumn="0" w:lastRowLastColumn="0"/>
            <w:tcW w:w="131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09D399A1" w14:textId="5B767E0F">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Створення сучасної ефективної мережі закладів освіти</w:t>
            </w:r>
          </w:p>
          <w:p w:rsidR="3F6BD185" w:rsidP="3F6BD185" w:rsidRDefault="3F6BD185" w14:paraId="20B6B5A3" w14:textId="1418FBAF">
            <w:pPr>
              <w:pStyle w:val="Normal"/>
            </w:pP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4E799BB0" w14:textId="5B767E0F">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Створення сучасної ефективної мережі закладів освіти</w:t>
            </w:r>
          </w:p>
          <w:p w:rsidR="3F6BD185" w:rsidP="3F6BD185" w:rsidRDefault="3F6BD185" w14:paraId="576DB85F" w14:textId="44347253">
            <w:pPr>
              <w:pStyle w:val="Normal"/>
            </w:pPr>
          </w:p>
        </w:tc>
        <w:tc>
          <w:tcPr>
            <w:cnfStyle w:val="000000000000" w:firstRow="0" w:lastRow="0" w:firstColumn="0" w:lastColumn="0" w:oddVBand="0" w:evenVBand="0" w:oddHBand="0" w:evenHBand="0" w:firstRowFirstColumn="0" w:firstRowLastColumn="0" w:lastRowFirstColumn="0" w:lastRowLastColumn="0"/>
            <w:tcW w:w="140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0A3C0D0D" w14:textId="4969C7AA">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Зміна формули фінансування - критерії успіху ЗВО: наука + працевлаштування</w:t>
            </w:r>
          </w:p>
        </w:tc>
        <w:tc>
          <w:tcPr>
            <w:cnfStyle w:val="000000000000" w:firstRow="0" w:lastRow="0" w:firstColumn="0" w:lastColumn="0" w:oddVBand="0" w:evenVBand="0" w:oddHBand="0" w:evenHBand="0" w:firstRowFirstColumn="0" w:firstRowLastColumn="0" w:lastRowFirstColumn="0" w:lastRowLastColumn="0"/>
            <w:tcW w:w="1273" w:type="dxa"/>
            <w:tcBorders>
              <w:top w:val="single" w:color="000000" w:themeColor="text1" w:sz="12"/>
              <w:left w:val="single" w:color="000000" w:themeColor="text1" w:sz="12"/>
              <w:bottom w:val="single" w:color="000000" w:themeColor="text1" w:sz="12"/>
              <w:right w:val="single" w:color="000000" w:themeColor="text1" w:sz="12"/>
            </w:tcBorders>
            <w:shd w:val="clear" w:color="auto" w:fill="FFFFFF" w:themeFill="background1"/>
            <w:tcMar/>
          </w:tcPr>
          <w:p w:rsidR="3F6BD185" w:rsidP="3F6BD185" w:rsidRDefault="3F6BD185" w14:paraId="181978D2" w14:textId="60154CFC">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Аудит та зміна моделі базового фінансування науки</w:t>
            </w:r>
          </w:p>
        </w:tc>
        <w:tc>
          <w:tcPr>
            <w:cnfStyle w:val="000000000000" w:firstRow="0" w:lastRow="0" w:firstColumn="0" w:lastColumn="0" w:oddVBand="0" w:evenVBand="0" w:oddHBand="0" w:evenHBand="0" w:firstRowFirstColumn="0" w:firstRowLastColumn="0" w:lastRowFirstColumn="0" w:lastRowLastColumn="0"/>
            <w:tcW w:w="1209"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5D68E633" w14:textId="1F599157">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Мережа освітніх центрів у громадах</w:t>
            </w:r>
          </w:p>
        </w:tc>
      </w:tr>
      <w:tr w:rsidR="3F6BD185" w:rsidTr="3F6BD185" w14:paraId="64DB3854">
        <w:trPr>
          <w:trHeight w:val="2775"/>
        </w:trPr>
        <w:tc>
          <w:tcPr>
            <w:cnfStyle w:val="000000000000" w:firstRow="0" w:lastRow="0" w:firstColumn="0" w:lastColumn="0" w:oddVBand="0" w:evenVBand="0" w:oddHBand="0" w:evenHBand="0" w:firstRowFirstColumn="0" w:firstRowLastColumn="0" w:lastRowFirstColumn="0" w:lastRowLastColumn="0"/>
            <w:tcW w:w="12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7A406253" w14:textId="380C7820">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Гарантоване місце в закладі дошкільної освіти</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74049304" w14:textId="1892541F">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Трансформація шкільного простору </w:t>
            </w:r>
          </w:p>
        </w:tc>
        <w:tc>
          <w:tcPr>
            <w:cnfStyle w:val="000000000000" w:firstRow="0" w:lastRow="0" w:firstColumn="0" w:lastColumn="0" w:oddVBand="0" w:evenVBand="0" w:oddHBand="0" w:evenHBand="0" w:firstRowFirstColumn="0" w:firstRowLastColumn="0" w:lastRowFirstColumn="0" w:lastRowLastColumn="0"/>
            <w:tcW w:w="131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31776EE2" w14:textId="33DA4499">
            <w:pPr>
              <w:pStyle w:val="Normal"/>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Трансформація шкільного простору</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080D0017" w14:textId="42CE3D0D">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Трансформація інфраструктури професійного навчання - сучасні гуртожитки та формування хабів</w:t>
            </w:r>
          </w:p>
        </w:tc>
        <w:tc>
          <w:tcPr>
            <w:cnfStyle w:val="000000000000" w:firstRow="0" w:lastRow="0" w:firstColumn="0" w:lastColumn="0" w:oddVBand="0" w:evenVBand="0" w:oddHBand="0" w:evenHBand="0" w:firstRowFirstColumn="0" w:firstRowLastColumn="0" w:lastRowFirstColumn="0" w:lastRowLastColumn="0"/>
            <w:tcW w:w="140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3093173E" w14:textId="5EE3DC95">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Вільна освітня траєкторія (кредитна система) + можливість вибору спеціальності на 2 курсі</w:t>
            </w:r>
          </w:p>
        </w:tc>
        <w:tc>
          <w:tcPr>
            <w:cnfStyle w:val="000000000000" w:firstRow="0" w:lastRow="0" w:firstColumn="0" w:lastColumn="0" w:oddVBand="0" w:evenVBand="0" w:oddHBand="0" w:evenHBand="0" w:firstRowFirstColumn="0" w:firstRowLastColumn="0" w:lastRowFirstColumn="0" w:lastRowLastColumn="0"/>
            <w:tcW w:w="1273"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31F02094" w14:textId="4450D84B">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Дерегуляція спецфондів для коштів бізнесу, міжнародних партнерів та грантових програм</w:t>
            </w:r>
          </w:p>
        </w:tc>
        <w:tc>
          <w:tcPr>
            <w:cnfStyle w:val="000000000000" w:firstRow="0" w:lastRow="0" w:firstColumn="0" w:lastColumn="0" w:oddVBand="0" w:evenVBand="0" w:oddHBand="0" w:evenHBand="0" w:firstRowFirstColumn="0" w:firstRowLastColumn="0" w:lastRowFirstColumn="0" w:lastRowLastColumn="0"/>
            <w:tcW w:w="1209"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473AFA70" w14:textId="3A7854F0">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Система надолуження освітніх втрат</w:t>
            </w:r>
          </w:p>
        </w:tc>
      </w:tr>
      <w:tr w:rsidR="3F6BD185" w:rsidTr="3F6BD185" w14:paraId="134C1FCE">
        <w:trPr>
          <w:trHeight w:val="2355"/>
        </w:trPr>
        <w:tc>
          <w:tcPr>
            <w:cnfStyle w:val="000000000000" w:firstRow="0" w:lastRow="0" w:firstColumn="0" w:lastColumn="0" w:oddVBand="0" w:evenVBand="0" w:oddHBand="0" w:evenHBand="0" w:firstRowFirstColumn="0" w:firstRowLastColumn="0" w:lastRowFirstColumn="0" w:lastRowLastColumn="0"/>
            <w:tcW w:w="12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603DBF61" w14:textId="56A23B15">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Нова система оплати праці</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1C300D65" w14:textId="1F46B689">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Розширення сертифікації вчителів</w:t>
            </w:r>
          </w:p>
        </w:tc>
        <w:tc>
          <w:tcPr>
            <w:cnfStyle w:val="000000000000" w:firstRow="0" w:lastRow="0" w:firstColumn="0" w:lastColumn="0" w:oddVBand="0" w:evenVBand="0" w:oddHBand="0" w:evenHBand="0" w:firstRowFirstColumn="0" w:firstRowLastColumn="0" w:lastRowFirstColumn="0" w:lastRowLastColumn="0"/>
            <w:tcW w:w="131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07EEF10C" w14:textId="1F46B689">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Розширення сертифікації вчителів</w:t>
            </w:r>
          </w:p>
          <w:p w:rsidR="3F6BD185" w:rsidP="3F6BD185" w:rsidRDefault="3F6BD185" w14:paraId="29C83775" w14:textId="1BB7B948">
            <w:pPr>
              <w:pStyle w:val="Normal"/>
            </w:pP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53776F74" w14:textId="3B04096A">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Нові професії, сучасний зміст, </w:t>
            </w: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короткострокові</w:t>
            </w: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 програми</w:t>
            </w:r>
          </w:p>
        </w:tc>
        <w:tc>
          <w:tcPr>
            <w:cnfStyle w:val="000000000000" w:firstRow="0" w:lastRow="0" w:firstColumn="0" w:lastColumn="0" w:oddVBand="0" w:evenVBand="0" w:oddHBand="0" w:evenHBand="0" w:firstRowFirstColumn="0" w:firstRowLastColumn="0" w:lastRowFirstColumn="0" w:lastRowLastColumn="0"/>
            <w:tcW w:w="140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4F3C4769" w14:textId="2E679F23">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Гранти (ваучери) на навчання та зміна підходу до стипендій</w:t>
            </w:r>
          </w:p>
        </w:tc>
        <w:tc>
          <w:tcPr>
            <w:cnfStyle w:val="000000000000" w:firstRow="0" w:lastRow="0" w:firstColumn="0" w:lastColumn="0" w:oddVBand="0" w:evenVBand="0" w:oddHBand="0" w:evenHBand="0" w:firstRowFirstColumn="0" w:firstRowLastColumn="0" w:lastRowFirstColumn="0" w:lastRowLastColumn="0"/>
            <w:tcW w:w="1273"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48F6DD79" w14:textId="7D673221">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Формування</w:t>
            </w: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 екосистеми конкурсного державного фінансування наукових досліджень та розробок</w:t>
            </w:r>
          </w:p>
        </w:tc>
        <w:tc>
          <w:tcPr>
            <w:cnfStyle w:val="000000000000" w:firstRow="0" w:lastRow="0" w:firstColumn="0" w:lastColumn="0" w:oddVBand="0" w:evenVBand="0" w:oddHBand="0" w:evenHBand="0" w:firstRowFirstColumn="0" w:firstRowLastColumn="0" w:lastRowFirstColumn="0" w:lastRowLastColumn="0"/>
            <w:tcW w:w="1209"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400326C3" w14:textId="6B35C127">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Центри науки як інструмент розвитку громад та вчителів</w:t>
            </w:r>
          </w:p>
        </w:tc>
      </w:tr>
      <w:tr w:rsidR="3F6BD185" w:rsidTr="3F6BD185" w14:paraId="6F83F930">
        <w:trPr>
          <w:trHeight w:val="1575"/>
        </w:trPr>
        <w:tc>
          <w:tcPr>
            <w:cnfStyle w:val="000000000000" w:firstRow="0" w:lastRow="0" w:firstColumn="0" w:lastColumn="0" w:oddVBand="0" w:evenVBand="0" w:oddHBand="0" w:evenHBand="0" w:firstRowFirstColumn="0" w:firstRowLastColumn="0" w:lastRowFirstColumn="0" w:lastRowLastColumn="0"/>
            <w:tcW w:w="12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1A36E323" w14:textId="33D1A8D2">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Легкий вхід у професію</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09CC8795" w14:textId="25ED1F55">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Розвиток реформи НУШ</w:t>
            </w:r>
          </w:p>
        </w:tc>
        <w:tc>
          <w:tcPr>
            <w:cnfStyle w:val="000000000000" w:firstRow="0" w:lastRow="0" w:firstColumn="0" w:lastColumn="0" w:oddVBand="0" w:evenVBand="0" w:oddHBand="0" w:evenHBand="0" w:firstRowFirstColumn="0" w:firstRowLastColumn="0" w:lastRowFirstColumn="0" w:lastRowLastColumn="0"/>
            <w:tcW w:w="131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585D4030" w14:textId="53DC0A4A">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Новий стандарт профільної освіти та можливості кредитно-модульної системи</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5C2CA76C" w14:textId="576F900D">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Зміна бренду професійної та фахової освіти з фінансуванням за результатами</w:t>
            </w:r>
          </w:p>
        </w:tc>
        <w:tc>
          <w:tcPr>
            <w:cnfStyle w:val="000000000000" w:firstRow="0" w:lastRow="0" w:firstColumn="0" w:lastColumn="0" w:oddVBand="0" w:evenVBand="0" w:oddHBand="0" w:evenHBand="0" w:firstRowFirstColumn="0" w:firstRowLastColumn="0" w:lastRowFirstColumn="0" w:lastRowLastColumn="0"/>
            <w:tcW w:w="140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743A5CE4" w14:textId="08ABE606">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Фінансова та управлінська автономія: виводимо з/п із тарифної сітки + наглядові ради</w:t>
            </w:r>
          </w:p>
        </w:tc>
        <w:tc>
          <w:tcPr>
            <w:cnfStyle w:val="000000000000" w:firstRow="0" w:lastRow="0" w:firstColumn="0" w:lastColumn="0" w:oddVBand="0" w:evenVBand="0" w:oddHBand="0" w:evenHBand="0" w:firstRowFirstColumn="0" w:firstRowLastColumn="0" w:lastRowFirstColumn="0" w:lastRowLastColumn="0"/>
            <w:tcW w:w="1273"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15CE2204" w14:textId="1BB7652A">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Автономія наукових установ з подальшим створенням наукових кластерів</w:t>
            </w:r>
          </w:p>
        </w:tc>
        <w:tc>
          <w:tcPr>
            <w:cnfStyle w:val="000000000000" w:firstRow="0" w:lastRow="0" w:firstColumn="0" w:lastColumn="0" w:oddVBand="0" w:evenVBand="0" w:oddHBand="0" w:evenHBand="0" w:firstRowFirstColumn="0" w:firstRowLastColumn="0" w:lastRowFirstColumn="0" w:lastRowLastColumn="0"/>
            <w:tcW w:w="1209"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2D871181" w14:textId="126598B2">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Система </w:t>
            </w: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розвитку</w:t>
            </w: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 xml:space="preserve"> підприємницької освіти</w:t>
            </w:r>
          </w:p>
        </w:tc>
      </w:tr>
      <w:tr w:rsidR="3F6BD185" w:rsidTr="3F6BD185" w14:paraId="2C3551A2">
        <w:trPr>
          <w:trHeight w:val="1830"/>
        </w:trPr>
        <w:tc>
          <w:tcPr>
            <w:cnfStyle w:val="000000000000" w:firstRow="0" w:lastRow="0" w:firstColumn="0" w:lastColumn="0" w:oddVBand="0" w:evenVBand="0" w:oddHBand="0" w:evenHBand="0" w:firstRowFirstColumn="0" w:firstRowLastColumn="0" w:lastRowFirstColumn="0" w:lastRowLastColumn="0"/>
            <w:tcW w:w="12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358A1D01" w14:textId="0C2817B9">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Концепція нових форм закладів дошкільної освіти</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2C5C27EC" w14:textId="31C97DEF">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Нова система оплати праці для вчителів та адміністрації закладів загальної середньої освіти</w:t>
            </w:r>
          </w:p>
        </w:tc>
        <w:tc>
          <w:tcPr>
            <w:cnfStyle w:val="000000000000" w:firstRow="0" w:lastRow="0" w:firstColumn="0" w:lastColumn="0" w:oddVBand="0" w:evenVBand="0" w:oddHBand="0" w:evenHBand="0" w:firstRowFirstColumn="0" w:firstRowLastColumn="0" w:lastRowFirstColumn="0" w:lastRowLastColumn="0"/>
            <w:tcW w:w="131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RDefault="3F6BD185" w14:paraId="7352F2EA" w14:textId="3FE2CA51"/>
        </w:tc>
        <w:tc>
          <w:tcPr>
            <w:cnfStyle w:val="000000000000" w:firstRow="0" w:lastRow="0" w:firstColumn="0" w:lastColumn="0" w:oddVBand="0" w:evenVBand="0" w:oddHBand="0" w:evenHBand="0" w:firstRowFirstColumn="0" w:firstRowLastColumn="0" w:lastRowFirstColumn="0" w:lastRowLastColumn="0"/>
            <w:tcW w:w="1575"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66EBC26D" w14:textId="3E31A594">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Умови для бізнесу та фінансова автономія</w:t>
            </w:r>
          </w:p>
        </w:tc>
        <w:tc>
          <w:tcPr>
            <w:cnfStyle w:val="000000000000" w:firstRow="0" w:lastRow="0" w:firstColumn="0" w:lastColumn="0" w:oddVBand="0" w:evenVBand="0" w:oddHBand="0" w:evenHBand="0" w:firstRowFirstColumn="0" w:firstRowLastColumn="0" w:lastRowFirstColumn="0" w:lastRowLastColumn="0"/>
            <w:tcW w:w="1407"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50EA4E01" w14:textId="5775E1DB">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Розвиток мережі інноваційних центрів з університетським ядром</w:t>
            </w:r>
          </w:p>
        </w:tc>
        <w:tc>
          <w:tcPr>
            <w:cnfStyle w:val="000000000000" w:firstRow="0" w:lastRow="0" w:firstColumn="0" w:lastColumn="0" w:oddVBand="0" w:evenVBand="0" w:oddHBand="0" w:evenHBand="0" w:firstRowFirstColumn="0" w:firstRowLastColumn="0" w:lastRowFirstColumn="0" w:lastRowLastColumn="0"/>
            <w:tcW w:w="1273"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P="3F6BD185" w:rsidRDefault="3F6BD185" w14:paraId="476DE034" w14:textId="2059B06F">
            <w:pPr>
              <w:spacing w:before="0" w:beforeAutospacing="off" w:after="0" w:afterAutospacing="off"/>
              <w:jc w:val="center"/>
            </w:pPr>
            <w:r w:rsidRPr="3F6BD185" w:rsidR="3F6BD185">
              <w:rPr>
                <w:rFonts w:ascii="Aptos Narrow" w:hAnsi="Aptos Narrow" w:eastAsia="Aptos Narrow" w:cs="Aptos Narrow"/>
                <w:b w:val="0"/>
                <w:bCs w:val="0"/>
                <w:i w:val="0"/>
                <w:iCs w:val="0"/>
                <w:strike w:val="0"/>
                <w:dstrike w:val="0"/>
                <w:color w:val="000000" w:themeColor="text1" w:themeTint="FF" w:themeShade="FF"/>
                <w:sz w:val="22"/>
                <w:szCs w:val="22"/>
                <w:u w:val="none"/>
              </w:rPr>
              <w:t>Розбудова дослідницької інфраструктури як елемента європейської мережі</w:t>
            </w:r>
          </w:p>
        </w:tc>
        <w:tc>
          <w:tcPr>
            <w:cnfStyle w:val="000000000000" w:firstRow="0" w:lastRow="0" w:firstColumn="0" w:lastColumn="0" w:oddVBand="0" w:evenVBand="0" w:oddHBand="0" w:evenHBand="0" w:firstRowFirstColumn="0" w:firstRowLastColumn="0" w:lastRowFirstColumn="0" w:lastRowLastColumn="0"/>
            <w:tcW w:w="1209" w:type="dxa"/>
            <w:tcBorders>
              <w:top w:val="single" w:color="000000" w:themeColor="text1" w:sz="12"/>
              <w:left w:val="single" w:color="000000" w:themeColor="text1" w:sz="12"/>
              <w:bottom w:val="single" w:color="000000" w:themeColor="text1" w:sz="12"/>
              <w:right w:val="single" w:color="000000" w:themeColor="text1" w:sz="12"/>
            </w:tcBorders>
            <w:tcMar/>
          </w:tcPr>
          <w:p w:rsidR="3F6BD185" w:rsidRDefault="3F6BD185" w14:paraId="4721E8A9" w14:textId="0F1F2224"/>
        </w:tc>
      </w:tr>
    </w:tbl>
    <w:p w:rsidR="5FA3781F" w:rsidP="3F6BD185" w:rsidRDefault="5FA3781F" w14:paraId="38F6FCDB" w14:textId="4E43BC40">
      <w:pPr>
        <w:pStyle w:val="Normal"/>
        <w:spacing w:line="276" w:lineRule="auto"/>
        <w:ind/>
        <w:jc w:val="center"/>
        <w:rPr>
          <w:rFonts w:ascii="Times New Roman" w:hAnsi="Times New Roman" w:eastAsia="Times New Roman" w:cs="Times New Roman"/>
          <w:noProof w:val="0"/>
          <w:sz w:val="20"/>
          <w:szCs w:val="20"/>
          <w:lang w:val="uk-UA"/>
        </w:rPr>
      </w:pPr>
    </w:p>
    <w:p w:rsidR="5FA3781F" w:rsidP="3F6BD185" w:rsidRDefault="5FA3781F" w14:paraId="5A37C1CF" w14:textId="69841DD2">
      <w:pPr>
        <w:pStyle w:val="Normal"/>
        <w:spacing w:line="276" w:lineRule="auto"/>
        <w:ind w:left="0"/>
        <w:jc w:val="both"/>
        <w:rPr>
          <w:rFonts w:ascii="Times New Roman" w:hAnsi="Times New Roman" w:eastAsia="Times New Roman" w:cs="Times New Roman"/>
          <w:noProof w:val="0"/>
          <w:sz w:val="20"/>
          <w:szCs w:val="20"/>
          <w:lang w:val="uk-UA"/>
        </w:rPr>
      </w:pPr>
      <w:r w:rsidRPr="3F6BD185" w:rsidR="3F6BD185">
        <w:rPr>
          <w:rFonts w:ascii="Times New Roman" w:hAnsi="Times New Roman" w:eastAsia="Times New Roman" w:cs="Times New Roman"/>
          <w:noProof w:val="0"/>
          <w:sz w:val="20"/>
          <w:szCs w:val="20"/>
          <w:lang w:val="uk-UA"/>
        </w:rPr>
        <w:t xml:space="preserve">   Ми прагнемо увійти в Європейський Союз та НАТО, аби створити для себе безпечні умови для майбутнього життя та розвитку. Саме тому наш бізнес, громадянський сектор, державні інституції, наше суспільство в цілому наполегливо працюють, аби не лише допомагати Силам оборони боронити Україну, виборювати її незалежність, у </w:t>
      </w:r>
      <w:r w:rsidRPr="3F6BD185" w:rsidR="3F6BD185">
        <w:rPr>
          <w:rFonts w:ascii="Times New Roman" w:hAnsi="Times New Roman" w:eastAsia="Times New Roman" w:cs="Times New Roman"/>
          <w:noProof w:val="0"/>
          <w:sz w:val="20"/>
          <w:szCs w:val="20"/>
          <w:lang w:val="uk-UA"/>
        </w:rPr>
        <w:t>т.ч</w:t>
      </w:r>
      <w:r w:rsidRPr="3F6BD185" w:rsidR="3F6BD185">
        <w:rPr>
          <w:rFonts w:ascii="Times New Roman" w:hAnsi="Times New Roman" w:eastAsia="Times New Roman" w:cs="Times New Roman"/>
          <w:noProof w:val="0"/>
          <w:sz w:val="20"/>
          <w:szCs w:val="20"/>
          <w:lang w:val="uk-UA"/>
        </w:rPr>
        <w:t>. й на усіх можливих міжнародних платформах, але й забезпечувати відповідність вимогам вступу до ЄС та НАТО. Ми маємо й надалі впроваджувати реформи, рухаючись курсом країни – кандидата у члени ЄС [3].</w:t>
      </w:r>
    </w:p>
    <w:p w:rsidR="3F6BD185" w:rsidP="3F6BD185" w:rsidRDefault="3F6BD185" w14:paraId="74C0F88C" w14:textId="14A9DC60">
      <w:pPr>
        <w:pStyle w:val="Normal"/>
        <w:spacing w:line="276" w:lineRule="auto"/>
        <w:ind w:left="0"/>
        <w:jc w:val="center"/>
        <w:rPr>
          <w:rFonts w:ascii="Times New Roman" w:hAnsi="Times New Roman" w:eastAsia="Times New Roman" w:cs="Times New Roman"/>
          <w:b w:val="1"/>
          <w:bCs w:val="1"/>
          <w:noProof w:val="0"/>
          <w:sz w:val="22"/>
          <w:szCs w:val="22"/>
          <w:lang w:val="uk-UA"/>
        </w:rPr>
      </w:pPr>
      <w:r w:rsidRPr="3F6BD185" w:rsidR="3F6BD185">
        <w:rPr>
          <w:rFonts w:ascii="Times New Roman" w:hAnsi="Times New Roman" w:eastAsia="Times New Roman" w:cs="Times New Roman"/>
          <w:b w:val="1"/>
          <w:bCs w:val="1"/>
          <w:noProof w:val="0"/>
          <w:sz w:val="22"/>
          <w:szCs w:val="22"/>
          <w:lang w:val="uk-UA"/>
        </w:rPr>
        <w:t xml:space="preserve">Список використаної </w:t>
      </w:r>
      <w:r w:rsidRPr="3F6BD185" w:rsidR="3F6BD185">
        <w:rPr>
          <w:rFonts w:ascii="Times New Roman" w:hAnsi="Times New Roman" w:eastAsia="Times New Roman" w:cs="Times New Roman"/>
          <w:b w:val="1"/>
          <w:bCs w:val="1"/>
          <w:noProof w:val="0"/>
          <w:sz w:val="22"/>
          <w:szCs w:val="22"/>
          <w:lang w:val="uk-UA"/>
        </w:rPr>
        <w:t>літератури</w:t>
      </w:r>
    </w:p>
    <w:p w:rsidR="5FA3781F" w:rsidP="3F6BD185" w:rsidRDefault="5FA3781F" w14:paraId="1A581F1A" w14:textId="0F8DD3BC">
      <w:pPr>
        <w:pStyle w:val="ListParagraph"/>
        <w:numPr>
          <w:ilvl w:val="0"/>
          <w:numId w:val="5"/>
        </w:numPr>
        <w:spacing w:line="276" w:lineRule="auto"/>
        <w:ind/>
        <w:jc w:val="both"/>
        <w:rPr>
          <w:rFonts w:ascii="Times New Roman" w:hAnsi="Times New Roman" w:eastAsia="Times New Roman" w:cs="Times New Roman"/>
          <w:noProof w:val="0"/>
          <w:sz w:val="20"/>
          <w:szCs w:val="20"/>
          <w:lang w:val="uk-UA"/>
        </w:rPr>
      </w:pPr>
      <w:r w:rsidRPr="3F6BD185" w:rsidR="3F6BD185">
        <w:rPr>
          <w:rFonts w:ascii="Times New Roman" w:hAnsi="Times New Roman" w:eastAsia="Times New Roman" w:cs="Times New Roman"/>
          <w:noProof w:val="0"/>
          <w:sz w:val="20"/>
          <w:szCs w:val="20"/>
          <w:lang w:val="uk-UA"/>
        </w:rPr>
        <w:t xml:space="preserve">“План для 2024-2027 рр. </w:t>
      </w:r>
      <w:r w:rsidRPr="3F6BD185" w:rsidR="3F6BD185">
        <w:rPr>
          <w:rFonts w:ascii="Times New Roman" w:hAnsi="Times New Roman" w:eastAsia="Times New Roman" w:cs="Times New Roman"/>
          <w:noProof w:val="0"/>
          <w:sz w:val="20"/>
          <w:szCs w:val="20"/>
          <w:lang w:val="uk-UA"/>
        </w:rPr>
        <w:t>Ukraine</w:t>
      </w:r>
      <w:r w:rsidRPr="3F6BD185" w:rsidR="3F6BD185">
        <w:rPr>
          <w:rFonts w:ascii="Times New Roman" w:hAnsi="Times New Roman" w:eastAsia="Times New Roman" w:cs="Times New Roman"/>
          <w:noProof w:val="0"/>
          <w:sz w:val="20"/>
          <w:szCs w:val="20"/>
          <w:lang w:val="uk-UA"/>
        </w:rPr>
        <w:t xml:space="preserve"> </w:t>
      </w:r>
      <w:r w:rsidRPr="3F6BD185" w:rsidR="3F6BD185">
        <w:rPr>
          <w:rFonts w:ascii="Times New Roman" w:hAnsi="Times New Roman" w:eastAsia="Times New Roman" w:cs="Times New Roman"/>
          <w:noProof w:val="0"/>
          <w:sz w:val="20"/>
          <w:szCs w:val="20"/>
          <w:lang w:val="uk-UA"/>
        </w:rPr>
        <w:t>Facility</w:t>
      </w:r>
      <w:r w:rsidRPr="3F6BD185" w:rsidR="3F6BD185">
        <w:rPr>
          <w:rFonts w:ascii="Times New Roman" w:hAnsi="Times New Roman" w:eastAsia="Times New Roman" w:cs="Times New Roman"/>
          <w:noProof w:val="0"/>
          <w:sz w:val="20"/>
          <w:szCs w:val="20"/>
          <w:lang w:val="uk-UA"/>
        </w:rPr>
        <w:t xml:space="preserve">” МОН України.  URL: </w:t>
      </w:r>
      <w:hyperlink r:id="Rd6269fa40036464f">
        <w:r w:rsidRPr="3F6BD185" w:rsidR="3F6BD185">
          <w:rPr>
            <w:rStyle w:val="Hyperlink"/>
            <w:rFonts w:ascii="Times New Roman" w:hAnsi="Times New Roman" w:eastAsia="Times New Roman" w:cs="Times New Roman"/>
            <w:noProof w:val="0"/>
            <w:sz w:val="20"/>
            <w:szCs w:val="20"/>
            <w:lang w:val="uk-UA"/>
          </w:rPr>
          <w:t>https://www.ukrainefacility.me.gov.ua/wp-content/uploads/2024/03/plan-ukraine-facility.pdf</w:t>
        </w:r>
      </w:hyperlink>
      <w:r w:rsidRPr="3F6BD185" w:rsidR="3F6BD185">
        <w:rPr>
          <w:rFonts w:ascii="Times New Roman" w:hAnsi="Times New Roman" w:eastAsia="Times New Roman" w:cs="Times New Roman"/>
          <w:noProof w:val="0"/>
          <w:sz w:val="20"/>
          <w:szCs w:val="20"/>
          <w:lang w:val="uk-UA"/>
        </w:rPr>
        <w:t xml:space="preserve"> </w:t>
      </w:r>
    </w:p>
    <w:p w:rsidR="3F6BD185" w:rsidP="3F6BD185" w:rsidRDefault="3F6BD185" w14:paraId="3D302675" w14:textId="2396CFDA">
      <w:pPr>
        <w:pStyle w:val="ListParagraph"/>
        <w:numPr>
          <w:ilvl w:val="0"/>
          <w:numId w:val="5"/>
        </w:numPr>
        <w:spacing w:line="276" w:lineRule="auto"/>
        <w:jc w:val="both"/>
        <w:rPr>
          <w:rFonts w:ascii="Times New Roman" w:hAnsi="Times New Roman" w:eastAsia="Times New Roman" w:cs="Times New Roman"/>
          <w:noProof w:val="0"/>
          <w:sz w:val="20"/>
          <w:szCs w:val="20"/>
          <w:lang w:val="uk-UA"/>
        </w:rPr>
      </w:pPr>
      <w:r w:rsidRPr="3F6BD185" w:rsidR="3F6BD185">
        <w:rPr>
          <w:rFonts w:ascii="Times New Roman" w:hAnsi="Times New Roman" w:eastAsia="Times New Roman" w:cs="Times New Roman"/>
          <w:noProof w:val="0"/>
          <w:sz w:val="20"/>
          <w:szCs w:val="20"/>
          <w:lang w:val="uk-UA"/>
        </w:rPr>
        <w:t xml:space="preserve">“Стратегічний план діяльності Міністерства освіти і науки України до 2027 року. Освіта переможців”. URL: </w:t>
      </w:r>
      <w:hyperlink r:id="Ra41ede32a71946a4">
        <w:r w:rsidRPr="3F6BD185" w:rsidR="3F6BD185">
          <w:rPr>
            <w:rStyle w:val="Hyperlink"/>
            <w:rFonts w:ascii="Times New Roman" w:hAnsi="Times New Roman" w:eastAsia="Times New Roman" w:cs="Times New Roman"/>
            <w:noProof w:val="0"/>
            <w:sz w:val="20"/>
            <w:szCs w:val="20"/>
            <w:lang w:val="uk-UA"/>
          </w:rPr>
          <w:t>https://mon.gov.ua/storage/app/media/Strateh.plan.diyalnosti.MON.do.2027.roku.pdf</w:t>
        </w:r>
      </w:hyperlink>
      <w:r w:rsidRPr="3F6BD185" w:rsidR="3F6BD185">
        <w:rPr>
          <w:rFonts w:ascii="Times New Roman" w:hAnsi="Times New Roman" w:eastAsia="Times New Roman" w:cs="Times New Roman"/>
          <w:noProof w:val="0"/>
          <w:sz w:val="20"/>
          <w:szCs w:val="20"/>
          <w:lang w:val="uk-UA"/>
        </w:rPr>
        <w:t xml:space="preserve"> </w:t>
      </w:r>
    </w:p>
    <w:p w:rsidR="3F6BD185" w:rsidP="3F6BD185" w:rsidRDefault="3F6BD185" w14:paraId="1333F8B5" w14:textId="19A09A33">
      <w:pPr>
        <w:pStyle w:val="ListParagraph"/>
        <w:numPr>
          <w:ilvl w:val="0"/>
          <w:numId w:val="5"/>
        </w:numPr>
        <w:spacing w:line="276" w:lineRule="auto"/>
        <w:jc w:val="both"/>
        <w:rPr>
          <w:rFonts w:ascii="Times New Roman" w:hAnsi="Times New Roman" w:eastAsia="Times New Roman" w:cs="Times New Roman"/>
          <w:noProof w:val="0"/>
          <w:sz w:val="20"/>
          <w:szCs w:val="20"/>
          <w:lang w:val="uk-UA"/>
        </w:rPr>
      </w:pPr>
      <w:r w:rsidRPr="3F6BD185" w:rsidR="3F6BD185">
        <w:rPr>
          <w:rFonts w:ascii="Times New Roman" w:hAnsi="Times New Roman" w:eastAsia="Times New Roman" w:cs="Times New Roman"/>
          <w:noProof w:val="0"/>
          <w:sz w:val="20"/>
          <w:szCs w:val="20"/>
          <w:lang w:val="uk-UA"/>
        </w:rPr>
        <w:t xml:space="preserve">“Стратегічний план </w:t>
      </w:r>
      <w:r w:rsidRPr="3F6BD185" w:rsidR="3F6BD185">
        <w:rPr>
          <w:rFonts w:ascii="Times New Roman" w:hAnsi="Times New Roman" w:eastAsia="Times New Roman" w:cs="Times New Roman"/>
          <w:noProof w:val="0"/>
          <w:sz w:val="20"/>
          <w:szCs w:val="20"/>
          <w:lang w:val="uk-UA"/>
        </w:rPr>
        <w:t>розвитку</w:t>
      </w:r>
      <w:r w:rsidRPr="3F6BD185" w:rsidR="3F6BD185">
        <w:rPr>
          <w:rFonts w:ascii="Times New Roman" w:hAnsi="Times New Roman" w:eastAsia="Times New Roman" w:cs="Times New Roman"/>
          <w:noProof w:val="0"/>
          <w:sz w:val="20"/>
          <w:szCs w:val="20"/>
          <w:lang w:val="uk-UA"/>
        </w:rPr>
        <w:t xml:space="preserve"> на 2024-2028 рр.” Український національний офіс інтелектуальної власності та інновацій (УКРНОІВІ). URL: </w:t>
      </w:r>
      <w:hyperlink r:id="R124f4321eabf45a8">
        <w:r w:rsidRPr="3F6BD185" w:rsidR="3F6BD185">
          <w:rPr>
            <w:rStyle w:val="Hyperlink"/>
            <w:rFonts w:ascii="Times New Roman" w:hAnsi="Times New Roman" w:eastAsia="Times New Roman" w:cs="Times New Roman"/>
            <w:noProof w:val="0"/>
            <w:sz w:val="20"/>
            <w:szCs w:val="20"/>
            <w:lang w:val="uk-UA"/>
          </w:rPr>
          <w:t>https://nipo.gov.ua/wp-content/uploads/2024/04/Stratehichnyyi_plan_rozvytku_UKRNOIVI_2024-2028-web.pdf</w:t>
        </w:r>
      </w:hyperlink>
      <w:r w:rsidRPr="3F6BD185" w:rsidR="3F6BD185">
        <w:rPr>
          <w:rFonts w:ascii="Times New Roman" w:hAnsi="Times New Roman" w:eastAsia="Times New Roman" w:cs="Times New Roman"/>
          <w:noProof w:val="0"/>
          <w:sz w:val="20"/>
          <w:szCs w:val="20"/>
          <w:lang w:val="uk-UA"/>
        </w:rPr>
        <w:t xml:space="preserve"> </w:t>
      </w:r>
    </w:p>
    <w:sectPr>
      <w:pgSz w:w="11906" w:h="16838" w:orient="portrait"/>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1b1919a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75a839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72b5ca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3ddbf37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7908f5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434B12"/>
    <w:rsid w:val="19434B12"/>
    <w:rsid w:val="3F6BD185"/>
    <w:rsid w:val="5FA3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4B12"/>
  <w15:chartTrackingRefBased/>
  <w15:docId w15:val="{9E56C074-5A29-4B00-9901-9F455CA6B4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5FA3781F"/>
    <w:rPr>
      <w:noProof w:val="0"/>
      <w:lang w:val="uk-U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link w:val="Heading1Char"/>
    <w:qFormat/>
    <w:rsid w:val="5FA3781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240" w:after="0"/>
      <w:outlineLvl w:val="0"/>
    </w:pPr>
  </w:style>
  <w:style w:type="paragraph" w:styleId="Heading2">
    <w:uiPriority w:val="9"/>
    <w:name w:val="heading 2"/>
    <w:basedOn w:val="Normal"/>
    <w:next w:val="Normal"/>
    <w:unhideWhenUsed/>
    <w:link w:val="Heading2Char"/>
    <w:qFormat/>
    <w:rsid w:val="5FA3781F"/>
    <w:rPr>
      <w:rFonts w:ascii="Aptos Display" w:hAnsi="Aptos Display" w:eastAsia="" w:cs="" w:asciiTheme="majorAscii" w:hAnsiTheme="majorAscii" w:eastAsiaTheme="majorEastAsia" w:cstheme="majorBidi"/>
      <w:color w:val="0F4761" w:themeColor="accent1" w:themeTint="FF" w:themeShade="BF"/>
      <w:sz w:val="26"/>
      <w:szCs w:val="26"/>
    </w:rPr>
    <w:pPr>
      <w:keepNext w:val="1"/>
      <w:keepLines w:val="1"/>
      <w:spacing w:before="40" w:after="0"/>
      <w:outlineLvl w:val="1"/>
    </w:pPr>
  </w:style>
  <w:style w:type="paragraph" w:styleId="Heading3">
    <w:uiPriority w:val="9"/>
    <w:name w:val="heading 3"/>
    <w:basedOn w:val="Normal"/>
    <w:next w:val="Normal"/>
    <w:unhideWhenUsed/>
    <w:link w:val="Heading3Char"/>
    <w:qFormat/>
    <w:rsid w:val="5FA3781F"/>
    <w:rPr>
      <w:rFonts w:ascii="Aptos Display" w:hAnsi="Aptos Display" w:eastAsia="" w:cs="" w:asciiTheme="majorAscii" w:hAnsiTheme="majorAscii" w:eastAsiaTheme="majorEastAsia" w:cstheme="majorBidi"/>
      <w:color w:val="0A2F40"/>
      <w:sz w:val="24"/>
      <w:szCs w:val="24"/>
    </w:rPr>
    <w:pPr>
      <w:keepNext w:val="1"/>
      <w:keepLines w:val="1"/>
      <w:spacing w:before="40" w:after="0"/>
      <w:outlineLvl w:val="2"/>
    </w:pPr>
  </w:style>
  <w:style w:type="paragraph" w:styleId="Heading4">
    <w:uiPriority w:val="9"/>
    <w:name w:val="heading 4"/>
    <w:basedOn w:val="Normal"/>
    <w:next w:val="Normal"/>
    <w:unhideWhenUsed/>
    <w:link w:val="Heading4Char"/>
    <w:qFormat/>
    <w:rsid w:val="5FA3781F"/>
    <w:rPr>
      <w:rFonts w:ascii="Aptos Display" w:hAnsi="Aptos Display" w:eastAsia="" w:cs="" w:asciiTheme="majorAscii" w:hAnsiTheme="majorAscii" w:eastAsiaTheme="majorEastAsia" w:cstheme="majorBidi"/>
      <w:i w:val="1"/>
      <w:iCs w:val="1"/>
      <w:color w:val="0F4761" w:themeColor="accent1" w:themeTint="FF" w:themeShade="BF"/>
    </w:rPr>
    <w:pPr>
      <w:keepNext w:val="1"/>
      <w:keepLines w:val="1"/>
      <w:spacing w:before="40" w:after="0"/>
      <w:outlineLvl w:val="3"/>
    </w:pPr>
  </w:style>
  <w:style w:type="paragraph" w:styleId="Heading5">
    <w:uiPriority w:val="9"/>
    <w:name w:val="heading 5"/>
    <w:basedOn w:val="Normal"/>
    <w:next w:val="Normal"/>
    <w:unhideWhenUsed/>
    <w:link w:val="Heading5Char"/>
    <w:qFormat/>
    <w:rsid w:val="5FA3781F"/>
    <w:rPr>
      <w:rFonts w:ascii="Aptos Display" w:hAnsi="Aptos Display" w:eastAsia="" w:cs="" w:asciiTheme="majorAscii" w:hAnsiTheme="majorAscii" w:eastAsiaTheme="majorEastAsia" w:cstheme="majorBidi"/>
      <w:color w:val="0F4761" w:themeColor="accent1" w:themeTint="FF" w:themeShade="BF"/>
    </w:rPr>
    <w:pPr>
      <w:keepNext w:val="1"/>
      <w:keepLines w:val="1"/>
      <w:spacing w:before="40" w:after="0"/>
      <w:outlineLvl w:val="4"/>
    </w:pPr>
  </w:style>
  <w:style w:type="paragraph" w:styleId="Heading6">
    <w:uiPriority w:val="9"/>
    <w:name w:val="heading 6"/>
    <w:basedOn w:val="Normal"/>
    <w:next w:val="Normal"/>
    <w:unhideWhenUsed/>
    <w:link w:val="Heading6Char"/>
    <w:qFormat/>
    <w:rsid w:val="5FA3781F"/>
    <w:rPr>
      <w:rFonts w:ascii="Aptos Display" w:hAnsi="Aptos Display" w:eastAsia="" w:cs="" w:asciiTheme="majorAscii" w:hAnsiTheme="majorAscii" w:eastAsiaTheme="majorEastAsia" w:cstheme="majorBidi"/>
      <w:color w:val="0A2F40"/>
    </w:rPr>
    <w:pPr>
      <w:keepNext w:val="1"/>
      <w:keepLines w:val="1"/>
      <w:spacing w:before="40" w:after="0"/>
      <w:outlineLvl w:val="5"/>
    </w:pPr>
  </w:style>
  <w:style w:type="paragraph" w:styleId="Heading7">
    <w:uiPriority w:val="9"/>
    <w:name w:val="heading 7"/>
    <w:basedOn w:val="Normal"/>
    <w:next w:val="Normal"/>
    <w:unhideWhenUsed/>
    <w:link w:val="Heading7Char"/>
    <w:qFormat/>
    <w:rsid w:val="5FA3781F"/>
    <w:rPr>
      <w:rFonts w:ascii="Aptos Display" w:hAnsi="Aptos Display" w:eastAsia="" w:cs="" w:asciiTheme="majorAscii" w:hAnsiTheme="majorAscii" w:eastAsiaTheme="majorEastAsia" w:cstheme="majorBidi"/>
      <w:i w:val="1"/>
      <w:iCs w:val="1"/>
      <w:color w:val="0A2F40"/>
    </w:rPr>
    <w:pPr>
      <w:keepNext w:val="1"/>
      <w:keepLines w:val="1"/>
      <w:spacing w:before="40" w:after="0"/>
      <w:outlineLvl w:val="6"/>
    </w:pPr>
  </w:style>
  <w:style w:type="paragraph" w:styleId="Heading8">
    <w:uiPriority w:val="9"/>
    <w:name w:val="heading 8"/>
    <w:basedOn w:val="Normal"/>
    <w:next w:val="Normal"/>
    <w:unhideWhenUsed/>
    <w:link w:val="Heading8Char"/>
    <w:qFormat/>
    <w:rsid w:val="5FA3781F"/>
    <w:rPr>
      <w:rFonts w:ascii="Aptos Display" w:hAnsi="Aptos Display" w:eastAsia="" w:cs="" w:asciiTheme="majorAscii" w:hAnsiTheme="majorAscii" w:eastAsiaTheme="majorEastAsia" w:cstheme="majorBidi"/>
      <w:color w:val="272727"/>
      <w:sz w:val="21"/>
      <w:szCs w:val="21"/>
    </w:rPr>
    <w:pPr>
      <w:keepNext w:val="1"/>
      <w:keepLines w:val="1"/>
      <w:spacing w:before="40" w:after="0"/>
      <w:outlineLvl w:val="7"/>
    </w:pPr>
  </w:style>
  <w:style w:type="paragraph" w:styleId="Heading9">
    <w:uiPriority w:val="9"/>
    <w:name w:val="heading 9"/>
    <w:basedOn w:val="Normal"/>
    <w:next w:val="Normal"/>
    <w:unhideWhenUsed/>
    <w:link w:val="Heading9Char"/>
    <w:qFormat/>
    <w:rsid w:val="5FA3781F"/>
    <w:rPr>
      <w:rFonts w:ascii="Aptos Display" w:hAnsi="Aptos Display" w:eastAsia="" w:cs="" w:asciiTheme="majorAscii" w:hAnsiTheme="majorAscii" w:eastAsiaTheme="majorEastAsia" w:cstheme="majorBidi"/>
      <w:i w:val="1"/>
      <w:iCs w:val="1"/>
      <w:color w:val="272727"/>
      <w:sz w:val="21"/>
      <w:szCs w:val="21"/>
    </w:rPr>
    <w:pPr>
      <w:keepNext w:val="1"/>
      <w:keepLines w:val="1"/>
      <w:spacing w:before="40" w:after="0"/>
      <w:outlineLvl w:val="8"/>
    </w:pPr>
  </w:style>
  <w:style w:type="paragraph" w:styleId="Title">
    <w:uiPriority w:val="10"/>
    <w:name w:val="Title"/>
    <w:basedOn w:val="Normal"/>
    <w:next w:val="Normal"/>
    <w:link w:val="TitleChar"/>
    <w:qFormat/>
    <w:rsid w:val="5FA3781F"/>
    <w:rPr>
      <w:rFonts w:ascii="Aptos Display" w:hAnsi="Aptos Display" w:eastAsia="" w:cs="" w:asciiTheme="majorAscii" w:hAnsiTheme="majorAscii" w:eastAsiaTheme="majorEastAsia" w:cstheme="majorBidi"/>
      <w:sz w:val="56"/>
      <w:szCs w:val="56"/>
    </w:rPr>
    <w:pPr>
      <w:spacing w:after="0" w:line="240" w:lineRule="auto"/>
      <w:contextualSpacing/>
    </w:pPr>
  </w:style>
  <w:style w:type="paragraph" w:styleId="Subtitle">
    <w:uiPriority w:val="11"/>
    <w:name w:val="Subtitle"/>
    <w:basedOn w:val="Normal"/>
    <w:next w:val="Normal"/>
    <w:link w:val="SubtitleChar"/>
    <w:qFormat/>
    <w:rsid w:val="5FA3781F"/>
    <w:rPr>
      <w:rFonts w:eastAsia="" w:eastAsiaTheme="minorEastAsia"/>
      <w:color w:val="5A5A5A"/>
    </w:rPr>
  </w:style>
  <w:style w:type="paragraph" w:styleId="Quote">
    <w:uiPriority w:val="29"/>
    <w:name w:val="Quote"/>
    <w:basedOn w:val="Normal"/>
    <w:next w:val="Normal"/>
    <w:link w:val="QuoteChar"/>
    <w:qFormat/>
    <w:rsid w:val="5FA3781F"/>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5FA3781F"/>
    <w:rPr>
      <w:i w:val="1"/>
      <w:iCs w:val="1"/>
      <w:color w:val="156082" w:themeColor="accent1" w:themeTint="FF" w:themeShade="FF"/>
    </w:rPr>
    <w:pPr>
      <w:spacing w:before="360" w:after="360"/>
      <w:ind w:left="864" w:right="864"/>
      <w:jc w:val="center"/>
    </w:pPr>
  </w:style>
  <w:style w:type="paragraph" w:styleId="ListParagraph">
    <w:uiPriority w:val="34"/>
    <w:name w:val="List Paragraph"/>
    <w:basedOn w:val="Normal"/>
    <w:qFormat/>
    <w:rsid w:val="5FA3781F"/>
    <w:pPr>
      <w:spacing/>
      <w:ind w:left="720"/>
      <w:contextualSpacing/>
    </w:pPr>
  </w:style>
  <w:style w:type="paragraph" w:styleId="TOC1">
    <w:uiPriority w:val="39"/>
    <w:name w:val="toc 1"/>
    <w:basedOn w:val="Normal"/>
    <w:next w:val="Normal"/>
    <w:unhideWhenUsed/>
    <w:rsid w:val="5FA3781F"/>
    <w:pPr>
      <w:spacing w:after="100"/>
    </w:pPr>
  </w:style>
  <w:style w:type="paragraph" w:styleId="TOC2">
    <w:uiPriority w:val="39"/>
    <w:name w:val="toc 2"/>
    <w:basedOn w:val="Normal"/>
    <w:next w:val="Normal"/>
    <w:unhideWhenUsed/>
    <w:rsid w:val="5FA3781F"/>
    <w:pPr>
      <w:spacing w:after="100"/>
      <w:ind w:left="220"/>
    </w:pPr>
  </w:style>
  <w:style w:type="paragraph" w:styleId="TOC3">
    <w:uiPriority w:val="39"/>
    <w:name w:val="toc 3"/>
    <w:basedOn w:val="Normal"/>
    <w:next w:val="Normal"/>
    <w:unhideWhenUsed/>
    <w:rsid w:val="5FA3781F"/>
    <w:pPr>
      <w:spacing w:after="100"/>
      <w:ind w:left="440"/>
    </w:pPr>
  </w:style>
  <w:style w:type="paragraph" w:styleId="TOC4">
    <w:uiPriority w:val="39"/>
    <w:name w:val="toc 4"/>
    <w:basedOn w:val="Normal"/>
    <w:next w:val="Normal"/>
    <w:unhideWhenUsed/>
    <w:rsid w:val="5FA3781F"/>
    <w:pPr>
      <w:spacing w:after="100"/>
      <w:ind w:left="660"/>
    </w:pPr>
  </w:style>
  <w:style w:type="paragraph" w:styleId="TOC5">
    <w:uiPriority w:val="39"/>
    <w:name w:val="toc 5"/>
    <w:basedOn w:val="Normal"/>
    <w:next w:val="Normal"/>
    <w:unhideWhenUsed/>
    <w:rsid w:val="5FA3781F"/>
    <w:pPr>
      <w:spacing w:after="100"/>
      <w:ind w:left="880"/>
    </w:pPr>
  </w:style>
  <w:style w:type="paragraph" w:styleId="TOC6">
    <w:uiPriority w:val="39"/>
    <w:name w:val="toc 6"/>
    <w:basedOn w:val="Normal"/>
    <w:next w:val="Normal"/>
    <w:unhideWhenUsed/>
    <w:rsid w:val="5FA3781F"/>
    <w:pPr>
      <w:spacing w:after="100"/>
      <w:ind w:left="1100"/>
    </w:pPr>
  </w:style>
  <w:style w:type="paragraph" w:styleId="TOC7">
    <w:uiPriority w:val="39"/>
    <w:name w:val="toc 7"/>
    <w:basedOn w:val="Normal"/>
    <w:next w:val="Normal"/>
    <w:unhideWhenUsed/>
    <w:rsid w:val="5FA3781F"/>
    <w:pPr>
      <w:spacing w:after="100"/>
      <w:ind w:left="1320"/>
    </w:pPr>
  </w:style>
  <w:style w:type="paragraph" w:styleId="TOC8">
    <w:uiPriority w:val="39"/>
    <w:name w:val="toc 8"/>
    <w:basedOn w:val="Normal"/>
    <w:next w:val="Normal"/>
    <w:unhideWhenUsed/>
    <w:rsid w:val="5FA3781F"/>
    <w:pPr>
      <w:spacing w:after="100"/>
      <w:ind w:left="1540"/>
    </w:pPr>
  </w:style>
  <w:style w:type="paragraph" w:styleId="TOC9">
    <w:uiPriority w:val="39"/>
    <w:name w:val="toc 9"/>
    <w:basedOn w:val="Normal"/>
    <w:next w:val="Normal"/>
    <w:unhideWhenUsed/>
    <w:rsid w:val="5FA3781F"/>
    <w:pPr>
      <w:spacing w:after="100"/>
      <w:ind w:left="1760"/>
    </w:pPr>
  </w:style>
  <w:style w:type="paragraph" w:styleId="EndnoteText">
    <w:uiPriority w:val="99"/>
    <w:name w:val="endnote text"/>
    <w:basedOn w:val="Normal"/>
    <w:semiHidden/>
    <w:unhideWhenUsed/>
    <w:link w:val="EndnoteTextChar"/>
    <w:rsid w:val="5FA3781F"/>
    <w:rPr>
      <w:sz w:val="20"/>
      <w:szCs w:val="20"/>
    </w:rPr>
    <w:pPr>
      <w:spacing w:after="0" w:line="240" w:lineRule="auto"/>
    </w:pPr>
  </w:style>
  <w:style w:type="paragraph" w:styleId="Footer">
    <w:uiPriority w:val="99"/>
    <w:name w:val="footer"/>
    <w:basedOn w:val="Normal"/>
    <w:unhideWhenUsed/>
    <w:link w:val="FooterChar"/>
    <w:rsid w:val="5FA3781F"/>
    <w:pPr>
      <w:tabs>
        <w:tab w:val="center" w:leader="none" w:pos="4680"/>
        <w:tab w:val="right" w:leader="none" w:pos="9360"/>
      </w:tabs>
      <w:spacing w:after="0" w:line="240" w:lineRule="auto"/>
    </w:pPr>
  </w:style>
  <w:style w:type="paragraph" w:styleId="FootnoteText">
    <w:uiPriority w:val="99"/>
    <w:name w:val="footnote text"/>
    <w:basedOn w:val="Normal"/>
    <w:semiHidden/>
    <w:unhideWhenUsed/>
    <w:link w:val="FootnoteTextChar"/>
    <w:rsid w:val="5FA3781F"/>
    <w:rPr>
      <w:sz w:val="20"/>
      <w:szCs w:val="20"/>
    </w:rPr>
    <w:pPr>
      <w:spacing w:after="0" w:line="240" w:lineRule="auto"/>
    </w:pPr>
  </w:style>
  <w:style w:type="paragraph" w:styleId="Header">
    <w:uiPriority w:val="99"/>
    <w:name w:val="header"/>
    <w:basedOn w:val="Normal"/>
    <w:unhideWhenUsed/>
    <w:link w:val="HeaderChar"/>
    <w:rsid w:val="5FA3781F"/>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PlainTable1" mc:Ignorable="w14">
    <w:name xmlns:w="http://schemas.openxmlformats.org/wordprocessingml/2006/main" w:val="Plain Table 1"/>
    <w:basedOn xmlns:w="http://schemas.openxmlformats.org/wordprocessingml/2006/main" w:val="TableNormal"/>
    <w:uiPriority xmlns:w="http://schemas.openxmlformats.org/wordprocessingml/2006/main" w:val="41"/>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top w:w="0" w:type="dxa"/>
        <w:left w:w="108" w:type="dxa"/>
        <w:bottom w:w="0" w:type="dxa"/>
        <w:right w:w="108" w:type="dxa"/>
      </w:tblCellMar>
    </w:tblPr>
    <w:tblStylePr xmlns:w="http://schemas.openxmlformats.org/wordprocessingml/2006/main" w:type="firstRow">
      <w:rPr>
        <w:b/>
        <w:bCs/>
      </w:rPr>
    </w:tblStylePr>
    <w:tblStylePr xmlns:w="http://schemas.openxmlformats.org/wordprocessingml/2006/main" w:type="lastRow">
      <w:rPr>
        <w:b/>
        <w:bCs/>
      </w:rPr>
      <w:tblPr/>
      <w:tcPr>
        <w:tcBorders>
          <w:top w:val="double" w:color="BFBFBF" w:themeColor="background1" w:themeShade="BF"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2F2F2" w:themeFill="background1" w:themeFillShade="F2"/>
      </w:tcPr>
    </w:tblStylePr>
    <w:tblStylePr xmlns:w="http://schemas.openxmlformats.org/wordprocessingml/2006/main" w:type="band1Horz">
      <w:tblPr/>
      <w:tcPr>
        <w:shd w:val="clear" w:color="auto" w:fill="F2F2F2" w:themeFill="background1" w:themeFillShade="F2"/>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ebe5d9d7becb4242" /><Relationship Type="http://schemas.openxmlformats.org/officeDocument/2006/relationships/hyperlink" Target="https://www.ukrainefacility.me.gov.ua/wp-content/uploads/2024/03/plan-ukraine-facility.pdf" TargetMode="External" Id="Rd6269fa40036464f" /><Relationship Type="http://schemas.openxmlformats.org/officeDocument/2006/relationships/hyperlink" Target="https://mon.gov.ua/storage/app/media/Strateh.plan.diyalnosti.MON.do.2027.roku.pdf" TargetMode="External" Id="Ra41ede32a71946a4" /><Relationship Type="http://schemas.openxmlformats.org/officeDocument/2006/relationships/hyperlink" Target="https://nipo.gov.ua/wp-content/uploads/2024/04/Stratehichnyyi_plan_rozvytku_UKRNOIVI_2024-2028-web.pdf" TargetMode="External" Id="R124f4321eabf45a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2024-05-30T12:08:17.6290871Z</dcterms:created>
  <dcterms:modified xsi:type="dcterms:W3CDTF">2024-05-30T20:31:37.2777071Z</dcterms:modified>
  <dc:creator>Ефременко Настя</dc:creator>
  <lastModifiedBy>Ефременко Настя</lastModifiedBy>
</coreProperties>
</file>