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b/>
          <w:bCs/>
          <w:color w:val="000000"/>
          <w:sz w:val="59"/>
          <w:szCs w:val="59"/>
          <w:lang w:eastAsia="ru-RU"/>
        </w:rPr>
        <w:t>Рекомендации по обслуживанию и ремонту ПГУ на автомобилях МАЗ</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sz w:val="26"/>
          <w:szCs w:val="26"/>
          <w:lang w:eastAsia="ru-RU"/>
        </w:rPr>
        <w:t>МАЗ — тяжелые грузовые автомоби</w:t>
      </w:r>
      <w:bookmarkStart w:id="0" w:name="_GoBack"/>
      <w:bookmarkEnd w:id="0"/>
      <w:r w:rsidRPr="001D7F94">
        <w:rPr>
          <w:rFonts w:ascii="Calibri" w:eastAsia="Times New Roman" w:hAnsi="Calibri" w:cs="Calibri"/>
          <w:sz w:val="26"/>
          <w:szCs w:val="26"/>
          <w:lang w:eastAsia="ru-RU"/>
        </w:rPr>
        <w:t>ли, которые чаще всего оснащаются не однодисковым сцеплением, а конструкцией с двумя дисками. Узел ПГУ на МАЗ предназначен для уменьшения усилия, необходимого для выключения сцепления. </w:t>
      </w:r>
      <w:r w:rsidRPr="001D7F94">
        <w:rPr>
          <w:rFonts w:ascii="Calibri" w:eastAsia="Times New Roman" w:hAnsi="Calibri" w:cs="Calibri"/>
          <w:b/>
          <w:bCs/>
          <w:sz w:val="26"/>
          <w:szCs w:val="26"/>
          <w:lang w:eastAsia="ru-RU"/>
        </w:rPr>
        <w:t xml:space="preserve">На машинах встречаются агрегаты собственной разработки и импортные изделия </w:t>
      </w:r>
      <w:proofErr w:type="spellStart"/>
      <w:r w:rsidRPr="001D7F94">
        <w:rPr>
          <w:rFonts w:ascii="Calibri" w:eastAsia="Times New Roman" w:hAnsi="Calibri" w:cs="Calibri"/>
          <w:b/>
          <w:bCs/>
          <w:sz w:val="26"/>
          <w:szCs w:val="26"/>
          <w:lang w:eastAsia="ru-RU"/>
        </w:rPr>
        <w:t>Wabco</w:t>
      </w:r>
      <w:proofErr w:type="spellEnd"/>
      <w:r w:rsidRPr="001D7F94">
        <w:rPr>
          <w:rFonts w:ascii="Calibri" w:eastAsia="Times New Roman" w:hAnsi="Calibri" w:cs="Calibri"/>
          <w:b/>
          <w:bCs/>
          <w:sz w:val="26"/>
          <w:szCs w:val="26"/>
          <w:lang w:eastAsia="ru-RU"/>
        </w:rPr>
        <w:t xml:space="preserve"> (</w:t>
      </w:r>
      <w:proofErr w:type="spellStart"/>
      <w:r w:rsidRPr="001D7F94">
        <w:rPr>
          <w:rFonts w:ascii="Calibri" w:eastAsia="Times New Roman" w:hAnsi="Calibri" w:cs="Calibri"/>
          <w:b/>
          <w:bCs/>
          <w:sz w:val="26"/>
          <w:szCs w:val="26"/>
          <w:lang w:eastAsia="ru-RU"/>
        </w:rPr>
        <w:t>Вабко</w:t>
      </w:r>
      <w:proofErr w:type="spellEnd"/>
      <w:r w:rsidRPr="001D7F94">
        <w:rPr>
          <w:rFonts w:ascii="Calibri" w:eastAsia="Times New Roman" w:hAnsi="Calibri" w:cs="Calibri"/>
          <w:b/>
          <w:bCs/>
          <w:sz w:val="26"/>
          <w:szCs w:val="26"/>
          <w:lang w:eastAsia="ru-RU"/>
        </w:rPr>
        <w:t>).</w:t>
      </w:r>
      <w:r w:rsidRPr="001D7F94">
        <w:rPr>
          <w:rFonts w:ascii="Calibri" w:eastAsia="Times New Roman" w:hAnsi="Calibri" w:cs="Calibri"/>
          <w:sz w:val="26"/>
          <w:szCs w:val="26"/>
          <w:lang w:eastAsia="ru-RU"/>
        </w:rPr>
        <w:t> Принцип действия устройств одинаковый.</w:t>
      </w:r>
    </w:p>
    <w:p w:rsidR="001D7F94" w:rsidRPr="001D7F94" w:rsidRDefault="001D7F94" w:rsidP="001D7F94">
      <w:pPr>
        <w:spacing w:before="120" w:after="120" w:line="23" w:lineRule="atLeast"/>
        <w:outlineLvl w:val="1"/>
        <w:rPr>
          <w:rFonts w:ascii="Calibri" w:eastAsia="Times New Roman" w:hAnsi="Calibri" w:cs="Calibri"/>
          <w:b/>
          <w:bCs/>
          <w:sz w:val="36"/>
          <w:szCs w:val="36"/>
          <w:lang w:eastAsia="ru-RU"/>
        </w:rPr>
      </w:pPr>
      <w:r w:rsidRPr="001D7F94">
        <w:rPr>
          <w:rFonts w:ascii="Calibri" w:eastAsia="Times New Roman" w:hAnsi="Calibri" w:cs="Calibri"/>
          <w:b/>
          <w:bCs/>
          <w:color w:val="000000"/>
          <w:sz w:val="36"/>
          <w:szCs w:val="36"/>
          <w:lang w:eastAsia="ru-RU"/>
        </w:rPr>
        <w:t>Устройство и принцип работы</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Пневмогидравлические усилители (ПГУ) выпускаются в нескольких модификациях, отличающихся местом расположения магистралей и конструкцией рабочего штока и защитного чехла.</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В устройство ПГУ входят следующие детали:</w:t>
      </w:r>
    </w:p>
    <w:p w:rsidR="001D7F94" w:rsidRPr="001D7F94" w:rsidRDefault="001D7F94" w:rsidP="001D7F94">
      <w:pPr>
        <w:numPr>
          <w:ilvl w:val="0"/>
          <w:numId w:val="1"/>
        </w:numPr>
        <w:shd w:val="clear" w:color="auto" w:fill="FFFFFF"/>
        <w:spacing w:before="120" w:after="120" w:line="23" w:lineRule="atLeast"/>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гидравлический цилиндр, установленный под педалью сцепления, совместно с поршнем и обратной пружиной;</w:t>
      </w:r>
    </w:p>
    <w:p w:rsidR="001D7F94" w:rsidRPr="001D7F94" w:rsidRDefault="001D7F94" w:rsidP="001D7F94">
      <w:pPr>
        <w:numPr>
          <w:ilvl w:val="0"/>
          <w:numId w:val="1"/>
        </w:numPr>
        <w:shd w:val="clear" w:color="auto" w:fill="FFFFFF"/>
        <w:spacing w:before="120" w:after="120" w:line="23" w:lineRule="atLeast"/>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пневматическая часть, включающая поршень, общий для пневматики и гидравлики, шток и возвратную пружину;</w:t>
      </w:r>
    </w:p>
    <w:p w:rsidR="001D7F94" w:rsidRPr="001D7F94" w:rsidRDefault="001D7F94" w:rsidP="001D7F94">
      <w:pPr>
        <w:numPr>
          <w:ilvl w:val="0"/>
          <w:numId w:val="1"/>
        </w:numPr>
        <w:shd w:val="clear" w:color="auto" w:fill="FFFFFF"/>
        <w:spacing w:before="120" w:after="120" w:line="23" w:lineRule="atLeast"/>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контролирующий механизм, оборудованный диафрагмой с выпускным клапаном и пружиной обратного хода;</w:t>
      </w:r>
    </w:p>
    <w:p w:rsidR="001D7F94" w:rsidRPr="001D7F94" w:rsidRDefault="001D7F94" w:rsidP="001D7F94">
      <w:pPr>
        <w:numPr>
          <w:ilvl w:val="0"/>
          <w:numId w:val="1"/>
        </w:numPr>
        <w:shd w:val="clear" w:color="auto" w:fill="FFFFFF"/>
        <w:spacing w:before="120" w:after="120" w:line="23" w:lineRule="atLeast"/>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клапанный механизм (для впуска и выпуска) с общим штоком и упругий элемент для возврата деталей в нейтральное положение;</w:t>
      </w:r>
    </w:p>
    <w:p w:rsidR="001D7F94" w:rsidRPr="001D7F94" w:rsidRDefault="001D7F94" w:rsidP="001D7F94">
      <w:pPr>
        <w:numPr>
          <w:ilvl w:val="0"/>
          <w:numId w:val="1"/>
        </w:numPr>
        <w:shd w:val="clear" w:color="auto" w:fill="FFFFFF"/>
        <w:spacing w:before="120" w:after="120" w:line="23" w:lineRule="atLeast"/>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индикаторный шток износа накладок.</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 xml:space="preserve">Для устранения зазоров в конструкции есть </w:t>
      </w:r>
      <w:proofErr w:type="spellStart"/>
      <w:r w:rsidRPr="001D7F94">
        <w:rPr>
          <w:rFonts w:ascii="Calibri" w:eastAsia="Times New Roman" w:hAnsi="Calibri" w:cs="Calibri"/>
          <w:color w:val="000000"/>
          <w:sz w:val="26"/>
          <w:szCs w:val="26"/>
          <w:lang w:eastAsia="ru-RU"/>
        </w:rPr>
        <w:t>поджимные</w:t>
      </w:r>
      <w:proofErr w:type="spellEnd"/>
      <w:r w:rsidRPr="001D7F94">
        <w:rPr>
          <w:rFonts w:ascii="Calibri" w:eastAsia="Times New Roman" w:hAnsi="Calibri" w:cs="Calibri"/>
          <w:color w:val="000000"/>
          <w:sz w:val="26"/>
          <w:szCs w:val="26"/>
          <w:lang w:eastAsia="ru-RU"/>
        </w:rPr>
        <w:t xml:space="preserve"> пружины. В соединениях с вилкой управления сцеплением люфты отсутствуют, что позволяет отслеживать степень износа фрикционных накладок. По мере уменьшения толщины материала происходит </w:t>
      </w:r>
      <w:proofErr w:type="spellStart"/>
      <w:r w:rsidRPr="001D7F94">
        <w:rPr>
          <w:rFonts w:ascii="Calibri" w:eastAsia="Times New Roman" w:hAnsi="Calibri" w:cs="Calibri"/>
          <w:color w:val="000000"/>
          <w:sz w:val="26"/>
          <w:szCs w:val="26"/>
          <w:lang w:eastAsia="ru-RU"/>
        </w:rPr>
        <w:t>утапливание</w:t>
      </w:r>
      <w:proofErr w:type="spellEnd"/>
      <w:r w:rsidRPr="001D7F94">
        <w:rPr>
          <w:rFonts w:ascii="Calibri" w:eastAsia="Times New Roman" w:hAnsi="Calibri" w:cs="Calibri"/>
          <w:color w:val="000000"/>
          <w:sz w:val="26"/>
          <w:szCs w:val="26"/>
          <w:lang w:eastAsia="ru-RU"/>
        </w:rPr>
        <w:t xml:space="preserve"> поршня в глубину корпуса усилителя. Поршень воздействует на индикатор, информирующий водителя об остаточном ресурсе сцепления. Замена ведомого диска или накладок требуется при достижении индикаторным стержнем длины 23 мм.</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Усилитель сцепления оснащен штуцером для подключения к штатной пневматической системе грузового автомобиля. Нормальная работа узла возможна при давлении в воздушных магистралях не менее 8 кгс/см². Для крепления ПГУ к раме грузовика предназначены 4 отверстия под шпильки М8.</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Принцип работы устройства:</w:t>
      </w:r>
    </w:p>
    <w:p w:rsidR="001D7F94" w:rsidRPr="001D7F94" w:rsidRDefault="001D7F94" w:rsidP="001D7F94">
      <w:pPr>
        <w:numPr>
          <w:ilvl w:val="0"/>
          <w:numId w:val="2"/>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При нажатии на педаль сцепления происходит передача усилия на поршень гидравлического цилиндра. Одновременно нагрузка подается на поршневую группу следящего штока.</w:t>
      </w:r>
    </w:p>
    <w:p w:rsidR="001D7F94" w:rsidRPr="001D7F94" w:rsidRDefault="001D7F94" w:rsidP="001D7F94">
      <w:pPr>
        <w:numPr>
          <w:ilvl w:val="0"/>
          <w:numId w:val="2"/>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lastRenderedPageBreak/>
        <w:t>Следящее устройство автоматически начинает изменять положение поршня в пневматической силовой секции. Поршень воздействует на управляющий клапан следящего устройства, открывая подачу воздуха в полость пневматического цилиндра.</w:t>
      </w:r>
    </w:p>
    <w:p w:rsidR="001D7F94" w:rsidRPr="001D7F94" w:rsidRDefault="001D7F94" w:rsidP="001D7F94">
      <w:pPr>
        <w:numPr>
          <w:ilvl w:val="0"/>
          <w:numId w:val="2"/>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Давление газа обеспечивает силовое воздействие на вилку управления сцеплением через отдельный шток. Следящий контур обеспечивает автоматическую корректировку давления в зависимости от усилия нажатия ногой на педаль сцепления.</w:t>
      </w:r>
    </w:p>
    <w:p w:rsidR="001D7F94" w:rsidRPr="001D7F94" w:rsidRDefault="001D7F94" w:rsidP="001D7F94">
      <w:pPr>
        <w:numPr>
          <w:ilvl w:val="0"/>
          <w:numId w:val="2"/>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После отпускания педали происходит сброс давления жидкости, а затем закрытие клапана подачи воздуха. Поршень пневматической секции уходит в исходную позицию.</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b/>
          <w:bCs/>
          <w:color w:val="000000"/>
          <w:sz w:val="50"/>
          <w:szCs w:val="50"/>
          <w:lang w:eastAsia="ru-RU"/>
        </w:rPr>
        <w:t>Неисправности</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Возможные проблемы с ПГУ на грузовиках МАЗ:</w:t>
      </w:r>
    </w:p>
    <w:p w:rsidR="001D7F94" w:rsidRPr="001D7F94" w:rsidRDefault="001D7F94" w:rsidP="001D7F94">
      <w:pPr>
        <w:numPr>
          <w:ilvl w:val="0"/>
          <w:numId w:val="3"/>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Заедание привода из-за набухания уплотнительных манжет.</w:t>
      </w:r>
    </w:p>
    <w:p w:rsidR="001D7F94" w:rsidRPr="001D7F94" w:rsidRDefault="001D7F94" w:rsidP="001D7F94">
      <w:pPr>
        <w:numPr>
          <w:ilvl w:val="0"/>
          <w:numId w:val="3"/>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Поздняя реакция исполнительного механизма по причине густой жидкости или заедания поршня следящего компонента привода.</w:t>
      </w:r>
    </w:p>
    <w:p w:rsidR="001D7F94" w:rsidRPr="001D7F94" w:rsidRDefault="001D7F94" w:rsidP="001D7F94">
      <w:pPr>
        <w:numPr>
          <w:ilvl w:val="0"/>
          <w:numId w:val="3"/>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Увеличение усилия на педали. Причина неисправности — выход из строя впускного клапана для сжатого воздуха. При сильном разбухании уплотнительных элементов заклинивает следящий механизм, что вызывает снижение эффективности устройства.</w:t>
      </w:r>
    </w:p>
    <w:p w:rsidR="001D7F94" w:rsidRPr="001D7F94" w:rsidRDefault="001D7F94" w:rsidP="001D7F94">
      <w:pPr>
        <w:numPr>
          <w:ilvl w:val="0"/>
          <w:numId w:val="3"/>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Сцепление выключается не до конца. Дефект возникает из-за неправильной регулировки свободного хода.</w:t>
      </w:r>
    </w:p>
    <w:p w:rsidR="001D7F94" w:rsidRPr="001D7F94" w:rsidRDefault="001D7F94" w:rsidP="001D7F94">
      <w:pPr>
        <w:numPr>
          <w:ilvl w:val="0"/>
          <w:numId w:val="3"/>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Падение уровня жидкости в бачке из-за трещин или затвердевания уплотнительной манжеты.</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b/>
          <w:bCs/>
          <w:color w:val="000000"/>
          <w:sz w:val="50"/>
          <w:szCs w:val="50"/>
          <w:lang w:eastAsia="ru-RU"/>
        </w:rPr>
        <w:t>Как заменить</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Замена ПГУ МАЗ предусматривает установку новых шлангов и магистралей. Все узлы должны иметь внутренний диаметр не менее 8 мм.</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sz w:val="26"/>
          <w:szCs w:val="26"/>
          <w:lang w:eastAsia="ru-RU"/>
        </w:rPr>
        <w:t>Инструкция, как правильно заменить ПГУ:</w:t>
      </w:r>
    </w:p>
    <w:p w:rsidR="001D7F94" w:rsidRPr="001D7F94" w:rsidRDefault="001D7F94" w:rsidP="001D7F94">
      <w:pPr>
        <w:numPr>
          <w:ilvl w:val="0"/>
          <w:numId w:val="4"/>
        </w:numPr>
        <w:shd w:val="clear" w:color="auto" w:fill="FFFFFF"/>
        <w:spacing w:before="120" w:after="120" w:line="23" w:lineRule="atLeast"/>
        <w:ind w:left="360"/>
        <w:textAlignment w:val="baseline"/>
        <w:rPr>
          <w:rFonts w:ascii="Calibri" w:eastAsia="Times New Roman" w:hAnsi="Calibri" w:cs="Calibri"/>
          <w:sz w:val="26"/>
          <w:szCs w:val="26"/>
          <w:lang w:eastAsia="ru-RU"/>
        </w:rPr>
      </w:pPr>
      <w:r w:rsidRPr="001D7F94">
        <w:rPr>
          <w:rFonts w:ascii="Calibri" w:eastAsia="Times New Roman" w:hAnsi="Calibri" w:cs="Calibri"/>
          <w:sz w:val="26"/>
          <w:szCs w:val="26"/>
          <w:lang w:eastAsia="ru-RU"/>
        </w:rPr>
        <w:t>Отсоединить магистрали от старого узла и открутить точки крепления.</w:t>
      </w:r>
    </w:p>
    <w:p w:rsidR="001D7F94" w:rsidRPr="001D7F94" w:rsidRDefault="001D7F94" w:rsidP="001D7F94">
      <w:pPr>
        <w:numPr>
          <w:ilvl w:val="0"/>
          <w:numId w:val="4"/>
        </w:numPr>
        <w:shd w:val="clear" w:color="auto" w:fill="FFFFFF"/>
        <w:spacing w:before="120" w:after="120" w:line="23" w:lineRule="atLeast"/>
        <w:ind w:left="360"/>
        <w:textAlignment w:val="baseline"/>
        <w:rPr>
          <w:rFonts w:ascii="Calibri" w:eastAsia="Times New Roman" w:hAnsi="Calibri" w:cs="Calibri"/>
          <w:sz w:val="26"/>
          <w:szCs w:val="26"/>
          <w:lang w:eastAsia="ru-RU"/>
        </w:rPr>
      </w:pPr>
      <w:r w:rsidRPr="001D7F94">
        <w:rPr>
          <w:rFonts w:ascii="Calibri" w:eastAsia="Times New Roman" w:hAnsi="Calibri" w:cs="Calibri"/>
          <w:sz w:val="26"/>
          <w:szCs w:val="26"/>
          <w:lang w:eastAsia="ru-RU"/>
        </w:rPr>
        <w:t>Демонтировать узел с автомобиля.</w:t>
      </w:r>
    </w:p>
    <w:p w:rsidR="001D7F94" w:rsidRPr="001D7F94" w:rsidRDefault="001D7F94" w:rsidP="001D7F94">
      <w:pPr>
        <w:numPr>
          <w:ilvl w:val="0"/>
          <w:numId w:val="4"/>
        </w:numPr>
        <w:shd w:val="clear" w:color="auto" w:fill="FFFFFF"/>
        <w:spacing w:before="120" w:after="120" w:line="23" w:lineRule="atLeast"/>
        <w:ind w:left="360"/>
        <w:textAlignment w:val="baseline"/>
        <w:rPr>
          <w:rFonts w:ascii="Calibri" w:eastAsia="Times New Roman" w:hAnsi="Calibri" w:cs="Calibri"/>
          <w:sz w:val="26"/>
          <w:szCs w:val="26"/>
          <w:lang w:eastAsia="ru-RU"/>
        </w:rPr>
      </w:pPr>
      <w:r w:rsidRPr="001D7F94">
        <w:rPr>
          <w:rFonts w:ascii="Calibri" w:eastAsia="Times New Roman" w:hAnsi="Calibri" w:cs="Calibri"/>
          <w:sz w:val="26"/>
          <w:szCs w:val="26"/>
          <w:lang w:eastAsia="ru-RU"/>
        </w:rPr>
        <w:t>Установить на штатное место новый агрегат, произвести замену поврежденных магистралей.</w:t>
      </w:r>
    </w:p>
    <w:p w:rsidR="001D7F94" w:rsidRPr="001D7F94" w:rsidRDefault="001D7F94" w:rsidP="001D7F94">
      <w:pPr>
        <w:numPr>
          <w:ilvl w:val="0"/>
          <w:numId w:val="4"/>
        </w:numPr>
        <w:shd w:val="clear" w:color="auto" w:fill="FFFFFF"/>
        <w:spacing w:before="120" w:after="120" w:line="23" w:lineRule="atLeast"/>
        <w:ind w:left="360"/>
        <w:textAlignment w:val="baseline"/>
        <w:rPr>
          <w:rFonts w:ascii="Calibri" w:eastAsia="Times New Roman" w:hAnsi="Calibri" w:cs="Calibri"/>
          <w:sz w:val="26"/>
          <w:szCs w:val="26"/>
          <w:lang w:eastAsia="ru-RU"/>
        </w:rPr>
      </w:pPr>
      <w:r w:rsidRPr="001D7F94">
        <w:rPr>
          <w:rFonts w:ascii="Calibri" w:eastAsia="Times New Roman" w:hAnsi="Calibri" w:cs="Calibri"/>
          <w:sz w:val="26"/>
          <w:szCs w:val="26"/>
          <w:lang w:eastAsia="ru-RU"/>
        </w:rPr>
        <w:t>Затянуть точки крепления с необходимым моментом. Изношенные или ржавые метизные изделия рекомендуется заменить новыми.</w:t>
      </w:r>
    </w:p>
    <w:p w:rsidR="001D7F94" w:rsidRPr="001D7F94" w:rsidRDefault="001D7F94" w:rsidP="001D7F94">
      <w:pPr>
        <w:numPr>
          <w:ilvl w:val="0"/>
          <w:numId w:val="4"/>
        </w:numPr>
        <w:shd w:val="clear" w:color="auto" w:fill="FFFFFF"/>
        <w:spacing w:before="120" w:after="120" w:line="23" w:lineRule="atLeast"/>
        <w:ind w:left="360"/>
        <w:textAlignment w:val="baseline"/>
        <w:rPr>
          <w:rFonts w:ascii="Calibri" w:eastAsia="Times New Roman" w:hAnsi="Calibri" w:cs="Calibri"/>
          <w:sz w:val="26"/>
          <w:szCs w:val="26"/>
          <w:lang w:eastAsia="ru-RU"/>
        </w:rPr>
      </w:pPr>
      <w:r w:rsidRPr="001D7F94">
        <w:rPr>
          <w:rFonts w:ascii="Calibri" w:eastAsia="Times New Roman" w:hAnsi="Calibri" w:cs="Calibri"/>
          <w:sz w:val="26"/>
          <w:szCs w:val="26"/>
          <w:lang w:eastAsia="ru-RU"/>
        </w:rPr>
        <w:t>После установки ПГУ требуется проверить перекос рабочих штоков, который не должен превышать 3 мм.</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sz w:val="26"/>
          <w:szCs w:val="26"/>
          <w:lang w:eastAsia="ru-RU"/>
        </w:rPr>
        <w:lastRenderedPageBreak/>
        <w:t>Данная схема актуальна для разных моделей МАЗ: 4370 («Зубренок»), 5336, 5440, 5551, 5516 и других.</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b/>
          <w:bCs/>
          <w:color w:val="000000"/>
          <w:sz w:val="50"/>
          <w:szCs w:val="50"/>
          <w:lang w:eastAsia="ru-RU"/>
        </w:rPr>
        <w:t>Как отрегулировать</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Под регулировкой подразумевается изменение свободного хода муфты отключения сцепления. Проверка зазора выполняется смещением рычага вилки от сферической поверхности гайки толкателя усилителя. Операция проводится вручную, для уменьшения усилия требуется демонтировать пружину рычага. Нормальным считается ход в пределах 5–6 мм (замеренный на радиусе 90 мм). Если измеренное значение находится в пределах 3 мм, его следует довести до нормы вращением сферической гайки.</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 xml:space="preserve">После регулировки требуется проверить полный ход толкателя, который должен составлять не менее 25 мм. Тест производится путем полного </w:t>
      </w:r>
      <w:proofErr w:type="spellStart"/>
      <w:r w:rsidRPr="001D7F94">
        <w:rPr>
          <w:rFonts w:ascii="Calibri" w:eastAsia="Times New Roman" w:hAnsi="Calibri" w:cs="Calibri"/>
          <w:color w:val="000000"/>
          <w:sz w:val="26"/>
          <w:szCs w:val="26"/>
          <w:lang w:eastAsia="ru-RU"/>
        </w:rPr>
        <w:t>утапливания</w:t>
      </w:r>
      <w:proofErr w:type="spellEnd"/>
      <w:r w:rsidRPr="001D7F94">
        <w:rPr>
          <w:rFonts w:ascii="Calibri" w:eastAsia="Times New Roman" w:hAnsi="Calibri" w:cs="Calibri"/>
          <w:color w:val="000000"/>
          <w:sz w:val="26"/>
          <w:szCs w:val="26"/>
          <w:lang w:eastAsia="ru-RU"/>
        </w:rPr>
        <w:t xml:space="preserve"> педали сцепления.</w:t>
      </w:r>
    </w:p>
    <w:p w:rsidR="001D7F94" w:rsidRPr="001D7F94" w:rsidRDefault="001D7F94" w:rsidP="001D7F94">
      <w:pPr>
        <w:shd w:val="clear" w:color="auto" w:fill="F2F5F9"/>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При меньших значениях усилитель не обеспечивает полного разведения дисков сцепления.</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Дополнительно настраивается свободный ход педали, соответствующий началу работы главного цилиндра. Величина зависит от зазора между поршнем и толкателем. Нормальным считается ход 6–12 мм, измеренный по средней части педали. Настройка зазора между поршнем и толкателем выполняется поворотом эксцентрикового пальца. Регулировка выполняется при полностью отпущенной педали сцепления (до контакта об резиновый упор). Палец вращается до момента получения требуемого свободного хода. Затем затягивается гайка на регуляторе и устанавливается страховочный шплинт.</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b/>
          <w:bCs/>
          <w:color w:val="000000"/>
          <w:sz w:val="50"/>
          <w:szCs w:val="50"/>
          <w:lang w:eastAsia="ru-RU"/>
        </w:rPr>
        <w:t>Как прокачать</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 xml:space="preserve">Прокачка ПГУ на </w:t>
      </w:r>
      <w:proofErr w:type="spellStart"/>
      <w:r w:rsidRPr="001D7F94">
        <w:rPr>
          <w:rFonts w:ascii="Calibri" w:eastAsia="Times New Roman" w:hAnsi="Calibri" w:cs="Calibri"/>
          <w:color w:val="000000"/>
          <w:sz w:val="26"/>
          <w:szCs w:val="26"/>
          <w:lang w:eastAsia="ru-RU"/>
        </w:rPr>
        <w:t>МАЗе</w:t>
      </w:r>
      <w:proofErr w:type="spellEnd"/>
      <w:r w:rsidRPr="001D7F94">
        <w:rPr>
          <w:rFonts w:ascii="Calibri" w:eastAsia="Times New Roman" w:hAnsi="Calibri" w:cs="Calibri"/>
          <w:color w:val="000000"/>
          <w:sz w:val="26"/>
          <w:szCs w:val="26"/>
          <w:lang w:eastAsia="ru-RU"/>
        </w:rPr>
        <w:t xml:space="preserve"> производится следующим образом:</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Изготовить самодельный нагнетательный прибор из пластиковой бутылки емкостью 0,5–1,0 л. В крышке и донной части сверлятся отверстия, в которые затем устанавливаются ниппели от бескамерных шин.</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Из детали, смонтированной в донце емкости, требуется удалить золотниковый клапан.</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Заполнить бутылку свежей тормозной жидкостью на 60–70 %. При заливке следует закрыть отверстие в клапане.</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Соединить емкость шлангом со штуцером, установленным на усилителе. Для подключения используется клапан без золотника. Перед установкой магистрали требуется снять защитный элемент и ослабить штуцер, повернув на 1–2 оборота.</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 xml:space="preserve">Подать сжатый воздух в бутылку через клапан, установленный в крышке. Источником газа может служить компрессор с пистолетом для подкачки шин. </w:t>
      </w:r>
      <w:r w:rsidRPr="001D7F94">
        <w:rPr>
          <w:rFonts w:ascii="Calibri" w:eastAsia="Times New Roman" w:hAnsi="Calibri" w:cs="Calibri"/>
          <w:color w:val="000000"/>
          <w:sz w:val="26"/>
          <w:szCs w:val="26"/>
          <w:lang w:eastAsia="ru-RU"/>
        </w:rPr>
        <w:lastRenderedPageBreak/>
        <w:t>Установленный на узле манометр позволяет контролировать давление в емкости, которое должно находиться в пределах 3–4 кгс/см².</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Под воздействием давления воздуха жидкость поступает в полости усилителя и вытесняет имеющийся внутри воздух.</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Процедура продолжается до момента исчезновения пузырьков воздуха в расширительном бачке.</w:t>
      </w:r>
    </w:p>
    <w:p w:rsidR="001D7F94" w:rsidRPr="001D7F94" w:rsidRDefault="001D7F94" w:rsidP="001D7F94">
      <w:pPr>
        <w:numPr>
          <w:ilvl w:val="0"/>
          <w:numId w:val="5"/>
        </w:numPr>
        <w:shd w:val="clear" w:color="auto" w:fill="FFFFFF"/>
        <w:spacing w:before="120" w:after="120" w:line="23" w:lineRule="atLeast"/>
        <w:ind w:left="360"/>
        <w:textAlignment w:val="baseline"/>
        <w:rPr>
          <w:rFonts w:ascii="Calibri" w:eastAsia="Times New Roman" w:hAnsi="Calibri" w:cs="Calibri"/>
          <w:color w:val="000000"/>
          <w:sz w:val="26"/>
          <w:szCs w:val="26"/>
          <w:lang w:eastAsia="ru-RU"/>
        </w:rPr>
      </w:pPr>
      <w:r w:rsidRPr="001D7F94">
        <w:rPr>
          <w:rFonts w:ascii="Calibri" w:eastAsia="Times New Roman" w:hAnsi="Calibri" w:cs="Calibri"/>
          <w:color w:val="000000"/>
          <w:sz w:val="26"/>
          <w:szCs w:val="26"/>
          <w:lang w:eastAsia="ru-RU"/>
        </w:rPr>
        <w:t>После заполнения магистралей необходимо закрутить штуцер и довести уровень жидкости в бачке до требуемого значения. Нормальным считается уровень, расположенный на 10–15 мм ниже кромки заливной горловины.</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Допускается обратная методика прокачки, когда жидкость подается под давлением в бачок. Заливка продолжается до момента прекращения выхода пузырьков газа из штуцера (предварительно открученного на 1–2 оборота). После заправки клапан затягивается и закрывается сверху защитным резиновым элементом.</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После прокачки сцепления ПГУ рекомендуется проверить состояние штоков, которые не должны иметь деформации. Дополнительно проверяется положение датчика износа тормозных накладок, стержень которого не должен выступать за пределы корпуса пневматического цилиндра более чем на 23 мм.</w:t>
      </w:r>
    </w:p>
    <w:p w:rsidR="001D7F94" w:rsidRPr="001D7F94" w:rsidRDefault="001D7F94" w:rsidP="001D7F94">
      <w:pPr>
        <w:shd w:val="clear" w:color="auto" w:fill="FFFFFF"/>
        <w:spacing w:before="120" w:after="120" w:line="23" w:lineRule="atLeast"/>
        <w:rPr>
          <w:rFonts w:ascii="Calibri" w:eastAsia="Times New Roman" w:hAnsi="Calibri" w:cs="Calibri"/>
          <w:sz w:val="24"/>
          <w:szCs w:val="24"/>
          <w:lang w:eastAsia="ru-RU"/>
        </w:rPr>
      </w:pPr>
      <w:r w:rsidRPr="001D7F94">
        <w:rPr>
          <w:rFonts w:ascii="Calibri" w:eastAsia="Times New Roman" w:hAnsi="Calibri" w:cs="Calibri"/>
          <w:color w:val="000000"/>
          <w:sz w:val="26"/>
          <w:szCs w:val="26"/>
          <w:lang w:eastAsia="ru-RU"/>
        </w:rPr>
        <w:t>После этого требуется проверить работу усилителя на грузовике с работающим двигателем. При наличии давления в пневматической системе автомобиля необходимо утопить педаль до упора и проконтролировать легкость переключения скоростей. Передачи должны переключаться легко и без постороннего шума. При установке коробки с делителем требуется проверить работу привода узла. В случае некорректного функционирования необходимо отрегулировать положение управляющего кронштейна.</w:t>
      </w:r>
    </w:p>
    <w:p w:rsidR="003B1E90" w:rsidRPr="001D7F94" w:rsidRDefault="001D7F94" w:rsidP="001D7F94">
      <w:pPr>
        <w:spacing w:before="120" w:after="120" w:line="23" w:lineRule="atLeast"/>
        <w:rPr>
          <w:rFonts w:ascii="Calibri" w:hAnsi="Calibri" w:cs="Calibri"/>
        </w:rPr>
      </w:pPr>
    </w:p>
    <w:sectPr w:rsidR="003B1E90" w:rsidRPr="001D7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874B1"/>
    <w:multiLevelType w:val="multilevel"/>
    <w:tmpl w:val="09844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40F43"/>
    <w:multiLevelType w:val="multilevel"/>
    <w:tmpl w:val="46A0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6B5C72"/>
    <w:multiLevelType w:val="multilevel"/>
    <w:tmpl w:val="85EE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66909"/>
    <w:multiLevelType w:val="multilevel"/>
    <w:tmpl w:val="75D6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B85476"/>
    <w:multiLevelType w:val="multilevel"/>
    <w:tmpl w:val="0F080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22"/>
    <w:rsid w:val="00127122"/>
    <w:rsid w:val="001D7F94"/>
    <w:rsid w:val="002165F6"/>
    <w:rsid w:val="004A4266"/>
    <w:rsid w:val="00793F84"/>
    <w:rsid w:val="00A42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03B7"/>
  <w15:chartTrackingRefBased/>
  <w15:docId w15:val="{E1BEF4B7-6B15-4D33-84DB-A5018D5B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D7F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7F9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D7F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9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1144</Words>
  <Characters>6524</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Valera Bledko</dc:creator>
  <cp:keywords/>
  <dc:description/>
  <cp:lastModifiedBy>Valera Bledko</cp:lastModifiedBy>
  <cp:revision>3</cp:revision>
  <dcterms:created xsi:type="dcterms:W3CDTF">2020-04-13T17:13:00Z</dcterms:created>
  <dcterms:modified xsi:type="dcterms:W3CDTF">2020-04-13T17:16:00Z</dcterms:modified>
</cp:coreProperties>
</file>