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5E" w:rsidRDefault="00C2235E"/>
    <w:p w:rsidR="00526A86" w:rsidRPr="00016557" w:rsidRDefault="00526A86" w:rsidP="00526A86">
      <w:pPr>
        <w:shd w:val="clear" w:color="auto" w:fill="FFFFFF" w:themeFill="background1"/>
        <w:spacing w:line="432" w:lineRule="exact"/>
        <w:jc w:val="both"/>
        <w:rPr>
          <w:rStyle w:val="20"/>
          <w:rFonts w:eastAsiaTheme="minorHAnsi"/>
          <w:b/>
          <w:sz w:val="24"/>
          <w:szCs w:val="24"/>
          <w:lang w:val="ru-RU"/>
        </w:rPr>
      </w:pPr>
      <w:r w:rsidRPr="00016557">
        <w:rPr>
          <w:rStyle w:val="20"/>
          <w:rFonts w:eastAsiaTheme="minorHAnsi"/>
          <w:b/>
          <w:sz w:val="24"/>
          <w:szCs w:val="24"/>
          <w:lang w:val="ru-RU"/>
        </w:rPr>
        <w:t>Фармакологія</w:t>
      </w:r>
    </w:p>
    <w:p w:rsidR="00526A86" w:rsidRPr="00016557" w:rsidRDefault="00526A86" w:rsidP="00526A86">
      <w:pPr>
        <w:shd w:val="clear" w:color="auto" w:fill="FFFFFF" w:themeFill="background1"/>
        <w:spacing w:line="432" w:lineRule="exact"/>
        <w:jc w:val="both"/>
        <w:rPr>
          <w:rStyle w:val="20"/>
          <w:rFonts w:eastAsiaTheme="minorHAnsi"/>
          <w:sz w:val="24"/>
          <w:szCs w:val="24"/>
          <w:u w:val="single"/>
          <w:lang w:val="ru-RU"/>
        </w:rPr>
      </w:pPr>
      <w:r w:rsidRPr="00016557">
        <w:rPr>
          <w:rStyle w:val="20"/>
          <w:rFonts w:eastAsiaTheme="minorHAnsi"/>
          <w:sz w:val="24"/>
          <w:szCs w:val="24"/>
          <w:u w:val="single"/>
          <w:lang w:val="ru-RU"/>
        </w:rPr>
        <w:t>Лекції — 30 годин</w:t>
      </w:r>
    </w:p>
    <w:p w:rsidR="00526A86" w:rsidRDefault="00526A86" w:rsidP="00016557">
      <w:pPr>
        <w:shd w:val="clear" w:color="auto" w:fill="FFFFFF" w:themeFill="background1"/>
        <w:tabs>
          <w:tab w:val="left" w:pos="565"/>
        </w:tabs>
        <w:spacing w:line="432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Антигіпертензивні засоби.</w:t>
      </w:r>
    </w:p>
    <w:p w:rsidR="00526A86" w:rsidRDefault="00526A86" w:rsidP="00016557">
      <w:pPr>
        <w:shd w:val="clear" w:color="auto" w:fill="FFFFFF" w:themeFill="background1"/>
        <w:tabs>
          <w:tab w:val="left" w:pos="565"/>
        </w:tabs>
        <w:spacing w:line="218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Коронаророзширювальні та засоби, що впливають на мозковий кровообіг.</w:t>
      </w:r>
    </w:p>
    <w:p w:rsidR="00526A86" w:rsidRDefault="00526A86" w:rsidP="00016557">
      <w:pPr>
        <w:shd w:val="clear" w:color="auto" w:fill="FFFFFF" w:themeFill="background1"/>
        <w:tabs>
          <w:tab w:val="left" w:pos="565"/>
        </w:tabs>
        <w:spacing w:line="218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Засоби, що впливають на функції органів ШКТ.</w:t>
      </w:r>
    </w:p>
    <w:p w:rsidR="00526A86" w:rsidRDefault="00526A86" w:rsidP="00016557">
      <w:pPr>
        <w:shd w:val="clear" w:color="auto" w:fill="FFFFFF" w:themeFill="background1"/>
        <w:tabs>
          <w:tab w:val="left" w:pos="565"/>
          <w:tab w:val="left" w:pos="3278"/>
        </w:tabs>
        <w:spacing w:line="218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Гемостатичні антикоагулянтні</w:t>
      </w:r>
      <w:r w:rsidRPr="00016557">
        <w:rPr>
          <w:rStyle w:val="20"/>
          <w:rFonts w:eastAsiaTheme="minorHAnsi"/>
          <w:sz w:val="24"/>
          <w:szCs w:val="24"/>
          <w:lang w:val="ru-RU"/>
        </w:rPr>
        <w:tab/>
        <w:t>та антиагрегатні засоби.</w:t>
      </w:r>
    </w:p>
    <w:p w:rsidR="00526A86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Протисклеротичні засоби.</w:t>
      </w:r>
    </w:p>
    <w:p w:rsidR="00526A86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Засоби вітамінної дії.</w:t>
      </w:r>
    </w:p>
    <w:p w:rsidR="00526A86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Гормональні засоби - І.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 xml:space="preserve">Гормональні засоби - </w:t>
      </w:r>
      <w:r w:rsidRPr="00016557">
        <w:rPr>
          <w:rStyle w:val="20"/>
          <w:rFonts w:eastAsiaTheme="minorHAnsi"/>
          <w:sz w:val="24"/>
          <w:szCs w:val="24"/>
          <w:lang w:val="de-DE"/>
        </w:rPr>
        <w:t>II</w:t>
      </w:r>
      <w:r w:rsidRPr="00016557">
        <w:rPr>
          <w:rStyle w:val="20"/>
          <w:rFonts w:eastAsiaTheme="minorHAnsi"/>
          <w:sz w:val="24"/>
          <w:szCs w:val="24"/>
          <w:lang w:val="ru-RU"/>
        </w:rPr>
        <w:t>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Протипухлинні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  <w:tab w:val="left" w:pos="3294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Протизапальні, протиалергічні</w:t>
      </w:r>
      <w:r w:rsidRPr="00016557">
        <w:rPr>
          <w:rStyle w:val="20"/>
          <w:rFonts w:eastAsiaTheme="minorHAnsi"/>
          <w:sz w:val="24"/>
          <w:szCs w:val="24"/>
          <w:lang w:val="ru-RU"/>
        </w:rPr>
        <w:tab/>
        <w:t>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Імуномодулюючі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Дезинфікуючі засоби та антисептики.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de-DE"/>
        </w:rPr>
      </w:pPr>
      <w:r w:rsidRPr="00016557">
        <w:rPr>
          <w:rStyle w:val="20"/>
          <w:rFonts w:eastAsiaTheme="minorHAnsi"/>
          <w:sz w:val="24"/>
          <w:szCs w:val="24"/>
          <w:lang w:val="de-DE"/>
        </w:rPr>
        <w:t>Основні положення хіміотерапії. Сульфаніламідні та інші синтетичні протимікробні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de-DE"/>
        </w:rPr>
      </w:pPr>
      <w:r w:rsidRPr="00016557">
        <w:rPr>
          <w:rStyle w:val="20"/>
          <w:rFonts w:eastAsiaTheme="minorHAnsi"/>
          <w:sz w:val="24"/>
          <w:szCs w:val="24"/>
          <w:lang w:val="de-DE"/>
        </w:rPr>
        <w:t>Антибіотики І.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de-DE"/>
        </w:rPr>
      </w:pPr>
      <w:r w:rsidRPr="00016557">
        <w:rPr>
          <w:rStyle w:val="20"/>
          <w:rFonts w:eastAsiaTheme="minorHAnsi"/>
          <w:sz w:val="24"/>
          <w:szCs w:val="24"/>
          <w:lang w:val="de-DE"/>
        </w:rPr>
        <w:t>Антибіотики II.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  <w:lang w:val="de-DE"/>
        </w:rPr>
      </w:pPr>
      <w:r w:rsidRPr="00016557">
        <w:rPr>
          <w:rStyle w:val="20"/>
          <w:rFonts w:eastAsiaTheme="minorHAnsi"/>
          <w:sz w:val="24"/>
          <w:szCs w:val="24"/>
          <w:lang w:val="de-DE"/>
        </w:rPr>
        <w:t>Протисухотні та противірусні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0" w:lineRule="exact"/>
        <w:jc w:val="both"/>
        <w:rPr>
          <w:rStyle w:val="20"/>
          <w:rFonts w:eastAsiaTheme="minorHAnsi"/>
          <w:sz w:val="24"/>
          <w:szCs w:val="24"/>
          <w:lang w:val="de-DE"/>
        </w:rPr>
      </w:pPr>
      <w:r w:rsidRPr="00016557">
        <w:rPr>
          <w:rStyle w:val="20"/>
          <w:rFonts w:eastAsiaTheme="minorHAnsi"/>
          <w:sz w:val="24"/>
          <w:szCs w:val="24"/>
          <w:lang w:val="de-DE"/>
        </w:rPr>
        <w:t>Антипротозойні та протиглистяні засоби.</w:t>
      </w:r>
    </w:p>
    <w:p w:rsidR="00526A86" w:rsidRDefault="00526A86" w:rsidP="00016557">
      <w:pPr>
        <w:shd w:val="clear" w:color="auto" w:fill="FFFFFF" w:themeFill="background1"/>
        <w:tabs>
          <w:tab w:val="left" w:pos="969"/>
        </w:tabs>
        <w:spacing w:after="215" w:line="219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Ускладнення фармакотерапії, медикаметозних отруєнь. Принципи надання невідкладної допомоги.</w:t>
      </w:r>
    </w:p>
    <w:p w:rsidR="00016557" w:rsidRPr="00016557" w:rsidRDefault="00016557" w:rsidP="00016557">
      <w:pPr>
        <w:shd w:val="clear" w:color="auto" w:fill="FFFFFF" w:themeFill="background1"/>
        <w:tabs>
          <w:tab w:val="left" w:pos="969"/>
        </w:tabs>
        <w:spacing w:after="215" w:line="219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</w:p>
    <w:p w:rsidR="00526A86" w:rsidRDefault="00526A86" w:rsidP="00526A86">
      <w:pPr>
        <w:shd w:val="clear" w:color="auto" w:fill="FFFFFF" w:themeFill="background1"/>
        <w:spacing w:after="195" w:line="200" w:lineRule="exact"/>
        <w:ind w:left="440"/>
        <w:jc w:val="both"/>
        <w:rPr>
          <w:rStyle w:val="20"/>
          <w:rFonts w:eastAsiaTheme="minorHAnsi"/>
          <w:sz w:val="24"/>
          <w:szCs w:val="24"/>
          <w:u w:val="single"/>
          <w:lang w:val="ru-RU"/>
        </w:rPr>
      </w:pPr>
      <w:r w:rsidRPr="00016557">
        <w:rPr>
          <w:rStyle w:val="20"/>
          <w:rFonts w:eastAsiaTheme="minorHAnsi"/>
          <w:sz w:val="24"/>
          <w:szCs w:val="24"/>
          <w:u w:val="single"/>
          <w:lang w:val="de-DE"/>
        </w:rPr>
        <w:t>Практичні заняття — 42 годин</w:t>
      </w:r>
    </w:p>
    <w:p w:rsidR="00016557" w:rsidRPr="00016557" w:rsidRDefault="00016557" w:rsidP="00526A86">
      <w:pPr>
        <w:shd w:val="clear" w:color="auto" w:fill="FFFFFF" w:themeFill="background1"/>
        <w:spacing w:after="195" w:line="200" w:lineRule="exact"/>
        <w:ind w:left="440"/>
        <w:jc w:val="both"/>
        <w:rPr>
          <w:rStyle w:val="20"/>
          <w:rFonts w:eastAsiaTheme="minorHAnsi"/>
          <w:sz w:val="24"/>
          <w:szCs w:val="24"/>
          <w:u w:val="single"/>
          <w:lang w:val="ru-RU"/>
        </w:rPr>
      </w:pP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Кардіотонічні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Протиаритмічні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Діуретичні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Антигіпертензивні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Коронаророзширюючі засоби та засоби, що впливають на кровообіг у головному мозку.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Засоби, що впливають на функції органів травлення.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  <w:tab w:val="center" w:pos="611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Засоби, що впливають н</w:t>
      </w:r>
      <w:r w:rsidR="00016557">
        <w:rPr>
          <w:rStyle w:val="20"/>
          <w:rFonts w:eastAsiaTheme="minorHAnsi"/>
          <w:sz w:val="24"/>
          <w:szCs w:val="24"/>
          <w:lang w:val="ru-RU"/>
        </w:rPr>
        <w:t>а систему крові (гемопоетичні і</w:t>
      </w:r>
      <w:r w:rsidRPr="00016557">
        <w:rPr>
          <w:rStyle w:val="20"/>
          <w:rFonts w:eastAsiaTheme="minorHAnsi"/>
          <w:sz w:val="24"/>
          <w:szCs w:val="24"/>
          <w:lang w:val="ru-RU"/>
        </w:rPr>
        <w:t>гемостатичні засоби).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Маткові та протизародкові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Вітаміни, ферменти та антиферментні засоби (самостійне заняття).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Гормональні препарати та їх синтетичні замінники.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Засоби, що застосовуються для корекції КЛР та кровозамінники.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Протизапальні та протиалергічні засоби. Імуномодулятори.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Протипухлинні засоби.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Антисептики. Солі важких металів.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de-DE"/>
        </w:rPr>
      </w:pPr>
      <w:r w:rsidRPr="00016557">
        <w:rPr>
          <w:rStyle w:val="20"/>
          <w:rFonts w:eastAsiaTheme="minorHAnsi"/>
          <w:sz w:val="24"/>
          <w:szCs w:val="24"/>
          <w:lang w:val="de-DE"/>
        </w:rPr>
        <w:t xml:space="preserve">Сульфаніламідні препарати. Синтетичні антибактеріальні засоби </w:t>
      </w:r>
      <w:r w:rsidRPr="00016557">
        <w:rPr>
          <w:rStyle w:val="20"/>
          <w:rFonts w:eastAsiaTheme="minorHAnsi"/>
          <w:sz w:val="24"/>
          <w:szCs w:val="24"/>
          <w:lang w:val="de-DE"/>
        </w:rPr>
        <w:lastRenderedPageBreak/>
        <w:t>різнохімічної будови.</w:t>
      </w:r>
    </w:p>
    <w:p w:rsidR="00526A86" w:rsidRPr="00016557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>Протисухотні та противірусні засоби. Протисифілітичні засоби.</w:t>
      </w:r>
    </w:p>
    <w:p w:rsidR="00526A86" w:rsidRPr="009D13A1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9D13A1">
        <w:rPr>
          <w:rStyle w:val="20"/>
          <w:rFonts w:eastAsiaTheme="minorHAnsi"/>
          <w:sz w:val="24"/>
          <w:szCs w:val="24"/>
          <w:lang w:val="ru-RU"/>
        </w:rPr>
        <w:t>Антибіотики.</w:t>
      </w:r>
    </w:p>
    <w:p w:rsidR="00526A86" w:rsidRPr="009D13A1" w:rsidRDefault="00526A86" w:rsidP="00016557">
      <w:pPr>
        <w:shd w:val="clear" w:color="auto" w:fill="FFFFFF" w:themeFill="background1"/>
        <w:tabs>
          <w:tab w:val="left" w:pos="96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9D13A1">
        <w:rPr>
          <w:rStyle w:val="20"/>
          <w:rFonts w:eastAsiaTheme="minorHAnsi"/>
          <w:sz w:val="24"/>
          <w:szCs w:val="24"/>
          <w:lang w:val="ru-RU"/>
        </w:rPr>
        <w:t>Антипротозойні засоби.</w:t>
      </w:r>
    </w:p>
    <w:p w:rsidR="00526A86" w:rsidRPr="009D13A1" w:rsidRDefault="00526A86" w:rsidP="00016557">
      <w:pPr>
        <w:shd w:val="clear" w:color="auto" w:fill="FFFFFF" w:themeFill="background1"/>
        <w:tabs>
          <w:tab w:val="left" w:pos="969"/>
        </w:tabs>
        <w:spacing w:after="205" w:line="207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016557">
        <w:rPr>
          <w:rStyle w:val="20"/>
          <w:rFonts w:eastAsiaTheme="minorHAnsi"/>
          <w:sz w:val="24"/>
          <w:szCs w:val="24"/>
          <w:lang w:val="ru-RU"/>
        </w:rPr>
        <w:t xml:space="preserve">Принципи лікування гострих медикаментозних отруєнь. </w:t>
      </w:r>
      <w:r w:rsidRPr="009D13A1">
        <w:rPr>
          <w:rStyle w:val="20"/>
          <w:rFonts w:eastAsiaTheme="minorHAnsi"/>
          <w:sz w:val="24"/>
          <w:szCs w:val="24"/>
          <w:lang w:val="ru-RU"/>
        </w:rPr>
        <w:t>Основні антидоти.</w:t>
      </w:r>
    </w:p>
    <w:p w:rsidR="00526A86" w:rsidRPr="009D13A1" w:rsidRDefault="00526A86" w:rsidP="00526A86">
      <w:pPr>
        <w:shd w:val="clear" w:color="auto" w:fill="FFFFFF" w:themeFill="background1"/>
        <w:tabs>
          <w:tab w:val="left" w:pos="969"/>
        </w:tabs>
        <w:spacing w:after="205" w:line="207" w:lineRule="exact"/>
        <w:jc w:val="both"/>
        <w:rPr>
          <w:rStyle w:val="20"/>
          <w:rFonts w:eastAsiaTheme="minorHAnsi"/>
          <w:sz w:val="24"/>
          <w:szCs w:val="24"/>
          <w:lang w:val="ru-RU"/>
        </w:rPr>
      </w:pPr>
    </w:p>
    <w:p w:rsidR="00526A86" w:rsidRPr="009D13A1" w:rsidRDefault="00526A86" w:rsidP="00526A86">
      <w:pPr>
        <w:shd w:val="clear" w:color="auto" w:fill="FFFFFF" w:themeFill="background1"/>
        <w:spacing w:after="200" w:line="200" w:lineRule="exact"/>
        <w:ind w:left="440"/>
        <w:jc w:val="both"/>
        <w:rPr>
          <w:rStyle w:val="20"/>
          <w:rFonts w:eastAsiaTheme="minorHAnsi"/>
          <w:sz w:val="24"/>
          <w:szCs w:val="24"/>
          <w:lang w:val="ru-RU"/>
        </w:rPr>
      </w:pPr>
    </w:p>
    <w:p w:rsidR="00526A86" w:rsidRDefault="00526A86" w:rsidP="00526A86">
      <w:pPr>
        <w:tabs>
          <w:tab w:val="left" w:pos="896"/>
        </w:tabs>
        <w:spacing w:after="32" w:line="204" w:lineRule="exact"/>
        <w:jc w:val="both"/>
        <w:rPr>
          <w:rStyle w:val="20"/>
          <w:rFonts w:eastAsia="Courier New"/>
          <w:sz w:val="24"/>
          <w:szCs w:val="24"/>
        </w:rPr>
      </w:pPr>
    </w:p>
    <w:p w:rsidR="00526A86" w:rsidRDefault="00526A86" w:rsidP="00526A86">
      <w:pPr>
        <w:tabs>
          <w:tab w:val="left" w:pos="896"/>
        </w:tabs>
        <w:spacing w:after="32" w:line="204" w:lineRule="exact"/>
        <w:jc w:val="both"/>
        <w:rPr>
          <w:rStyle w:val="20"/>
          <w:rFonts w:eastAsia="Courier New"/>
          <w:sz w:val="24"/>
          <w:szCs w:val="24"/>
        </w:rPr>
      </w:pPr>
    </w:p>
    <w:p w:rsidR="00526A86" w:rsidRDefault="00526A86">
      <w:pPr>
        <w:rPr>
          <w:lang w:val="ru-RU"/>
        </w:rPr>
      </w:pPr>
    </w:p>
    <w:p w:rsidR="00526A86" w:rsidRDefault="00526A86" w:rsidP="00526A86">
      <w:pPr>
        <w:spacing w:line="432" w:lineRule="exact"/>
        <w:jc w:val="both"/>
        <w:rPr>
          <w:rStyle w:val="20"/>
          <w:rFonts w:eastAsiaTheme="minorHAnsi"/>
          <w:b/>
          <w:sz w:val="24"/>
          <w:szCs w:val="24"/>
        </w:rPr>
      </w:pPr>
      <w:r w:rsidRPr="00F07237">
        <w:rPr>
          <w:rStyle w:val="20"/>
          <w:rFonts w:eastAsiaTheme="minorHAnsi"/>
          <w:b/>
          <w:sz w:val="24"/>
          <w:szCs w:val="24"/>
          <w:lang w:val="de-DE"/>
        </w:rPr>
        <w:t>Pharmakologie</w:t>
      </w:r>
    </w:p>
    <w:p w:rsidR="00526A86" w:rsidRPr="004D36B4" w:rsidRDefault="00526A86" w:rsidP="00526A86">
      <w:pPr>
        <w:spacing w:line="432" w:lineRule="exact"/>
        <w:jc w:val="both"/>
        <w:rPr>
          <w:rStyle w:val="20"/>
          <w:rFonts w:eastAsiaTheme="minorHAnsi"/>
          <w:sz w:val="24"/>
          <w:szCs w:val="24"/>
          <w:u w:val="single"/>
        </w:rPr>
      </w:pPr>
      <w:r w:rsidRPr="004D36B4">
        <w:rPr>
          <w:rStyle w:val="20"/>
          <w:rFonts w:eastAsiaTheme="minorHAnsi"/>
          <w:sz w:val="24"/>
          <w:szCs w:val="24"/>
          <w:u w:val="single"/>
          <w:lang w:val="de-DE"/>
        </w:rPr>
        <w:t>Vorlesungszeit - 30 Stunden</w:t>
      </w:r>
    </w:p>
    <w:p w:rsidR="00526A86" w:rsidRDefault="00526A86" w:rsidP="00526A86">
      <w:pPr>
        <w:tabs>
          <w:tab w:val="left" w:pos="565"/>
        </w:tabs>
        <w:spacing w:line="432" w:lineRule="exact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Antihypertensiva.</w:t>
      </w:r>
    </w:p>
    <w:p w:rsidR="00526A86" w:rsidRDefault="00526A86" w:rsidP="00526A86">
      <w:pPr>
        <w:tabs>
          <w:tab w:val="left" w:pos="565"/>
        </w:tabs>
        <w:spacing w:line="218" w:lineRule="exact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Koronarodilatatoren und Mittel, die die Hirndurchblutung beeinflussen.</w:t>
      </w:r>
    </w:p>
    <w:p w:rsidR="00526A86" w:rsidRDefault="00526A86" w:rsidP="00526A86">
      <w:pPr>
        <w:tabs>
          <w:tab w:val="left" w:pos="565"/>
        </w:tabs>
        <w:spacing w:line="218" w:lineRule="exact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Mittel, die die Funktionen der Organe des Gastrointestinaltraktes beeinflussen.</w:t>
      </w:r>
    </w:p>
    <w:p w:rsidR="00526A86" w:rsidRDefault="00526A86" w:rsidP="00526A86">
      <w:pPr>
        <w:tabs>
          <w:tab w:val="left" w:pos="565"/>
          <w:tab w:val="left" w:pos="3278"/>
        </w:tabs>
        <w:spacing w:line="218" w:lineRule="exact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Blutstillende Antikoagulanzien und Thrombozytenaggregationshemmer.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Anti-Sklerotika.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Mittel zur Vitaminwirkung.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Hormonalmittel - І.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 xml:space="preserve">Hormonalmittel - II. 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Antineoplastika.</w:t>
      </w:r>
    </w:p>
    <w:p w:rsidR="00526A86" w:rsidRDefault="00526A86" w:rsidP="00526A86">
      <w:pPr>
        <w:tabs>
          <w:tab w:val="left" w:pos="565"/>
          <w:tab w:val="left" w:pos="3294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Entzündungsmittel, Antiallergika.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Immunmodulierende Mittel.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Desinfektionsmittel und Antiseptika.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Grundlegende Bestimmungen der Chemotherapie. Sulfanilamide und andere synthetische antimikrobielle Mittel.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Antibiotika І.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Antibiotika II.</w:t>
      </w:r>
    </w:p>
    <w:p w:rsidR="00526A86" w:rsidRDefault="00526A86" w:rsidP="00526A86">
      <w:pPr>
        <w:tabs>
          <w:tab w:val="left" w:pos="565"/>
        </w:tabs>
        <w:spacing w:line="214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Tuberkulosemedikamente und Virustatika.</w:t>
      </w:r>
    </w:p>
    <w:p w:rsidR="00526A86" w:rsidRDefault="00526A86" w:rsidP="00526A86">
      <w:pPr>
        <w:tabs>
          <w:tab w:val="left" w:pos="142"/>
        </w:tabs>
        <w:spacing w:line="200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Antiprotozoenmittel und Anthelminthika.</w:t>
      </w:r>
    </w:p>
    <w:p w:rsidR="00526A86" w:rsidRDefault="00526A86" w:rsidP="00526A86">
      <w:pPr>
        <w:tabs>
          <w:tab w:val="left" w:pos="142"/>
        </w:tabs>
        <w:spacing w:after="215" w:line="219" w:lineRule="exact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Komplikationen der Pharmakotherapie, der medikamentösen Vergiftungen. Prinzipien der Notfallversorgung.</w:t>
      </w:r>
    </w:p>
    <w:p w:rsidR="00526A86" w:rsidRDefault="00526A86" w:rsidP="00526A86">
      <w:pPr>
        <w:tabs>
          <w:tab w:val="left" w:pos="142"/>
        </w:tabs>
        <w:spacing w:after="215" w:line="219" w:lineRule="exact"/>
        <w:ind w:left="440"/>
        <w:jc w:val="both"/>
        <w:rPr>
          <w:rStyle w:val="20"/>
          <w:rFonts w:eastAsiaTheme="minorHAnsi"/>
          <w:sz w:val="24"/>
          <w:szCs w:val="24"/>
        </w:rPr>
      </w:pPr>
    </w:p>
    <w:p w:rsidR="00526A86" w:rsidRPr="0001182D" w:rsidRDefault="00526A86" w:rsidP="00526A86">
      <w:pPr>
        <w:tabs>
          <w:tab w:val="left" w:pos="142"/>
        </w:tabs>
        <w:spacing w:after="215" w:line="219" w:lineRule="exact"/>
        <w:ind w:left="440"/>
        <w:jc w:val="both"/>
        <w:rPr>
          <w:rStyle w:val="20"/>
          <w:rFonts w:eastAsiaTheme="minorHAnsi"/>
          <w:sz w:val="24"/>
          <w:szCs w:val="24"/>
        </w:rPr>
      </w:pPr>
    </w:p>
    <w:p w:rsidR="00526A86" w:rsidRPr="004D36B4" w:rsidRDefault="00526A86" w:rsidP="00526A86">
      <w:pPr>
        <w:tabs>
          <w:tab w:val="left" w:pos="142"/>
        </w:tabs>
        <w:spacing w:after="195" w:line="200" w:lineRule="exact"/>
        <w:ind w:left="440"/>
        <w:jc w:val="both"/>
        <w:rPr>
          <w:rStyle w:val="20"/>
          <w:rFonts w:eastAsiaTheme="minorHAnsi"/>
          <w:sz w:val="24"/>
          <w:szCs w:val="24"/>
          <w:u w:val="single"/>
        </w:rPr>
      </w:pPr>
      <w:r w:rsidRPr="004D36B4">
        <w:rPr>
          <w:rStyle w:val="20"/>
          <w:rFonts w:eastAsiaTheme="minorHAnsi"/>
          <w:sz w:val="24"/>
          <w:szCs w:val="24"/>
          <w:u w:val="single"/>
          <w:lang w:val="de-DE"/>
        </w:rPr>
        <w:t>Praktikum - 42 Stunden</w:t>
      </w:r>
    </w:p>
    <w:p w:rsidR="00526A86" w:rsidRPr="0001182D" w:rsidRDefault="00526A86" w:rsidP="00526A86">
      <w:pPr>
        <w:tabs>
          <w:tab w:val="left" w:pos="142"/>
        </w:tabs>
        <w:spacing w:after="195" w:line="200" w:lineRule="exact"/>
        <w:ind w:left="440"/>
        <w:jc w:val="both"/>
        <w:rPr>
          <w:rStyle w:val="20"/>
          <w:rFonts w:eastAsiaTheme="minorHAnsi"/>
          <w:sz w:val="24"/>
          <w:szCs w:val="24"/>
        </w:rPr>
      </w:pP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Kardiotonika.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Antiarrhythmika.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lastRenderedPageBreak/>
        <w:t>Diuretika.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Antihypertensiva.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Koronarodilatatoren und Mittel, die die Durchblutung im Gehirn beeinflussen.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Mittel, die die Funktion der Verdauungsorgane beeinflussen.</w:t>
      </w:r>
    </w:p>
    <w:p w:rsidR="00526A86" w:rsidRDefault="00526A86" w:rsidP="00526A86">
      <w:pPr>
        <w:tabs>
          <w:tab w:val="left" w:pos="142"/>
          <w:tab w:val="center" w:pos="6119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Mittel, die das Blutsystem beeinflussen (hämatopoetische und hämostatische Mittel).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Muttermittel und Verhütungsmittel.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Vitamine, Enzyme und Antienzymmittel (Selbststudium).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Hormonpräparate und ihre synthetischen Ersatzstoffe.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01182D">
        <w:rPr>
          <w:rStyle w:val="20"/>
          <w:rFonts w:eastAsiaTheme="minorHAnsi"/>
          <w:sz w:val="24"/>
          <w:szCs w:val="24"/>
          <w:lang w:val="de-DE"/>
        </w:rPr>
        <w:t>Mittel zur Korrektur des Säure-Basen-Gleichgewichts und Blutersatze.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Entzündungsmittel und Antiallergika. Immunmodulatoren.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Antineoplastika.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Antiseptika. Schwermetallsalze.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Sulfonamidpräparate. Synthetische antibakterielle Mittel unterschiedlicher chemischer Struktur.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Tuberkulosemedikamente und Virustatika. Antisyphilitika.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Antibiotika.</w:t>
      </w:r>
    </w:p>
    <w:p w:rsidR="00526A86" w:rsidRDefault="00526A86" w:rsidP="00526A86">
      <w:pPr>
        <w:tabs>
          <w:tab w:val="left" w:pos="142"/>
        </w:tabs>
        <w:spacing w:line="207" w:lineRule="exact"/>
        <w:ind w:left="440"/>
        <w:jc w:val="both"/>
        <w:rPr>
          <w:rStyle w:val="20"/>
          <w:rFonts w:eastAsiaTheme="minorHAnsi"/>
          <w:sz w:val="24"/>
          <w:szCs w:val="24"/>
        </w:rPr>
      </w:pPr>
      <w:r w:rsidRPr="00265D02">
        <w:rPr>
          <w:rStyle w:val="20"/>
          <w:rFonts w:eastAsiaTheme="minorHAnsi"/>
          <w:sz w:val="24"/>
          <w:szCs w:val="24"/>
          <w:lang w:val="de-DE"/>
        </w:rPr>
        <w:t>Antiprotozoenmittel.</w:t>
      </w:r>
    </w:p>
    <w:p w:rsidR="00526A86" w:rsidRPr="0001182D" w:rsidRDefault="00526A86" w:rsidP="00526A86">
      <w:pPr>
        <w:tabs>
          <w:tab w:val="left" w:pos="142"/>
        </w:tabs>
        <w:spacing w:after="205" w:line="207" w:lineRule="exact"/>
        <w:ind w:left="440"/>
        <w:jc w:val="both"/>
        <w:rPr>
          <w:rStyle w:val="20"/>
          <w:rFonts w:eastAsiaTheme="minorHAnsi"/>
          <w:sz w:val="24"/>
          <w:szCs w:val="24"/>
          <w:lang w:val="de-DE"/>
        </w:rPr>
      </w:pPr>
      <w:r w:rsidRPr="004E664F">
        <w:rPr>
          <w:rStyle w:val="20"/>
          <w:rFonts w:eastAsiaTheme="minorHAnsi"/>
          <w:sz w:val="24"/>
          <w:szCs w:val="24"/>
          <w:lang w:val="de-DE"/>
        </w:rPr>
        <w:t>Grundsätze der Behandlung von akuten medikamentösen Vergiftungen. Wichtigste Gegenmittel.</w:t>
      </w:r>
    </w:p>
    <w:sectPr w:rsidR="00526A86" w:rsidRPr="0001182D" w:rsidSect="009D13A1">
      <w:pgSz w:w="10058" w:h="12934"/>
      <w:pgMar w:top="990" w:right="1248" w:bottom="990" w:left="1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47D" w:rsidRDefault="00C0547D" w:rsidP="005A29C9">
      <w:r>
        <w:separator/>
      </w:r>
    </w:p>
  </w:endnote>
  <w:endnote w:type="continuationSeparator" w:id="0">
    <w:p w:rsidR="00C0547D" w:rsidRDefault="00C0547D" w:rsidP="005A2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47D" w:rsidRDefault="00C0547D" w:rsidP="005A29C9">
      <w:r>
        <w:separator/>
      </w:r>
    </w:p>
  </w:footnote>
  <w:footnote w:type="continuationSeparator" w:id="0">
    <w:p w:rsidR="00C0547D" w:rsidRDefault="00C0547D" w:rsidP="005A29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59A6"/>
    <w:multiLevelType w:val="multilevel"/>
    <w:tmpl w:val="000ACC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5D7402"/>
    <w:multiLevelType w:val="multilevel"/>
    <w:tmpl w:val="9274104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5691F"/>
    <w:rsid w:val="00016557"/>
    <w:rsid w:val="00526A86"/>
    <w:rsid w:val="005A29C9"/>
    <w:rsid w:val="009D13A1"/>
    <w:rsid w:val="00C0547D"/>
    <w:rsid w:val="00C2235E"/>
    <w:rsid w:val="00D5691F"/>
    <w:rsid w:val="00FF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A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26A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526A86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a3">
    <w:name w:val="Колонтитул_"/>
    <w:basedOn w:val="a0"/>
    <w:rsid w:val="00526A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ru-RU" w:eastAsia="ru-RU" w:bidi="ru-RU"/>
    </w:rPr>
  </w:style>
  <w:style w:type="character" w:customStyle="1" w:styleId="a4">
    <w:name w:val="Колонтитул"/>
    <w:basedOn w:val="a3"/>
    <w:rsid w:val="00526A86"/>
    <w:rPr>
      <w:color w:val="000000"/>
      <w:spacing w:val="0"/>
      <w:w w:val="100"/>
      <w:position w:val="0"/>
    </w:rPr>
  </w:style>
  <w:style w:type="character" w:customStyle="1" w:styleId="a5">
    <w:name w:val="Колонтитул + Малые прописные"/>
    <w:basedOn w:val="a3"/>
    <w:rsid w:val="00526A86"/>
    <w:rPr>
      <w:smallCaps/>
      <w:color w:val="000000"/>
      <w:spacing w:val="0"/>
      <w:w w:val="100"/>
      <w:position w:val="0"/>
      <w:lang w:val="uk-UA" w:eastAsia="uk-UA" w:bidi="uk-UA"/>
    </w:rPr>
  </w:style>
  <w:style w:type="character" w:customStyle="1" w:styleId="2Calibri">
    <w:name w:val="Основной текст (2) + Calibri;Курсив"/>
    <w:basedOn w:val="2"/>
    <w:rsid w:val="00526A86"/>
    <w:rPr>
      <w:rFonts w:ascii="Calibri" w:eastAsia="Calibri" w:hAnsi="Calibri" w:cs="Calibri"/>
      <w:i/>
      <w:iCs/>
      <w:color w:val="000000"/>
      <w:spacing w:val="0"/>
      <w:w w:val="100"/>
      <w:position w:val="0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dcterms:created xsi:type="dcterms:W3CDTF">2019-11-02T19:43:00Z</dcterms:created>
  <dcterms:modified xsi:type="dcterms:W3CDTF">2019-11-02T20:45:00Z</dcterms:modified>
</cp:coreProperties>
</file>