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78" w:rsidRPr="001F735A" w:rsidRDefault="00E75978" w:rsidP="007E4CF6">
      <w:pPr>
        <w:spacing w:after="160" w:line="36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36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36"/>
          <w:szCs w:val="28"/>
          <w:lang w:val="uk-UA"/>
        </w:rPr>
        <w:t>План:</w:t>
      </w:r>
    </w:p>
    <w:p w:rsidR="00E75978" w:rsidRPr="001F735A" w:rsidRDefault="00E75978" w:rsidP="007E4CF6">
      <w:p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Вступ……………………………………………………………………………</w:t>
      </w:r>
      <w:r w:rsid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…</w:t>
      </w:r>
      <w:r w:rsidR="001F735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</w:p>
    <w:p w:rsidR="00E75978" w:rsidRPr="001F735A" w:rsidRDefault="00E75978" w:rsidP="007E4CF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Правове регулювання основ правового статусу людини та громадянина в ЄС</w:t>
      </w:r>
      <w:r w:rsidR="001F735A" w:rsidRPr="001F735A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……………………………………………………………………………</w:t>
      </w:r>
      <w:r w:rsidR="007D7568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1F735A" w:rsidRPr="001F735A">
        <w:rPr>
          <w:rFonts w:ascii="Times New Roman" w:hAnsi="Times New Roman"/>
          <w:color w:val="000000" w:themeColor="text1"/>
          <w:sz w:val="28"/>
          <w:szCs w:val="28"/>
        </w:rPr>
        <w:t>.5</w:t>
      </w:r>
    </w:p>
    <w:p w:rsidR="00E75978" w:rsidRPr="001F735A" w:rsidRDefault="00E75978" w:rsidP="007E4CF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Інститут громадянства ЄС: історія встановлення, природа, порядок набуття та втрати</w:t>
      </w:r>
      <w:r w:rsidR="007D7568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………………………………………………………………</w:t>
      </w:r>
      <w:r w:rsidR="007D7568" w:rsidRPr="007D7568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E75978" w:rsidRPr="001F735A" w:rsidRDefault="00E75978" w:rsidP="007E4CF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Основні права та об</w:t>
      </w:r>
      <w:r w:rsidR="00407DD9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язки громадян ЄС. Допустимі обмеження здійснення прав і свобод, їх межі</w:t>
      </w:r>
      <w:r w:rsidR="007D7568" w:rsidRPr="007D7568">
        <w:rPr>
          <w:rFonts w:ascii="Times New Roman" w:hAnsi="Times New Roman"/>
          <w:color w:val="000000" w:themeColor="text1"/>
          <w:sz w:val="28"/>
          <w:szCs w:val="28"/>
        </w:rPr>
        <w:t>………………………………………...…13</w:t>
      </w:r>
    </w:p>
    <w:p w:rsidR="00E75978" w:rsidRPr="001F735A" w:rsidRDefault="00E75978" w:rsidP="007E4CF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Хартія про основоположні права Європейського Союзу 2000 р.: юридична </w:t>
      </w:r>
      <w:r w:rsidR="00D95D9F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сила, структура та зміст. Особливості класифікації прав у Хартії</w:t>
      </w:r>
      <w:r w:rsidR="007D7568" w:rsidRPr="007D7568">
        <w:rPr>
          <w:rFonts w:ascii="Times New Roman" w:hAnsi="Times New Roman"/>
          <w:color w:val="000000" w:themeColor="text1"/>
          <w:sz w:val="28"/>
          <w:szCs w:val="28"/>
        </w:rPr>
        <w:t>………..19</w:t>
      </w:r>
    </w:p>
    <w:p w:rsidR="00E75978" w:rsidRPr="007D7568" w:rsidRDefault="00E75978" w:rsidP="007E4CF6">
      <w:p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Висновок</w:t>
      </w:r>
      <w:r w:rsidR="007D7568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…………………………………………………………………</w:t>
      </w:r>
      <w:r w:rsidR="007D7568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7D7568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…….2</w:t>
      </w:r>
      <w:r w:rsidR="007D7568" w:rsidRPr="007D7568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:rsidR="00D95D9F" w:rsidRPr="007D7568" w:rsidRDefault="00E75978" w:rsidP="007E4CF6">
      <w:p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Перелік використаної літератури………………………………………</w:t>
      </w:r>
      <w:r w:rsidR="007D7568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……</w:t>
      </w:r>
      <w:r w:rsidR="007D7568">
        <w:rPr>
          <w:rFonts w:ascii="Times New Roman" w:hAnsi="Times New Roman"/>
          <w:color w:val="000000" w:themeColor="text1"/>
          <w:sz w:val="28"/>
          <w:szCs w:val="28"/>
          <w:lang w:val="uk-UA"/>
        </w:rPr>
        <w:t>.2</w:t>
      </w:r>
      <w:r w:rsidR="007D7568" w:rsidRPr="007D7568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:rsidR="00D95D9F" w:rsidRPr="001F735A" w:rsidRDefault="00D95D9F" w:rsidP="007E4CF6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:rsidR="00D95D9F" w:rsidRPr="001F735A" w:rsidRDefault="00D95D9F" w:rsidP="007E4CF6">
      <w:pPr>
        <w:spacing w:after="160"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Вступ</w:t>
      </w:r>
    </w:p>
    <w:p w:rsidR="00D95D9F" w:rsidRPr="001F735A" w:rsidRDefault="00D95D9F" w:rsidP="007E4CF6">
      <w:pPr>
        <w:spacing w:after="16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D95D9F" w:rsidRPr="001F735A" w:rsidRDefault="00D95D9F" w:rsidP="007E4CF6">
      <w:pPr>
        <w:spacing w:after="16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Виконуючи дану курсову роботу на тему: «Інституційна система Європейського союзу»,  потрібно розкрити такі питання, як правове регулювання основ правового статусу людини та громадянина в ЄС; інститут громадянства ЄС: історія встановлення, природа, порядок набуття та втрати; основні права та обв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язки громадян ЄС. Допустимі обмеження здійснення прав і свобод, їх межі; Хартія про основоположні права Європейського Союзу 2000 р.: юридична сила, структура та зміст. Особливості класифікації прав у Хартії.</w:t>
      </w:r>
    </w:p>
    <w:p w:rsidR="00D95D9F" w:rsidRPr="001F735A" w:rsidRDefault="00D95D9F" w:rsidP="007E4CF6">
      <w:pPr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Cs w:val="24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Всі питання в курсовому проекті будуть розкриті за допомогою теоретичного матеріалу на прикладах періодичних та наукових видань, за допомогою систематизування.</w:t>
      </w:r>
    </w:p>
    <w:p w:rsidR="00D95D9F" w:rsidRPr="001F735A" w:rsidRDefault="00D95D9F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Метою роботи є: </w:t>
      </w:r>
    </w:p>
    <w:p w:rsidR="00D95D9F" w:rsidRPr="001F735A" w:rsidRDefault="00D95D9F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детальне вивчення інституту громадянства;</w:t>
      </w:r>
    </w:p>
    <w:p w:rsidR="00D95D9F" w:rsidRPr="001F735A" w:rsidRDefault="00D95D9F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детальна характеристика набуття громадянства 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ЄС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визначити умови прийняття до громадянства України;</w:t>
      </w:r>
    </w:p>
    <w:p w:rsidR="00D95D9F" w:rsidRPr="001F735A" w:rsidRDefault="00D95D9F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визначити та охарактеризувати особливості виходу і втрати громадянства 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ЄС</w:t>
      </w:r>
    </w:p>
    <w:p w:rsidR="00646F95" w:rsidRPr="001F735A" w:rsidRDefault="00646F95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зазначити допустимі обмеження здійснення прав і свобод громадянина</w:t>
      </w:r>
    </w:p>
    <w:p w:rsidR="00646F95" w:rsidRPr="001F735A" w:rsidRDefault="00646F95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розкрити сутність Хартії про основоположні права Європейського Союзу</w:t>
      </w:r>
    </w:p>
    <w:p w:rsidR="00646F95" w:rsidRPr="001F735A" w:rsidRDefault="00646F95" w:rsidP="007E4CF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детально роз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яснити правове регулювання основ правового статусу людини та громадянина в ЄС</w:t>
      </w:r>
    </w:p>
    <w:p w:rsidR="00646F95" w:rsidRPr="001F735A" w:rsidRDefault="00D95D9F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Актуальність роботи полягає в необхідності  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комплексного наукового вивчення й теоретичного обґрунтування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інституту громадянства</w:t>
      </w:r>
      <w:r w:rsidR="00841754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Європейського Союзу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. Громадянство посідає одне з провідних місць серед конституційно-правових засад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646F95" w:rsidRPr="001F735A" w:rsidRDefault="00646F95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Основи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правового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положення людини і громадянина в Європейському Союзі, у свою чергу, також носять системний характер.</w:t>
      </w:r>
    </w:p>
    <w:p w:rsidR="00646F95" w:rsidRPr="001F735A" w:rsidRDefault="00646F95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Система основ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правового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положення особистості включає три базових елементи:</w:t>
      </w:r>
    </w:p>
    <w:p w:rsidR="00646F95" w:rsidRPr="001F735A" w:rsidRDefault="00646F95" w:rsidP="007E4CF6">
      <w:pPr>
        <w:pStyle w:val="a9"/>
        <w:spacing w:before="0" w:beforeAutospacing="0" w:after="0" w:afterAutospacing="0" w:line="360" w:lineRule="auto"/>
        <w:ind w:left="225" w:right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>-</w:t>
      </w:r>
      <w:r w:rsidRPr="001F735A">
        <w:rPr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color w:val="000000" w:themeColor="text1"/>
          <w:sz w:val="28"/>
          <w:szCs w:val="28"/>
        </w:rPr>
        <w:t xml:space="preserve">по-перше, громадянство як </w:t>
      </w:r>
      <w:proofErr w:type="gramStart"/>
      <w:r w:rsidRPr="001F735A">
        <w:rPr>
          <w:color w:val="000000" w:themeColor="text1"/>
          <w:sz w:val="28"/>
          <w:szCs w:val="28"/>
        </w:rPr>
        <w:t>ст</w:t>
      </w:r>
      <w:proofErr w:type="gramEnd"/>
      <w:r w:rsidRPr="001F735A">
        <w:rPr>
          <w:color w:val="000000" w:themeColor="text1"/>
          <w:sz w:val="28"/>
          <w:szCs w:val="28"/>
        </w:rPr>
        <w:t>ійкий правовий зв'язок людини з Європейським Союзом;</w:t>
      </w:r>
    </w:p>
    <w:p w:rsidR="00646F95" w:rsidRPr="001F735A" w:rsidRDefault="00646F95" w:rsidP="007E4CF6">
      <w:pPr>
        <w:pStyle w:val="a9"/>
        <w:spacing w:before="0" w:beforeAutospacing="0" w:after="0" w:afterAutospacing="0" w:line="360" w:lineRule="auto"/>
        <w:ind w:left="225" w:right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>-</w:t>
      </w:r>
      <w:r w:rsidRPr="001F735A">
        <w:rPr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1F735A">
        <w:rPr>
          <w:color w:val="000000" w:themeColor="text1"/>
          <w:sz w:val="28"/>
          <w:szCs w:val="28"/>
        </w:rPr>
        <w:t>по-друге</w:t>
      </w:r>
      <w:proofErr w:type="gramEnd"/>
      <w:r w:rsidRPr="001F735A">
        <w:rPr>
          <w:color w:val="000000" w:themeColor="text1"/>
          <w:sz w:val="28"/>
          <w:szCs w:val="28"/>
        </w:rPr>
        <w:t>, принципи правового положення людини і громадянина;</w:t>
      </w:r>
    </w:p>
    <w:p w:rsidR="00646F95" w:rsidRPr="001F735A" w:rsidRDefault="00646F95" w:rsidP="007E4CF6">
      <w:pPr>
        <w:pStyle w:val="a9"/>
        <w:spacing w:before="0" w:beforeAutospacing="0" w:after="0" w:afterAutospacing="0" w:line="360" w:lineRule="auto"/>
        <w:ind w:left="225" w:right="225"/>
        <w:jc w:val="both"/>
        <w:rPr>
          <w:color w:val="000000" w:themeColor="text1"/>
          <w:sz w:val="28"/>
          <w:szCs w:val="28"/>
          <w:lang w:val="uk-UA"/>
        </w:rPr>
      </w:pPr>
      <w:r w:rsidRPr="001F735A">
        <w:rPr>
          <w:color w:val="000000" w:themeColor="text1"/>
          <w:sz w:val="28"/>
          <w:szCs w:val="28"/>
        </w:rPr>
        <w:t>- по-трет</w:t>
      </w:r>
      <w:proofErr w:type="gramStart"/>
      <w:r w:rsidRPr="001F735A">
        <w:rPr>
          <w:color w:val="000000" w:themeColor="text1"/>
          <w:sz w:val="28"/>
          <w:szCs w:val="28"/>
        </w:rPr>
        <w:t>є,</w:t>
      </w:r>
      <w:proofErr w:type="gramEnd"/>
      <w:r w:rsidRPr="001F735A">
        <w:rPr>
          <w:color w:val="000000" w:themeColor="text1"/>
          <w:sz w:val="28"/>
          <w:szCs w:val="28"/>
        </w:rPr>
        <w:t xml:space="preserve"> основні права, свободи й обов'язки.</w:t>
      </w:r>
    </w:p>
    <w:p w:rsidR="00D95D9F" w:rsidRPr="001F735A" w:rsidRDefault="00646F95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Права громадянина є сукупність природних правомочностей, що одержали відбиття в нормативно-правових державних актах, і придбаних правомочностей, вироблених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ході розвитку суспільства й держави. Права громадянина обов’язково закріплюються в конституціях і інших законодавчих актах і також обов’язково державою декларуються й забезпечується їхній захист.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Вони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кваліфікують людину як члена державно-організованного співтовариства.</w:t>
      </w:r>
      <w:r w:rsidR="00D95D9F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646F95" w:rsidRPr="001F735A" w:rsidRDefault="00646F95" w:rsidP="007E4CF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41754" w:rsidRPr="001F735A" w:rsidRDefault="00841754" w:rsidP="007E4CF6">
      <w:pPr>
        <w:rPr>
          <w:color w:val="000000" w:themeColor="text1"/>
          <w:lang w:val="uk-UA"/>
        </w:rPr>
      </w:pPr>
      <w:r w:rsidRPr="001F735A">
        <w:rPr>
          <w:color w:val="000000" w:themeColor="text1"/>
          <w:lang w:val="uk-UA"/>
        </w:rPr>
        <w:br w:type="page"/>
      </w:r>
    </w:p>
    <w:p w:rsidR="00841754" w:rsidRPr="001F735A" w:rsidRDefault="00841754" w:rsidP="007E4CF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Правове регулювання основ правового статусу людини та громадянина в ЄС</w:t>
      </w:r>
    </w:p>
    <w:p w:rsidR="00C53009" w:rsidRPr="001F735A" w:rsidRDefault="00841754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gramStart"/>
      <w:r w:rsidRPr="001F735A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1F735A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ід правовим статусом людини та громадянина розуміється сукупність його прав і обов’язків.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Це головний зміст правового положен</w:t>
      </w:r>
      <w:r w:rsidR="00C53009"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ня людини та громадянина, але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здійснюють істотний вплив чимало правових факторів: громадянство, концептуальні підходи до правого регулювання стосунків між державою та індивідом, механізми гарантії прав і свобод. Права та обов’язки людей знаходять юридичне закріплення у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нормах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багатьох галузей права, але особливе значення в закріпленні положення людини в суспільстві норми державного права, насамперед, Конституція, що встановлює основи правового статусу людини й громадянина.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Вони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включають: громадянство, конституційні принципи правового положення людини й громадянина, основні права та свободи, їхні гарантії, обов’язки, якими обтяжуються мешканці країни. Це найважливіші елементи правового положення людини. Основи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правового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статусу відіграють вирішальну роль у визначенні положення людини в суспільстві, мають життєво важливе значення.</w:t>
      </w:r>
    </w:p>
    <w:p w:rsidR="00C53009" w:rsidRPr="001F735A" w:rsidRDefault="00822D0F" w:rsidP="007E4CF6">
      <w:pPr>
        <w:pStyle w:val="Pa2"/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735A">
        <w:rPr>
          <w:rStyle w:val="A20"/>
          <w:color w:val="000000" w:themeColor="text1"/>
          <w:sz w:val="28"/>
          <w:szCs w:val="28"/>
          <w:lang w:val="uk-UA"/>
        </w:rPr>
        <w:t xml:space="preserve">Для характеристики правового статусу особи визначальним чинником є громадянство (виступає його найважливішим елементом), оскільки наявність громадянства означає, що за особою закріплено повний обсяг право - та дієздатності, який визнається державою; лише громадяни несуть у повному обсязі обов’язки (військова служба, зазвичай , не поширюється на іноземців); громадяни перебувають у більш вигідних соціально-економічних умовах (держава віддає перевагу своїм громадянам у питаннях зайнятості, освіти, охорони здоров’я та ін.); громадянство покладає додаткові обов’язки на державу щодо гарантування піклування і захисту про своїх громадян не лише всередині країни, але й поза її межами. </w:t>
      </w:r>
      <w:r w:rsidR="00C53009" w:rsidRPr="001F735A">
        <w:rPr>
          <w:rStyle w:val="A20"/>
          <w:color w:val="000000" w:themeColor="text1"/>
          <w:sz w:val="28"/>
          <w:szCs w:val="28"/>
          <w:lang w:val="uk-UA"/>
        </w:rPr>
        <w:t>Наявність у особи громадянства дає їй можливість користуватися всіма правами і свободами, а також нести всі обов’язки, передбачені законо</w:t>
      </w:r>
      <w:r w:rsidR="00C53009" w:rsidRPr="001F735A">
        <w:rPr>
          <w:rStyle w:val="A20"/>
          <w:color w:val="000000" w:themeColor="text1"/>
          <w:sz w:val="28"/>
          <w:szCs w:val="28"/>
          <w:lang w:val="uk-UA"/>
        </w:rPr>
        <w:softHyphen/>
        <w:t xml:space="preserve">давством певної держави. Обсяг цих прав, </w:t>
      </w:r>
      <w:r w:rsidR="00C53009" w:rsidRPr="001F735A">
        <w:rPr>
          <w:rStyle w:val="A20"/>
          <w:color w:val="000000" w:themeColor="text1"/>
          <w:sz w:val="28"/>
          <w:szCs w:val="28"/>
          <w:lang w:val="uk-UA"/>
        </w:rPr>
        <w:lastRenderedPageBreak/>
        <w:t xml:space="preserve">свобод і обов’язків залежить від наявності чи відсутності у особи статусу громадянина певної країни. </w:t>
      </w:r>
    </w:p>
    <w:p w:rsidR="00822D0F" w:rsidRPr="001F735A" w:rsidRDefault="00822D0F" w:rsidP="007E4CF6">
      <w:pPr>
        <w:pStyle w:val="HTML"/>
        <w:spacing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F735A">
        <w:rPr>
          <w:rStyle w:val="A2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Право на громадянство — невід’ємне право кожної людини, що визначено в Загальній декларації прав людини, у Міжнародному пакті про громадянські й політичні права (ст. 24</w:t>
      </w:r>
      <w:r w:rsidRPr="001F7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Кожна дитина повинна бути зареєстрована негайно після її народження і повинна мати ім'я</w:t>
      </w:r>
      <w:bookmarkStart w:id="0" w:name="o123"/>
      <w:bookmarkEnd w:id="0"/>
      <w:r w:rsidRPr="001F73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к</w:t>
      </w:r>
      <w:r w:rsidRPr="001F735A">
        <w:rPr>
          <w:rFonts w:ascii="Times New Roman" w:hAnsi="Times New Roman" w:cs="Times New Roman"/>
          <w:color w:val="000000" w:themeColor="text1"/>
          <w:sz w:val="28"/>
          <w:szCs w:val="28"/>
        </w:rPr>
        <w:t>ожна дитина має право на набуття громадянства</w:t>
      </w:r>
      <w:r w:rsidRPr="001F735A">
        <w:rPr>
          <w:rStyle w:val="A2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Відповідно до цього Україна вживає заходів щодо зменшення на своїй території випадків без громадянства.[</w:t>
      </w:r>
      <w:r w:rsidR="00496F90" w:rsidRPr="001F735A">
        <w:rPr>
          <w:rStyle w:val="A2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1F735A">
        <w:rPr>
          <w:rStyle w:val="A2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</w:p>
    <w:p w:rsidR="00646F95" w:rsidRPr="001F735A" w:rsidRDefault="00015CFC" w:rsidP="007E4CF6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Маастрихтський догові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1992 р. запровадив унікальний для конституційного та міжнародного права інститут громадянства Союзу. Як випливає із змісту ст. 2 Договору про Європейський Союз, воно запроваджене як засіб захисту прав та інтересів громадян держав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членів. Змі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ст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цього інституту розкривається в іншому документі - Договорі про Європейське співтовариство, його частині другій (статті 17-21). Але в ній мова йде лише про політичні права, тоді як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соц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іально-економічні права розпорошені по всьому договору. Громадянином Союзу є кожна о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соба, що має громадянство </w:t>
      </w:r>
      <w:proofErr w:type="gramStart"/>
      <w:r w:rsidR="00646F95" w:rsidRPr="001F735A">
        <w:rPr>
          <w:rFonts w:ascii="Times New Roman" w:hAnsi="Times New Roman"/>
          <w:color w:val="000000" w:themeColor="text1"/>
          <w:sz w:val="28"/>
          <w:szCs w:val="28"/>
        </w:rPr>
        <w:t>будь-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яко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ї держави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члена ЄС. Питання про те, кого вважати громадянином держави-члена вирішується згідно із законодавством відповідної держави. У ст. 17 Римського договору зазначається, що громадянство Союзу доповню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є,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але не замінює національне громадянство. Серед політичних прав відзначимо, насамперед, електоральні права (ст. 19). Кожен громадянин Союзу, що постійно проживає на території держави-члена ЄС, громадянином якої він не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є,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має право на тих самих умовах, що й громадяни цієї держави, брати пасивну й активну участь у муніципальних виборах такої держави-члена, а також у виборах до Європейського Парламенту. Громадяни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мають комплекс прав на звернення до органів Європейського співтовариства (ст. 20). По-перше, кожен громадянин має право звертатися до Європейського Парламенту з питань, що його безпосередньо стосуються.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По-друге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, гарантується право подання скарги до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>Омбудсмана на порушення в діяльності інститутів чи органів Європейського співтовариства. По-третє, громадяни ЄС мають право звертатися до будь-якого інституту Співтовариства будь-якою із 12 офіційних мов Союзу і отримати відповідь такою ж мовою. Нарешті, громадяни ЄС, що потребують дипломатичного захисту на території третьої країни, у якій держава-член, громадянином якої він є, не має свого представництва, мають право вимагати надання такого захисту від діючих у цій країні дипломатичних або консульських представництв будь-якої держави-члена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на тих самих умовах, що й громадяни такої держави (ст. 21)</w:t>
      </w:r>
      <w:r w:rsidR="00646F95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[11]</w:t>
      </w:r>
    </w:p>
    <w:p w:rsidR="00646F95" w:rsidRPr="001F735A" w:rsidRDefault="00646F95" w:rsidP="007E4CF6">
      <w:pPr>
        <w:rPr>
          <w:rFonts w:ascii="Times New Roman" w:hAnsi="Times New Roman"/>
          <w:color w:val="000000" w:themeColor="text1"/>
          <w:sz w:val="28"/>
          <w:szCs w:val="28"/>
          <w:highlight w:val="yellow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highlight w:val="yellow"/>
          <w:lang w:val="uk-UA"/>
        </w:rPr>
        <w:br w:type="page"/>
      </w:r>
    </w:p>
    <w:p w:rsidR="00EA1782" w:rsidRPr="001F735A" w:rsidRDefault="00EA1782" w:rsidP="007E4CF6">
      <w:pPr>
        <w:spacing w:after="160" w:line="360" w:lineRule="auto"/>
        <w:ind w:left="36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2.Інститут громадянства ЄС: історія встановлення, природа, порядок набуття та втрати</w:t>
      </w:r>
    </w:p>
    <w:p w:rsidR="00293028" w:rsidRPr="001F735A" w:rsidRDefault="00293028" w:rsidP="007E4CF6">
      <w:pPr>
        <w:spacing w:after="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Нині серед учених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нема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є єдності в поглядах щодо оцінки громадянства ЄС. Деякі вчені, наприклад Б. Топорнін, уважають, що запровадження громадянства Євросоюзу – це крок у напрямку, що веде до федеративного державного устрою. Він зазначає, що громадянство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має більше ідеологічне, ніж юридичне обґрунтування: «...Якщо люди бачитимуть у Європі співтовариство народі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, а не тільки держав, у інтеграції з’являться міцні корені» [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]. Дещо іншої точки зору дотримується О. Журавка, який указу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є,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що «...ЄС є регіональною міжнародною організацією, а не державним утворенням, а тому в даному випадку складно говорити про громадянство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у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прямому його розумінні…» [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  <w:lang w:val="en-US"/>
        </w:rPr>
        <w:t>9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].</w:t>
      </w:r>
    </w:p>
    <w:p w:rsidR="00293028" w:rsidRPr="001F735A" w:rsidRDefault="00293028" w:rsidP="007E4CF6">
      <w:pPr>
        <w:spacing w:after="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На думку закордонних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досл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ідників, концепція європейського громадянства була закладена ще Римським договором 1957 р., у якому говорилося про вказувалося на позитивність більшого зближення людей Європи. У ст. 6 Договору зазначена умова цього зближення – без обмеження національних особливостей . Разом із позитивною оцінкою громадянства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у зарубіжній літературі з’явилися публікації про складнощі реалізації цього інституту. Зокрема У. Прейсс висловив думку про те, що поняття «європейське громадянство» залишаться неясним, змі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ст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його формальний і знаходиться на стадії «правових категорій» [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]. Узагальнюючи наявні у правовій науці точки зору на правову сутність громадянства Європейського Союзу та враховуючи той факт, що за його основу на даний час узятий відповідно до Маастрихтського та Лісабонського договорів саме національний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івень (хоча й із закріпленням чотирьох загальносоюзних свобод), можна виділити два основних аспекти правової сутності громадянства ЄС. Перший аспект полягає в безпосередньому зв’язку особи із національною державою-членом. Другий аспект пов’язується зі спробою розширення правової сутності громадянства на міжнаціональний та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міждержавний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івень у рамках регіонального інтеграційного об’єднання – квазіфедерації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[18]</w:t>
      </w:r>
    </w:p>
    <w:p w:rsidR="00293028" w:rsidRPr="001F735A" w:rsidRDefault="000C512B" w:rsidP="007E4CF6">
      <w:pPr>
        <w:spacing w:after="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Жодна з регіональних організацій, що існують у світі, не кажучи вже про міжнародну організацію класичного зразка, не знає громадянства на практиці і не визнає його юридично, а інститут громадянства квазіфедеративного об’єднання інтеграційного типу взагалі є новелою у теорії міжнародного публічного права. Тим більше що «громадянство – один із найважливіших атрибутів державності, виражений у взаємних правах та обов’язках людини і держави» яким держави – члени Союзу по суті формально поділились між собою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[13,19]</w:t>
      </w:r>
    </w:p>
    <w:p w:rsidR="00400D99" w:rsidRPr="001F735A" w:rsidRDefault="00407DD9" w:rsidP="007E4CF6">
      <w:pPr>
        <w:spacing w:after="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Буд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ь-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яка особ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а, яка має громадянство держави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члена Союзу, є громадянином ЄС. Оскільки держа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члени ЄС зб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рігають за собою суверенне пра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во визначати, хто є їхніми гр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мадянами (на цьому, незважаюч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и на те, що відповідне положен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ня закріплено у ст. 3 Європейс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ької конвенції про громадянство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, було спеціально наголошено у Декларації про громадян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ство держав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и-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члена1), то відповідно пр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оцедура набуття і втрати грома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дянства</w:t>
      </w:r>
      <w:proofErr w:type="gramEnd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 буде </w:t>
      </w:r>
      <w:proofErr w:type="gramStart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ізною і виз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начатиметься національним законодавством держав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членів ЄС. Разом з тим, Суд Європейських співтовариств вимагає, аби реал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ізація даної компетенції націо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нальними державами здійс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нювалася при дотриманні комуні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тарного права Євросоюзу. В цілом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у слід визнати, що нормативно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правові акти Євросоюзу в с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фері громадянства містять поло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ження, які сприяють уніфікації ві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дповідного законодавства держа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ви-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членів.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Проект Конституції не м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істить положень, які б стосува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лися втрати громадянства ЄС. Однак, оскільки питання набуття і втрати громадянства перебувають у компетенції національних урядів, є </w:t>
      </w:r>
      <w:proofErr w:type="gramStart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ідстави вважати, що втрата г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ромадянства відповідної держави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члена</w:t>
      </w:r>
      <w:proofErr w:type="gramStart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матиме наслідком втрату і громадянства Євросоюзу. Принаймні важко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уявити ситуацію,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при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як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ій Євро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пейський Союз може не виз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нати факт позбавлення державою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400D99" w:rsidRPr="001F735A">
        <w:rPr>
          <w:rFonts w:ascii="Times New Roman" w:hAnsi="Times New Roman"/>
          <w:color w:val="000000" w:themeColor="text1"/>
          <w:sz w:val="28"/>
          <w:szCs w:val="28"/>
        </w:rPr>
        <w:t>членом громадянства певної особи і продовжувати розглядати її як громадянина ЄС.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[17]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Кожна держава-учасниця передбачає у своєму внутрішньодержавному праві, що її громадянство ex lege набувають такі особи: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a) діти, один із батьків яких на час народження цих дітей має громадянство цієї держави-учасниці, за винятком будь-яких випадків, що можуть бути передбачені у її внутрішньодержавному праві для дітей, які народилися за межами держави. Стосовно дітей, батьківство яких встановлюється шляхом визнання,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судовому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порядку або шляхом подібних процедур, кожна держава-учасниця може передбачити, що дитина набуває її громадянства за процедурою, яка визначається її внутрішньодержавним правом;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b) знайдені на її території немовлята, які інакше стали б особами без громадянства.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Кожна держава-учасниця передбачає у своєму внутрішньодержавному праві, що її громадянства набувають народжені на її території діти, які при народженні не набувають іншого громадянства. </w:t>
      </w: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Таке громадянство надається: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a) ex lege при народженні;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b) в подальшому дітям, які є особами без громадянства, на заяву, що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подається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відповідного органу безпосередньо дитиною чи від її імені у спосіб, встановлений внутрішньодержавним правом держави-учасниці. Така заява може бути подана за умови законного та постійного проживання заявника на її території упродовж періоду, який не перевищує п'яти років і безпосередньо передує поданню заяви.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Кожна держава-учасниця передбачає у своєму внутрішньодержавному праві можливість натуралізації для осіб, які законно та постійно проживають на її території. Встановлюючи умови натуралізації, вона не повинна передбачати ценз осілості, який перевищує десять рокі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подання заяви.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Кожна держава-учасниця у своєму внутрішньодержавному праві спрощує процедуру набуття її громадянства для таких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осіб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a) другий з подружжя, що перебуває у шлюбі з її громадянином;</w:t>
      </w:r>
    </w:p>
    <w:p w:rsidR="00A06F78" w:rsidRPr="001F735A" w:rsidRDefault="00407DD9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lastRenderedPageBreak/>
        <w:t>b</w:t>
      </w:r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діти</w:t>
      </w:r>
      <w:proofErr w:type="gramEnd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один із батьків яких набуває чи вже набув її громадянства;</w:t>
      </w:r>
    </w:p>
    <w:p w:rsidR="00A06F78" w:rsidRPr="001F735A" w:rsidRDefault="00407DD9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</w:t>
      </w:r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діти</w:t>
      </w:r>
      <w:proofErr w:type="gramEnd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усиновлені одним із її громадян;</w:t>
      </w:r>
    </w:p>
    <w:p w:rsidR="00A06F78" w:rsidRPr="001F735A" w:rsidRDefault="00407DD9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d</w:t>
      </w:r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особи</w:t>
      </w:r>
      <w:proofErr w:type="gramEnd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що народилися на її території та законно і постійно на ній проживають;</w:t>
      </w:r>
    </w:p>
    <w:p w:rsidR="00407DD9" w:rsidRPr="001F735A" w:rsidRDefault="00407DD9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e</w:t>
      </w:r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особи, що законно і постійно проживають на її території упродовж певного періоду, який розпочався до досягнення ними 18 років, причому тривалість цього періоду визначається внутрішньодержавним правом відповідної держави-учасниці;</w:t>
      </w:r>
    </w:p>
    <w:p w:rsidR="00407DD9" w:rsidRPr="001F735A" w:rsidRDefault="00407DD9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f</w:t>
      </w:r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особи</w:t>
      </w:r>
      <w:proofErr w:type="gramEnd"/>
      <w:r w:rsidR="00A06F78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без громадянства та особи, визнані як біженці, що законно та постійно проживають на її території.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Держава-учасниця не може передбачати у своєму внутрішньодержавному праві втрату її громадянства ex lege або на ініціативу самої держави-учасниці, за винятком таких випадкі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407DD9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a) доброві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льне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набуття іншого громадянства;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b) набуття громадянства держави-учасниці внаслідок шахрайських дій, подання неправдивих відомостей або приховування будь-якого суттєвого факту, що має відношення до заявника;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c) добровільна служба в іноземному військовому формуванні;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d) поведінка, яка серйозно зашкоджує життєво важливим інтересам держави-учасниці;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e) відсутність справжнього зв'язку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між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державою-учасницею та її громадянином, який постійно проживає за кордоном;  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f) якщо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ід час неповноліття дитини встановлено, що визначені у внутрішньодержавному праві умови, які дозволили їй набути ex lege громадянства держави-учасниці, більше не виконуються;</w:t>
      </w:r>
    </w:p>
    <w:p w:rsidR="00407DD9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g) усиновлення дитини, якщо дитина набуває іноземного громадянства або має іноземне громадянство одного чи обох усиновителі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07DD9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Держава-учасниця може передбачати втрату її громадянства для дітей, батьки яких втратили громадянство цієї держави</w:t>
      </w:r>
      <w:r w:rsidR="00407DD9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Однак ді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ти не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втрачають </w:t>
      </w: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громадянство цієї держави, якщо один із їхніх батьків залишається громадянином цієї держави.</w:t>
      </w:r>
    </w:p>
    <w:p w:rsidR="00407DD9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Кожна держава-учасниця </w:t>
      </w:r>
      <w:proofErr w:type="gramStart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дозволяє в</w:t>
      </w:r>
      <w:proofErr w:type="gramEnd"/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ідмовлятися від її громадянства, якщо відповідні особи не стануть внаслідок цього особами без громадянства.</w:t>
      </w:r>
    </w:p>
    <w:p w:rsidR="00A06F78" w:rsidRPr="001F735A" w:rsidRDefault="00A06F78" w:rsidP="007E4CF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Держава-учасниця може, однак, передбачити у своєму внутрішньодержавному праві, що відмовлятися від її громадянства можуть тільки ті громадяни, які постійно проживають закордоном.</w:t>
      </w:r>
      <w:r w:rsidR="00407DD9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07DD9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[</w:t>
      </w:r>
      <w:r w:rsidR="00892CAC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3,6,</w:t>
      </w:r>
      <w:r w:rsidR="00892CAC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14</w:t>
      </w:r>
      <w:r w:rsidR="00407DD9"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]</w:t>
      </w:r>
    </w:p>
    <w:p w:rsidR="00293028" w:rsidRPr="001F735A" w:rsidRDefault="00293028" w:rsidP="007E4CF6">
      <w:pPr>
        <w:spacing w:after="0"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Отже, г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ромадянство Європейського Союзу не є прикладом універсального чи відкритого громадянства, яке охоплювало б громадян більшості держав або до якого вільно могли б залучитися громадяни інших держав. Воно є варіантом надання громадянам держав – членів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додаткового громадянства, що зумовлене специфікою квазіфедеративного об’єднання, а також одним</w:t>
      </w:r>
      <w:r w:rsidR="000C512B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з основних структурних елемен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тів, запровад</w:t>
      </w:r>
      <w:r w:rsidR="000C512B" w:rsidRPr="001F735A">
        <w:rPr>
          <w:rFonts w:ascii="Times New Roman" w:hAnsi="Times New Roman"/>
          <w:color w:val="000000" w:themeColor="text1"/>
          <w:sz w:val="28"/>
          <w:szCs w:val="28"/>
        </w:rPr>
        <w:t>ження якого викликане також по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требою глибокої інтеграції держав-членів для реалізації ко</w:t>
      </w:r>
      <w:r w:rsidR="000C512B" w:rsidRPr="001F735A">
        <w:rPr>
          <w:rFonts w:ascii="Times New Roman" w:hAnsi="Times New Roman"/>
          <w:color w:val="000000" w:themeColor="text1"/>
          <w:sz w:val="28"/>
          <w:szCs w:val="28"/>
        </w:rPr>
        <w:t>нкретних економічних і політич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них програм.</w:t>
      </w:r>
    </w:p>
    <w:p w:rsidR="00407DD9" w:rsidRPr="001F735A" w:rsidRDefault="00407DD9" w:rsidP="007E4CF6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br w:type="page"/>
      </w:r>
    </w:p>
    <w:p w:rsidR="00407DD9" w:rsidRPr="001F735A" w:rsidRDefault="00407DD9" w:rsidP="007E4CF6">
      <w:pPr>
        <w:pStyle w:val="a7"/>
        <w:numPr>
          <w:ilvl w:val="0"/>
          <w:numId w:val="5"/>
        </w:numPr>
        <w:spacing w:after="16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Основні права та об</w:t>
      </w:r>
      <w:r w:rsidRPr="001F735A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</w:t>
      </w:r>
      <w:r w:rsidRPr="001F735A"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язки громадян ЄС. Допустимі обмеження здійснення прав і свобод, їх межі</w:t>
      </w:r>
    </w:p>
    <w:p w:rsidR="0059613A" w:rsidRPr="001F735A" w:rsidRDefault="0059613A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Права і свободи громадян Союзу, закріплені установчими договорами, розподілено на три основні групи за сферою і способом застосування.</w:t>
      </w:r>
    </w:p>
    <w:p w:rsidR="0059613A" w:rsidRPr="001F735A" w:rsidRDefault="0059613A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Перша група - це політичні (електоральні) права, до яких належать:</w:t>
      </w:r>
    </w:p>
    <w:p w:rsidR="0059613A" w:rsidRPr="001F735A" w:rsidRDefault="0059613A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- активне та пасивне виборче право у виборах до Європарламенту в державі перебування або постійного проживання на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івних умовах з громадянами цієї країни (п. "b" ст. 20, п. 2 ст. 22 ДФЄС);</w:t>
      </w:r>
    </w:p>
    <w:p w:rsidR="0059613A" w:rsidRPr="001F735A" w:rsidRDefault="0059613A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- активне та пасивне виборче право у виборах до муніципальних органів влади (органів місцевого врядування) в держав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і-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члені, в якій вони проживають на умовах, однакових з громадянами цієї держави-члена (п. "Ь" ст. 20, п. 1 ст. 22 ДФЄС).</w:t>
      </w:r>
    </w:p>
    <w:p w:rsidR="0059613A" w:rsidRPr="001F735A" w:rsidRDefault="0059613A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Друга група - це міграційні (функціональні) права: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пересуватися всією територією Євросоюзу (п. "а" ст. 20, ст. 21 ДФЄС);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- право вільно обирати місце проживання в межах території держав-членів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(п. "а" ст. 20, ст. 21 ДФЄС).</w:t>
      </w:r>
    </w:p>
    <w:p w:rsidR="008C3F1C" w:rsidRPr="001F735A" w:rsidRDefault="008C3F1C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Третя група - це запобіжно-захисні права та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адм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іністративні гарантії:</w:t>
      </w:r>
    </w:p>
    <w:p w:rsidR="006879C4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- на території третьої країни, де не представлена держава-член, громадянство якої</w:t>
      </w:r>
      <w:r w:rsidR="006879C4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має особа,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- право користуватися захистом з боку дипломатичних та консульських установ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будь-яко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ї держави-члена на тих самих умовах, що й громадяни цієї держави (п. "с" ст. 20, ст. 23 ДФЄС);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- право направляти петицію до Європарламенту (п. "сі" ст. 20, ст. 227 ДФЄС);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- право звертатися із скаргою до Омбудсмена, який призначається Європарламентом, з питань неналежного управління в діяльності інститутів або органі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Союзу (п. "сі" ст. 20, ст. 228 ДФЄС);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- право надсилати звернення до будь-якого інституту або органу Союзу однією з мов держав-членів та отримувати відповіді цією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самою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мовою (п. 4 ст. 24 ДФЄС);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право на доступ за певних умов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документів Європарламенту, Ради та Комісії (ст. 15 ДФЄС).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[1,2,4]</w:t>
      </w:r>
    </w:p>
    <w:p w:rsidR="008C3F1C" w:rsidRPr="001F735A" w:rsidRDefault="008C3F1C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Електоральні права громадян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 новелою в міжнародному праві, оскільки до цього часу жодне інше інтеграційне об'єднання не надавало подібних прав населенню держав-членів, і жоден міжнародний орган або інститут не обирався шляхом прямого волевиявлення народу. Електоральні права, за загальноприйнятою класифікацією прав людини, належать до політичних прав, які є прерогативою громадян держави.</w:t>
      </w:r>
    </w:p>
    <w:p w:rsidR="008C3F1C" w:rsidRPr="001F735A" w:rsidRDefault="008C3F1C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Правовою основою електоральних прав в ЄС є статті 22, 223, 224 ДФЄС. Починаючи з 1976 р. (Акт від 20 вересня 1976 р., із змінами, внесеними Рішенням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ади 2002/772/ЕС, Євроатому від 25 червня 2002 р. та 23 вересня 2002 р.), громадяни ЄС мають право обирати своїх представників до Європарламенту в державі, громадянами якої вони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є.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У червні 1979 р. відбулися перші вибори до Європарламенту, на яких громадяни держав-членів мали можливість реалізувати це право.</w:t>
      </w:r>
    </w:p>
    <w:p w:rsidR="008C3F1C" w:rsidRPr="001F735A" w:rsidRDefault="008C3F1C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Проте до укладення Маастрихтського договору не всі громадяни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, які працювали за межами своєї держави, мали змогу скористатися своїми політичними правами. Фактично,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кр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ім Ірландії, Нідерландів, Бельгії та Великої Британії (щодо ірландських громадян) держави перебування не дозволяли таким категоріям населення брати участь у виборах до Європарламенту, а єдиною державою, яка дозволяла голосувати через довірену особу або поштою, була Італійська Республіка.</w:t>
      </w:r>
    </w:p>
    <w:p w:rsidR="008C3F1C" w:rsidRPr="001F735A" w:rsidRDefault="008C3F1C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Маастрихтський догові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надав право всім громадянам держав-членів ЄС голосувати або бути кандидатом у виборах до Європарламенту та на місцевих виборах у державі-члені, де вони проживають (незалежно від наявності у них громадянства цієї держави), на однакових умовах з громадянами країни постійного проживання. Далі положення цього Договору було розвинене у вторинному праві ЄС.</w:t>
      </w:r>
    </w:p>
    <w:p w:rsidR="008C3F1C" w:rsidRPr="001F735A" w:rsidRDefault="006879C4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Директива Ради 94/80/ЕС (із змінами, внесеними Директивою 96/ 30/ЕС) про права, пов'язані із муніципальними виборами, надає всім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>громадянам Союзу активне та пасивне виборче право на муніципальних виборах у держав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і-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члені, в якій вони проживають.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[12,14]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 xml:space="preserve">Слід зауважити, що </w:t>
      </w:r>
      <w:proofErr w:type="gramStart"/>
      <w:r w:rsidRPr="001F735A">
        <w:rPr>
          <w:color w:val="000000" w:themeColor="text1"/>
          <w:sz w:val="28"/>
          <w:szCs w:val="28"/>
        </w:rPr>
        <w:t>кр</w:t>
      </w:r>
      <w:proofErr w:type="gramEnd"/>
      <w:r w:rsidRPr="001F735A">
        <w:rPr>
          <w:color w:val="000000" w:themeColor="text1"/>
          <w:sz w:val="28"/>
          <w:szCs w:val="28"/>
        </w:rPr>
        <w:t xml:space="preserve">ім прав, а можливо і обов'язків, передбачених у другій частині Договору про функціонування ЄС, можна припустити дію в праві ЄС інших прав, рівним чином пов'язаних з самим істотою статусу громадянства в будь-якому політичному вимірі (внутрішньодержавному чи міжнародному), таких, наприклад, як принцип рівності у користуванні взаємозв'язаною системою основних прав, визнаних </w:t>
      </w:r>
      <w:proofErr w:type="gramStart"/>
      <w:r w:rsidRPr="001F735A">
        <w:rPr>
          <w:color w:val="000000" w:themeColor="text1"/>
          <w:sz w:val="28"/>
          <w:szCs w:val="28"/>
        </w:rPr>
        <w:t>у</w:t>
      </w:r>
      <w:proofErr w:type="gramEnd"/>
      <w:r w:rsidRPr="001F735A">
        <w:rPr>
          <w:color w:val="000000" w:themeColor="text1"/>
          <w:sz w:val="28"/>
          <w:szCs w:val="28"/>
        </w:rPr>
        <w:t xml:space="preserve"> кожному конституційному правопорядку.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 xml:space="preserve">Не можна не відзначити, що деякі з прав, які входять до інституту громадянства Союзу, громадяни </w:t>
      </w:r>
      <w:proofErr w:type="gramStart"/>
      <w:r w:rsidRPr="001F735A">
        <w:rPr>
          <w:color w:val="000000" w:themeColor="text1"/>
          <w:sz w:val="28"/>
          <w:szCs w:val="28"/>
        </w:rPr>
        <w:t>держав-член</w:t>
      </w:r>
      <w:proofErr w:type="gramEnd"/>
      <w:r w:rsidRPr="001F735A">
        <w:rPr>
          <w:color w:val="000000" w:themeColor="text1"/>
          <w:sz w:val="28"/>
          <w:szCs w:val="28"/>
        </w:rPr>
        <w:t xml:space="preserve">ів користувалися і раніше. Мова йде, в основному, про </w:t>
      </w:r>
      <w:proofErr w:type="gramStart"/>
      <w:r w:rsidRPr="001F735A">
        <w:rPr>
          <w:color w:val="000000" w:themeColor="text1"/>
          <w:sz w:val="28"/>
          <w:szCs w:val="28"/>
        </w:rPr>
        <w:t>соц</w:t>
      </w:r>
      <w:proofErr w:type="gramEnd"/>
      <w:r w:rsidRPr="001F735A">
        <w:rPr>
          <w:color w:val="000000" w:themeColor="text1"/>
          <w:sz w:val="28"/>
          <w:szCs w:val="28"/>
        </w:rPr>
        <w:t>іально-економічні права (вільне пересування і проживання, рівність правового становища і т. д.), хоча деякі з цих прав і тоді вже мали потенційно політичне значення.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 xml:space="preserve">Хоча право не </w:t>
      </w:r>
      <w:proofErr w:type="gramStart"/>
      <w:r w:rsidRPr="001F735A">
        <w:rPr>
          <w:color w:val="000000" w:themeColor="text1"/>
          <w:sz w:val="28"/>
          <w:szCs w:val="28"/>
        </w:rPr>
        <w:t>п</w:t>
      </w:r>
      <w:proofErr w:type="gramEnd"/>
      <w:r w:rsidRPr="001F735A">
        <w:rPr>
          <w:color w:val="000000" w:themeColor="text1"/>
          <w:sz w:val="28"/>
          <w:szCs w:val="28"/>
        </w:rPr>
        <w:t xml:space="preserve">іддаватися дискримінації громадянства в колишніх редакціях установчих договорів ЄС (Маастрихтському, Амстердамському і Ниццком) формально не закріплювалося у формі права громадянства, воно визнавалося як принципу політико-юридичної системи інтеграції в першій частині Договору про Європейське співтовариство (ст. 12 забороняла будь-яку дискримінацію з міркувань приналежності до якого-небудь державі-члену), вносячи тим самим внесок у можливість розширення права на </w:t>
      </w:r>
      <w:proofErr w:type="gramStart"/>
      <w:r w:rsidRPr="001F735A">
        <w:rPr>
          <w:color w:val="000000" w:themeColor="text1"/>
          <w:sz w:val="28"/>
          <w:szCs w:val="28"/>
        </w:rPr>
        <w:t>в</w:t>
      </w:r>
      <w:proofErr w:type="gramEnd"/>
      <w:r w:rsidRPr="001F735A">
        <w:rPr>
          <w:color w:val="000000" w:themeColor="text1"/>
          <w:sz w:val="28"/>
          <w:szCs w:val="28"/>
        </w:rPr>
        <w:t>ільне пересування і проживання, користувачем якого був і продовжує залишатися будь-який громадянин Союзу.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 xml:space="preserve">Обидві норми (недискримінація і свобода пересування), об'єднані логікою інтеграції, продемонстрували свої несподівані потенційні можливості через практику Суду ЄС, який </w:t>
      </w:r>
      <w:proofErr w:type="gramStart"/>
      <w:r w:rsidRPr="001F735A">
        <w:rPr>
          <w:color w:val="000000" w:themeColor="text1"/>
          <w:sz w:val="28"/>
          <w:szCs w:val="28"/>
        </w:rPr>
        <w:t>посл</w:t>
      </w:r>
      <w:proofErr w:type="gramEnd"/>
      <w:r w:rsidRPr="001F735A">
        <w:rPr>
          <w:color w:val="000000" w:themeColor="text1"/>
          <w:sz w:val="28"/>
          <w:szCs w:val="28"/>
        </w:rPr>
        <w:t xml:space="preserve">ідовно відстоював ідею про те, що практично всі блага інтеграції поширюються на всіх громадян держав-членів, що дозволило домагатися здійснення загальних прав, незалежно від їх зв'язку з громадянством ще до </w:t>
      </w:r>
      <w:proofErr w:type="gramStart"/>
      <w:r w:rsidRPr="001F735A">
        <w:rPr>
          <w:color w:val="000000" w:themeColor="text1"/>
          <w:sz w:val="28"/>
          <w:szCs w:val="28"/>
        </w:rPr>
        <w:t>формального</w:t>
      </w:r>
      <w:proofErr w:type="gramEnd"/>
      <w:r w:rsidRPr="001F735A">
        <w:rPr>
          <w:color w:val="000000" w:themeColor="text1"/>
          <w:sz w:val="28"/>
          <w:szCs w:val="28"/>
        </w:rPr>
        <w:t xml:space="preserve"> створення інституту громадянства Маастрихтським договором. Цей новий інститут права ЄС, невіддільний від </w:t>
      </w:r>
      <w:r w:rsidRPr="001F735A">
        <w:rPr>
          <w:color w:val="000000" w:themeColor="text1"/>
          <w:sz w:val="28"/>
          <w:szCs w:val="28"/>
        </w:rPr>
        <w:lastRenderedPageBreak/>
        <w:t xml:space="preserve">класичного поняття громадянства, полягав у </w:t>
      </w:r>
      <w:proofErr w:type="gramStart"/>
      <w:r w:rsidRPr="001F735A">
        <w:rPr>
          <w:color w:val="000000" w:themeColor="text1"/>
          <w:sz w:val="28"/>
          <w:szCs w:val="28"/>
        </w:rPr>
        <w:t>п</w:t>
      </w:r>
      <w:proofErr w:type="gramEnd"/>
      <w:r w:rsidRPr="001F735A">
        <w:rPr>
          <w:color w:val="000000" w:themeColor="text1"/>
          <w:sz w:val="28"/>
          <w:szCs w:val="28"/>
        </w:rPr>
        <w:t xml:space="preserve">ідтвердженні ідеї існування деяких загальних прав, деяких загальних обов'язків, а також визнання рівності правового становища громадян, оскільки ще з часів французької Декларації прав людини і громадянина 1789 р. концепція громадянства надихається і спирається на ідею рівності усіх громадян, </w:t>
      </w:r>
      <w:proofErr w:type="gramStart"/>
      <w:r w:rsidRPr="001F735A">
        <w:rPr>
          <w:color w:val="000000" w:themeColor="text1"/>
          <w:sz w:val="28"/>
          <w:szCs w:val="28"/>
        </w:rPr>
        <w:t>р</w:t>
      </w:r>
      <w:proofErr w:type="gramEnd"/>
      <w:r w:rsidRPr="001F735A">
        <w:rPr>
          <w:color w:val="000000" w:themeColor="text1"/>
          <w:sz w:val="28"/>
          <w:szCs w:val="28"/>
        </w:rPr>
        <w:t>івності їх прав і свобод.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b/>
          <w:bCs/>
          <w:color w:val="000000" w:themeColor="text1"/>
          <w:sz w:val="28"/>
          <w:szCs w:val="28"/>
          <w:lang w:val="en-US"/>
        </w:rPr>
      </w:pPr>
      <w:r w:rsidRPr="001F735A">
        <w:rPr>
          <w:color w:val="000000" w:themeColor="text1"/>
          <w:sz w:val="28"/>
          <w:szCs w:val="28"/>
        </w:rPr>
        <w:t>Амстердамський догові</w:t>
      </w:r>
      <w:proofErr w:type="gramStart"/>
      <w:r w:rsidRPr="001F735A">
        <w:rPr>
          <w:color w:val="000000" w:themeColor="text1"/>
          <w:sz w:val="28"/>
          <w:szCs w:val="28"/>
        </w:rPr>
        <w:t>р</w:t>
      </w:r>
      <w:proofErr w:type="gramEnd"/>
      <w:r w:rsidRPr="001F735A">
        <w:rPr>
          <w:color w:val="000000" w:themeColor="text1"/>
          <w:sz w:val="28"/>
          <w:szCs w:val="28"/>
        </w:rPr>
        <w:t xml:space="preserve"> 1997 р., так само як і Ніццький договір, не внесли будь-яких змін у зміст інституту громадянства ЄС. Однак Хартія основних прав ЄС визнає і регулює права громадян ЄС, крім того, вона має і більш широку мету врегулювати сукупність прав і свобод людини в ЄС. Права громадянина, захищаються Хартією, не вплинули яким-небудь серйозним чином на правовий режим громадянства, встановлений установчими договорами, а </w:t>
      </w:r>
      <w:proofErr w:type="gramStart"/>
      <w:r w:rsidRPr="001F735A">
        <w:rPr>
          <w:color w:val="000000" w:themeColor="text1"/>
          <w:sz w:val="28"/>
          <w:szCs w:val="28"/>
        </w:rPr>
        <w:t>кр</w:t>
      </w:r>
      <w:proofErr w:type="gramEnd"/>
      <w:r w:rsidRPr="001F735A">
        <w:rPr>
          <w:color w:val="000000" w:themeColor="text1"/>
          <w:sz w:val="28"/>
          <w:szCs w:val="28"/>
        </w:rPr>
        <w:t xml:space="preserve">ім того, Хартія не створила жодних істотно нових прав у сфері громадянства. Однак треба зауважити, що права громадян, проголошені в Хартії, не обмежуються тільки її гол. V, присвяченій громадянства (ст. 39-46). Протягом усього тексту Хартії йдеться про всіх інших правах громадян, </w:t>
      </w:r>
      <w:proofErr w:type="gramStart"/>
      <w:r w:rsidRPr="001F735A">
        <w:rPr>
          <w:color w:val="000000" w:themeColor="text1"/>
          <w:sz w:val="28"/>
          <w:szCs w:val="28"/>
        </w:rPr>
        <w:t>кр</w:t>
      </w:r>
      <w:proofErr w:type="gramEnd"/>
      <w:r w:rsidRPr="001F735A">
        <w:rPr>
          <w:color w:val="000000" w:themeColor="text1"/>
          <w:sz w:val="28"/>
          <w:szCs w:val="28"/>
        </w:rPr>
        <w:t xml:space="preserve">ім спеціально перелічених у розділі V. Так, право на працю, свободу здійснювати пошук роботи, вільно займатися </w:t>
      </w:r>
      <w:proofErr w:type="gramStart"/>
      <w:r w:rsidRPr="001F735A">
        <w:rPr>
          <w:color w:val="000000" w:themeColor="text1"/>
          <w:sz w:val="28"/>
          <w:szCs w:val="28"/>
        </w:rPr>
        <w:t>п</w:t>
      </w:r>
      <w:proofErr w:type="gramEnd"/>
      <w:r w:rsidRPr="001F735A">
        <w:rPr>
          <w:color w:val="000000" w:themeColor="text1"/>
          <w:sz w:val="28"/>
          <w:szCs w:val="28"/>
        </w:rPr>
        <w:t>ідприємництвом або пропонувати послуги у всіх державах-членах (п. 2 ст. 15), рівність у доступі до посібників з соціального забезпечення та соціальної допомоги в іншій державі-члені (п. 2 ст. 34) відносяться до прав, якими можуть користуватися як громадяни, так і проживають в ЄС особи з інших держав-членів. Крім того, Хартія передбачає можливе поширення певних прав громадян ЄС громадян третіх країн, які законно проживають на території держави-члена, наприклад, вільне пересування, передбачених у ст. 45.2 Хартії. Лісабонський договір визнає права і свободи та принципи, викладені в Харт</w:t>
      </w:r>
      <w:proofErr w:type="gramStart"/>
      <w:r w:rsidRPr="001F735A">
        <w:rPr>
          <w:color w:val="000000" w:themeColor="text1"/>
          <w:sz w:val="28"/>
          <w:szCs w:val="28"/>
        </w:rPr>
        <w:t>ії ЄС</w:t>
      </w:r>
      <w:proofErr w:type="gramEnd"/>
      <w:r w:rsidRPr="001F735A">
        <w:rPr>
          <w:color w:val="000000" w:themeColor="text1"/>
          <w:sz w:val="28"/>
          <w:szCs w:val="28"/>
        </w:rPr>
        <w:t xml:space="preserve"> про основні права від 7 грудня 2000 р., адаптованої 12 грудня 2007 р., встановлюючи, що Хартія має таку ж юридичну силу, як і установчі договори</w:t>
      </w:r>
      <w:proofErr w:type="gramStart"/>
      <w:r w:rsidRPr="001F735A">
        <w:rPr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color w:val="000000" w:themeColor="text1"/>
          <w:sz w:val="28"/>
          <w:szCs w:val="28"/>
        </w:rPr>
        <w:t xml:space="preserve"> (п. 1 ст. 6 Лісабонського договору про ЄС).</w:t>
      </w:r>
      <w:r w:rsidRPr="001F735A">
        <w:rPr>
          <w:color w:val="000000" w:themeColor="text1"/>
          <w:sz w:val="28"/>
          <w:szCs w:val="28"/>
          <w:lang w:val="uk-UA"/>
        </w:rPr>
        <w:t xml:space="preserve"> </w:t>
      </w:r>
      <w:r w:rsidR="00892CAC" w:rsidRPr="001F735A">
        <w:rPr>
          <w:bCs/>
          <w:color w:val="000000" w:themeColor="text1"/>
          <w:sz w:val="28"/>
          <w:szCs w:val="28"/>
          <w:lang w:val="en-US"/>
        </w:rPr>
        <w:t>[6]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  <w:lang w:val="uk-UA"/>
        </w:rPr>
      </w:pPr>
      <w:r w:rsidRPr="001F735A">
        <w:rPr>
          <w:color w:val="000000" w:themeColor="text1"/>
          <w:sz w:val="28"/>
          <w:szCs w:val="28"/>
          <w:lang w:val="uk-UA"/>
        </w:rPr>
        <w:lastRenderedPageBreak/>
        <w:t>Г</w:t>
      </w:r>
      <w:r w:rsidRPr="001F735A">
        <w:rPr>
          <w:color w:val="000000" w:themeColor="text1"/>
          <w:sz w:val="28"/>
          <w:szCs w:val="28"/>
        </w:rPr>
        <w:t xml:space="preserve">ромадяни Європейського союзу повинні виконувати обов'язки, покладені на них відповідно до Договору. </w:t>
      </w:r>
      <w:proofErr w:type="gramStart"/>
      <w:r w:rsidRPr="001F735A">
        <w:rPr>
          <w:color w:val="000000" w:themeColor="text1"/>
          <w:sz w:val="28"/>
          <w:szCs w:val="28"/>
        </w:rPr>
        <w:t>Однак обов'язків з точки зору розкриття їх змісту "пощастило" менше, ніж правам, бо вони у відповідному розділі Договору, що стосується єдиного загальноєвропейського громадянства, взагалі ніяк не конкретизовані. Якщо як приклад звернутися до інституту національного громадянства, можна відзначити, що до числа основних обов'язків громадянина, як правило, в</w:t>
      </w:r>
      <w:proofErr w:type="gramEnd"/>
      <w:r w:rsidRPr="001F735A">
        <w:rPr>
          <w:color w:val="000000" w:themeColor="text1"/>
          <w:sz w:val="28"/>
          <w:szCs w:val="28"/>
        </w:rPr>
        <w:t xml:space="preserve">ідносять військову повинність, обов'язок сплачувати податки, а в деяких </w:t>
      </w:r>
      <w:proofErr w:type="gramStart"/>
      <w:r w:rsidRPr="001F735A">
        <w:rPr>
          <w:color w:val="000000" w:themeColor="text1"/>
          <w:sz w:val="28"/>
          <w:szCs w:val="28"/>
        </w:rPr>
        <w:t>країнах</w:t>
      </w:r>
      <w:proofErr w:type="gramEnd"/>
      <w:r w:rsidRPr="001F735A">
        <w:rPr>
          <w:color w:val="000000" w:themeColor="text1"/>
          <w:sz w:val="28"/>
          <w:szCs w:val="28"/>
        </w:rPr>
        <w:t xml:space="preserve"> - і обов'язок брати участь у виборах як виборця. Однак що стосується Європейського союзу, важко навіть уявити, в чому конкретно повинні полягати обов'язки її громадян. Разом з тим, передбачаючи можливість розширення кола вже наявних прав, Маастрихтський догові</w:t>
      </w:r>
      <w:proofErr w:type="gramStart"/>
      <w:r w:rsidRPr="001F735A">
        <w:rPr>
          <w:color w:val="000000" w:themeColor="text1"/>
          <w:sz w:val="28"/>
          <w:szCs w:val="28"/>
        </w:rPr>
        <w:t>р</w:t>
      </w:r>
      <w:proofErr w:type="gramEnd"/>
      <w:r w:rsidRPr="001F735A">
        <w:rPr>
          <w:color w:val="000000" w:themeColor="text1"/>
          <w:sz w:val="28"/>
          <w:szCs w:val="28"/>
        </w:rPr>
        <w:t xml:space="preserve"> не містить аналогічної норми щодо обов'язків, що, можливо, пояснюється прагненням надати певну стабільність правовим статусом громадянина Євросоюзу</w:t>
      </w:r>
      <w:r w:rsidRPr="001F735A">
        <w:rPr>
          <w:color w:val="000000" w:themeColor="text1"/>
          <w:sz w:val="28"/>
          <w:szCs w:val="28"/>
          <w:lang w:val="uk-UA"/>
        </w:rPr>
        <w:t>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  <w:lang w:val="uk-UA"/>
        </w:rPr>
      </w:pPr>
      <w:r w:rsidRPr="001F735A">
        <w:rPr>
          <w:color w:val="000000" w:themeColor="text1"/>
          <w:sz w:val="28"/>
          <w:szCs w:val="28"/>
          <w:lang w:val="uk-UA"/>
        </w:rPr>
        <w:t>Зокрема, серед обов'язків громадян ЄС - дотримання рівноправності між жінками та чоловіками з оплати праці (ст. 157 ДФЕС), незастосування дискримінації за ознакою громадянства (ст. 1'8 ДФЕС) і т.д.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  <w:lang w:val="uk-UA"/>
        </w:rPr>
      </w:pPr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Реалізація прав і свобод,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тому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 числі прав основних, в будь-якому суспільстві стикається з обмеженнями, зумовленими потребою захистити інтереси інших людей чи суспільства в цілому. Разом з тим накладаються владою обмеження на права також не можуть бути довільними, повинні мати свої межі - інакше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ід приводом захисту "загального блага" суб'єктивне право або свобода будуть просто ліквідовані, перетворяться на фікцію. У зв'язку з цим в національні та міжнародні документи про права людини поряд з самими правами прийнято включати норми-застереження, що встановлюють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ідстави і межі їх допустимих обмежень. При цьому розрізняються спеціальні застереження, які відносяться до окремих прав (наприклад, застереження про допустимість примусового вилучення майна у власника), і загальні застереження, що поширюють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свою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 дію на всі права і свободи.</w:t>
      </w:r>
    </w:p>
    <w:p w:rsidR="00D20E3E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1F735A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Спеціальні застереження, що містяться в Хартії Європейського Союзу про основні права і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Конвенц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 xml:space="preserve">ії про захист прав людини і основних свобод, розглянуті вище при характеристиці конкретних видів основних прав. Загальна застереження про обмеження прав і свобод в Хартії закріплена в § 1 ст. 52 Хартії </w:t>
      </w:r>
      <w:proofErr w:type="gramStart"/>
      <w:r w:rsidRPr="001F735A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1F735A">
        <w:rPr>
          <w:color w:val="000000" w:themeColor="text1"/>
          <w:sz w:val="28"/>
          <w:szCs w:val="28"/>
          <w:shd w:val="clear" w:color="auto" w:fill="FFFFFF"/>
        </w:rPr>
        <w:t>ід назвою "Дія та тлумачення прав і принципів".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F735A">
        <w:rPr>
          <w:color w:val="000000" w:themeColor="text1"/>
          <w:sz w:val="28"/>
          <w:szCs w:val="28"/>
          <w:shd w:val="clear" w:color="auto" w:fill="FFFFFF"/>
        </w:rPr>
        <w:t>Хартія встановлює </w:t>
      </w:r>
      <w:r w:rsidRPr="001F735A">
        <w:rPr>
          <w:i/>
          <w:iCs/>
          <w:color w:val="000000" w:themeColor="text1"/>
          <w:sz w:val="28"/>
          <w:szCs w:val="28"/>
          <w:shd w:val="clear" w:color="auto" w:fill="FFFFFF"/>
        </w:rPr>
        <w:t>чотири головні критерії, за яких обмеження можуть бути визнані допустимими: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bookmarkStart w:id="1" w:name="586"/>
      <w:r w:rsidRPr="001F735A">
        <w:rPr>
          <w:color w:val="000000" w:themeColor="text1"/>
          <w:sz w:val="28"/>
          <w:szCs w:val="28"/>
        </w:rPr>
        <w:t xml:space="preserve">- По-перше, </w:t>
      </w:r>
      <w:proofErr w:type="gramStart"/>
      <w:r w:rsidRPr="001F735A">
        <w:rPr>
          <w:color w:val="000000" w:themeColor="text1"/>
          <w:sz w:val="28"/>
          <w:szCs w:val="28"/>
        </w:rPr>
        <w:t>будь-яке</w:t>
      </w:r>
      <w:proofErr w:type="gramEnd"/>
      <w:r w:rsidRPr="001F735A">
        <w:rPr>
          <w:color w:val="000000" w:themeColor="text1"/>
          <w:sz w:val="28"/>
          <w:szCs w:val="28"/>
        </w:rPr>
        <w:t xml:space="preserve"> обмеження на здійснення прав і свобод, закріплених у Хартії, має бути передбачено законом</w:t>
      </w:r>
      <w:bookmarkEnd w:id="1"/>
      <w:r w:rsidRPr="001F735A">
        <w:rPr>
          <w:color w:val="000000" w:themeColor="text1"/>
          <w:sz w:val="28"/>
          <w:szCs w:val="28"/>
        </w:rPr>
        <w:t>;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>- По-друге, обмеження повинно поважати "основний змі</w:t>
      </w:r>
      <w:proofErr w:type="gramStart"/>
      <w:r w:rsidRPr="001F735A">
        <w:rPr>
          <w:color w:val="000000" w:themeColor="text1"/>
          <w:sz w:val="28"/>
          <w:szCs w:val="28"/>
        </w:rPr>
        <w:t>ст</w:t>
      </w:r>
      <w:proofErr w:type="gramEnd"/>
      <w:r w:rsidRPr="001F735A">
        <w:rPr>
          <w:color w:val="000000" w:themeColor="text1"/>
          <w:sz w:val="28"/>
          <w:szCs w:val="28"/>
        </w:rPr>
        <w:t>" прав і свобод;</w:t>
      </w:r>
    </w:p>
    <w:p w:rsidR="00B5316C" w:rsidRPr="001F735A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>- По-трет</w:t>
      </w:r>
      <w:proofErr w:type="gramStart"/>
      <w:r w:rsidRPr="001F735A">
        <w:rPr>
          <w:color w:val="000000" w:themeColor="text1"/>
          <w:sz w:val="28"/>
          <w:szCs w:val="28"/>
        </w:rPr>
        <w:t>є,</w:t>
      </w:r>
      <w:proofErr w:type="gramEnd"/>
      <w:r w:rsidRPr="001F735A">
        <w:rPr>
          <w:color w:val="000000" w:themeColor="text1"/>
          <w:sz w:val="28"/>
          <w:szCs w:val="28"/>
        </w:rPr>
        <w:t xml:space="preserve"> воно повинно відповідати принципу пропорційності, тобто бути пропорційно поставленої мети і не йти далі безумовно необхідного;</w:t>
      </w:r>
    </w:p>
    <w:p w:rsidR="00B5316C" w:rsidRPr="007E4CF6" w:rsidRDefault="00B5316C" w:rsidP="007E4CF6">
      <w:pPr>
        <w:pStyle w:val="a9"/>
        <w:spacing w:before="0" w:beforeAutospacing="0" w:after="0" w:afterAutospacing="0" w:line="360" w:lineRule="auto"/>
        <w:ind w:firstLine="225"/>
        <w:jc w:val="both"/>
        <w:rPr>
          <w:color w:val="000000" w:themeColor="text1"/>
          <w:sz w:val="28"/>
          <w:szCs w:val="28"/>
        </w:rPr>
      </w:pPr>
      <w:r w:rsidRPr="001F735A">
        <w:rPr>
          <w:color w:val="000000" w:themeColor="text1"/>
          <w:sz w:val="28"/>
          <w:szCs w:val="28"/>
        </w:rPr>
        <w:t xml:space="preserve">- По-четверте, обмеження повинно проводитися тільки в законних цілях, перелік яких є вичерпним і не </w:t>
      </w:r>
      <w:proofErr w:type="gramStart"/>
      <w:r w:rsidRPr="001F735A">
        <w:rPr>
          <w:color w:val="000000" w:themeColor="text1"/>
          <w:sz w:val="28"/>
          <w:szCs w:val="28"/>
        </w:rPr>
        <w:t>п</w:t>
      </w:r>
      <w:proofErr w:type="gramEnd"/>
      <w:r w:rsidRPr="001F735A">
        <w:rPr>
          <w:color w:val="000000" w:themeColor="text1"/>
          <w:sz w:val="28"/>
          <w:szCs w:val="28"/>
        </w:rPr>
        <w:t xml:space="preserve">ідлягає розширенню. До них відносяться "цілі загального інтересу, визнані Союзом, або потреби захисту прав та інтересів інших </w:t>
      </w:r>
      <w:proofErr w:type="gramStart"/>
      <w:r w:rsidRPr="001F735A">
        <w:rPr>
          <w:color w:val="000000" w:themeColor="text1"/>
          <w:sz w:val="28"/>
          <w:szCs w:val="28"/>
        </w:rPr>
        <w:t>осіб</w:t>
      </w:r>
      <w:proofErr w:type="gramEnd"/>
      <w:r w:rsidRPr="001F735A">
        <w:rPr>
          <w:color w:val="000000" w:themeColor="text1"/>
          <w:sz w:val="28"/>
          <w:szCs w:val="28"/>
        </w:rPr>
        <w:t>".</w:t>
      </w:r>
      <w:r w:rsidR="00D20E3E" w:rsidRPr="001F735A">
        <w:rPr>
          <w:color w:val="000000" w:themeColor="text1"/>
          <w:sz w:val="28"/>
          <w:szCs w:val="28"/>
          <w:lang w:val="uk-UA"/>
        </w:rPr>
        <w:t xml:space="preserve"> </w:t>
      </w:r>
      <w:r w:rsidR="00892CAC" w:rsidRPr="007E4CF6">
        <w:rPr>
          <w:color w:val="000000" w:themeColor="text1"/>
          <w:sz w:val="28"/>
          <w:szCs w:val="28"/>
        </w:rPr>
        <w:t>[10]</w:t>
      </w:r>
    </w:p>
    <w:p w:rsidR="00D20E3E" w:rsidRPr="001F735A" w:rsidRDefault="00D20E3E" w:rsidP="007E4CF6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735A">
        <w:rPr>
          <w:color w:val="000000" w:themeColor="text1"/>
          <w:sz w:val="28"/>
          <w:szCs w:val="28"/>
        </w:rPr>
        <w:br w:type="page"/>
      </w:r>
    </w:p>
    <w:p w:rsidR="00D20E3E" w:rsidRPr="001F735A" w:rsidRDefault="00D20E3E" w:rsidP="007E4CF6">
      <w:pPr>
        <w:spacing w:after="160" w:line="360" w:lineRule="auto"/>
        <w:ind w:left="36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4.Хартія про основоположні права Європейського Союзу 2000 р.: юридична сила, структура та зміст. Особливості класифікації прав у Хартії</w:t>
      </w:r>
    </w:p>
    <w:p w:rsidR="00D20E3E" w:rsidRPr="001F735A" w:rsidRDefault="007A554E" w:rsidP="007E4CF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З набуттям чинності Ліса</w:t>
      </w:r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>бонського договору 1 грудня 2009 р. Хартія</w:t>
      </w:r>
      <w:proofErr w:type="gramStart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набула юридичної сили одного з установчих договорів ЄС. Беручи до уваги систему джерел права ЄС, зокрема вже усталений у науковій літературі поділ так</w:t>
      </w:r>
      <w:r w:rsidR="00496F90" w:rsidRPr="001F735A">
        <w:rPr>
          <w:rFonts w:ascii="Times New Roman" w:hAnsi="Times New Roman"/>
          <w:color w:val="000000" w:themeColor="text1"/>
          <w:sz w:val="28"/>
          <w:szCs w:val="28"/>
        </w:rPr>
        <w:t>их джерел за ступенем їх фунда</w:t>
      </w:r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>мента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льності на первинні та вторинні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>можна з упевненістю стверджувати, що для Суду Європейського Союзу (далі – Суд ЄС) – органу, який послідовно забезпечує втілення принципу пріоритету права</w:t>
      </w:r>
      <w:proofErr w:type="gramStart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щодо національних правопорядків держав-членів цього формування, першочергового значення набула саме Хартія ЄС, а не ЄКПЛ, попри те, що остання визнана ЄС одним із загальних принципів його правової системи, які (принципи) теж є джерелами права ЄС. Адже відповідно до п. 3 ст. 6 Договору про ЄС (один із установчих актів ЄС, змінений Лісабонським договором) основоположні права, в тому вигляді, в якому вони закріплені в ЄКПЛ і випливають із спільних для держав-членів ЄС конституційних традицій, визнаються загальними принципами права ЄС (що ставить їх в ієрархії джерел права ЄС на друге місце </w:t>
      </w:r>
      <w:proofErr w:type="gramStart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="00D20E3E" w:rsidRPr="001F735A">
        <w:rPr>
          <w:rFonts w:ascii="Times New Roman" w:hAnsi="Times New Roman"/>
          <w:color w:val="000000" w:themeColor="text1"/>
          <w:sz w:val="28"/>
          <w:szCs w:val="28"/>
        </w:rPr>
        <w:t>ісля його установчих договорів)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[12,8]</w:t>
      </w:r>
    </w:p>
    <w:p w:rsidR="007A554E" w:rsidRPr="001F735A" w:rsidRDefault="007A554E" w:rsidP="007E4CF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Структурно-змістовні особливості Хартії ЄС. По-перше, переважна більшість прав, які закріплені в Хартії, – це «права людини». Отже, знання можливостей людини, які зафіксовані в ній, є важливими для тих громадян України, які перебувають у країнах ЄС чи мають намі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туди виїхати. По-друге, деякі положення цього документа вносять суттєві новели в сучасне розуміння тих можливостей, котрі складають інститут прав людини, а тому аналіз Хартії ЄС є важливим з огляду на перспективи удосконалення конституційно-правового механізму охорони і захисту прав та свобод людини і громадянина в Україні. Урешт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і-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решт, Хартія ЄС, як постійно підкреслюють її творці, – це не тільки правотворчий акт, джерело права. Вона закріплює такожзагальні фундаментальні цінності, відповідно до яких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побудована структура документа: людська гідність, свобода, рівність та солідарність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У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цьому, як зазначається в сучасній літературі, вона якісно переосмислює положення ЄКПЛ, висуваючи на перше місце захист гідності людини, як основи загальнолюдських основних прав, свобод та цінностей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Зупинимося далі на окремих положеннях Харт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ії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, що можуть мати значення для удосконалення положень Конституції України в напрямі зростання їх відповідності сучасним європейським стандартам. Вже у преамбулі Харт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ії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зазначено, що «людина та її інтереси – у центрі діяльності Союзу», а главу I цього акта прямо названо «Гідність».</w:t>
      </w:r>
    </w:p>
    <w:p w:rsidR="007A554E" w:rsidRPr="001F735A" w:rsidRDefault="007A554E" w:rsidP="007E4CF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Формулювання прав людини навколо поняття людської гідності свідчить, на нашу думку, про визнання означеної властивості людини джерелом усіх її прав, а також про поступове зростання значення гуманізму, як системоутворюючої з-поміж інших засад сучасного інституту прав людини. Видається, що ця інтегративна властивість, частка природи людини, є принципово важливою для пояснення феномену «позитивної дискримінації» як відмітної риси сучасної концепції прав людини. Так, глава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III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Хартії ЄС «Рівність» включає правові норми, які закріплюють права дітей (ст. 24), права літніх людей (ст. 25), права осіб з фізичними та розумовими вадами (ст. 26).</w:t>
      </w:r>
      <w:r w:rsidR="00C40EE6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Добрянський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Хартія основних прав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ЄС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містить преамбулу, в якій не наведено юридичних норм (вказано на причини та цілі прийняття Хартії, її джерела, основоположні цінності), та 54 статті, згруповані у сім розділів.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Головною ідеєю Преамбули та всієї Хартії є проголошення в абзаці 2 того, що ЄС "поміщає людську особистість у центр своєї діяльності шляхом введення громадянства Союзу та створення простору свободу, безпеки та правосуддя".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Преамбула начебто випереджає логіку закріплення в тексті Хартії прав та свобод людини навколо семи основоположних принципів-цінностей, що є єдиним комплексом та являють собою правовий статус особистості. Це, зокрема, такі принцип: поваги гідності, забезпечення прав та свобод людини і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громадянина,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івності, солідарності, демократії та принцип правової держави. Особливо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ідкреслюється, що ці принципи засновані на духовній, моральній та історичній спадщині народів Європи (п. 2).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Відповідним чином названо і розділи Хартії.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Розділ І "Гідність" (стаття 1-5), крім, власне, права на людську гідність, закріплює права та гарантії, які забезпечують гідне існування людської особистості в суспільстві: право на життя, заборона тортур, рабства тощо.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У розділі II "Свободи" (статті 6-19) зосереджено увагу на фундаментальних громадянських та політичних свободах, закріплених в Європейській конвенції з прав людини: право на свободу та особисту недоторканність, на повагу приватного та сімейного життя, на захист інформації особистого характеру, на укладення шлюбу та створення сім'ї, свободу думки, сові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ст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і та віросповідання, свободу мистецтва та науки тощо.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Кр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ім того, тут закріплюються певні соціальні права, такі як право на освіту, свободу професійної та підприємницької діяльності, а також право на труд, право власності, право на притулок.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Розділ III "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івність" (статті 20-26) містить норми, спрямовані на забезпечення третьої цінності, зазначеної в преамбулі. Ця цінність ЄС виражена через такі права та принципи, як рівність перед законом, недискримінація, культурне, релігійне та лінгвістичне різноманіття, рівність жінок та чоловіків, права дітей та людей похилого віку, а також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осіб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із фізичними вадами. Метою Хартії, таким чином, є досягнення не тільки формально-юридичного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івноправ'я, а й, в разі можливості, фактичної рівності всіх членів суспільства.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Розділ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IV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"Солідарність" (статті 27-38) містить певні трудові права та відображає деякі положення Європейської соціальної хартії, яка вже стала частиною права ЄС: право працівників підприємства на інформацію та консультації, право на колективні переговори та колективні дії, у тому числі право на страйк, право на безкоштовну допомогу у працевлаштуванні тощо.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Тут закріплюються права на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соц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іальне забезпечення, охорону здоров'я та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інші соціальні права і гарантії. Крім того, передбачається заборона дитячої праці, право на справедливі та рівні умови праці. Іноді цей розділ Хартії зазнає критики через слабке формулювання багатьох прав, про які йдеться в ньому (зокрема, захист прав споживачів та охорона навколишнього середовища, які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взагалі сформульовані ані як право, ані як свобода).</w:t>
      </w:r>
      <w:proofErr w:type="gramEnd"/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>Розділ V "Права громадян" (статті 39-46) включає права, користування якими, як правило, пов'язане із наявністю в особи громадянства ЄС.</w:t>
      </w:r>
    </w:p>
    <w:p w:rsidR="00E62270" w:rsidRPr="001F735A" w:rsidRDefault="00E62270" w:rsidP="007E4CF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Розділ VI "Правосуддя" (статті 47-71) закріплює не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ст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ільки права, скільки гарантії прав особистості, переважно в рамках кримінального процесу: ефективний судовий захист порушених прав, презумпція невинуватості, неприпустимість зворотної сили закону, який передбачає або посилює відповідальність, покарання, співмірне тяжкості злочину, тощо.</w:t>
      </w:r>
    </w:p>
    <w:p w:rsidR="00E62270" w:rsidRPr="001F735A" w:rsidRDefault="00E6227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Розділ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VII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"Загальні положення, що регулюють тлумачення та застосування Хартії" (статті 50-54), є заключним. Його призначення: визначити умови та порядок застосування Хартії органами ЄС та державами-членами, а також урегулювати непросте питання про співвідношення ЇЇ норм з нормами інших джерел основних прав, прийнятих на універсальному, європейському та внутрішньодержавному рівнях.</w:t>
      </w:r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[</w:t>
      </w:r>
      <w:proofErr w:type="gramStart"/>
      <w:r w:rsidR="00892CAC" w:rsidRPr="001F735A">
        <w:rPr>
          <w:rFonts w:ascii="Times New Roman" w:hAnsi="Times New Roman"/>
          <w:color w:val="000000" w:themeColor="text1"/>
          <w:sz w:val="28"/>
          <w:szCs w:val="28"/>
        </w:rPr>
        <w:t>7]</w:t>
      </w:r>
      <w:proofErr w:type="gramEnd"/>
    </w:p>
    <w:p w:rsidR="00E62270" w:rsidRPr="001F735A" w:rsidRDefault="00E62270" w:rsidP="007E4CF6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:rsidR="00E62270" w:rsidRPr="001F735A" w:rsidRDefault="00E62270" w:rsidP="007E4CF6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Висновок</w:t>
      </w:r>
    </w:p>
    <w:p w:rsidR="00E62270" w:rsidRPr="001F735A" w:rsidRDefault="00FE6B7E" w:rsidP="007E4CF6">
      <w:pPr>
        <w:spacing w:after="0" w:line="360" w:lineRule="auto"/>
        <w:ind w:firstLine="708"/>
        <w:jc w:val="both"/>
        <w:rPr>
          <w:rStyle w:val="A20"/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Отже, детально дослідивши тему, можна зробити висновок, що </w:t>
      </w:r>
      <w:r w:rsidRPr="001F735A">
        <w:rPr>
          <w:rStyle w:val="A20"/>
          <w:rFonts w:ascii="Times New Roman" w:hAnsi="Times New Roman"/>
          <w:color w:val="000000" w:themeColor="text1"/>
          <w:sz w:val="28"/>
          <w:szCs w:val="28"/>
          <w:lang w:val="uk-UA"/>
        </w:rPr>
        <w:t>право на громадянство — невід’ємне право кожної людини, що визначено в Загальній декларації прав людини, у Міжнародному пакті про громадянські й політичні права.</w:t>
      </w:r>
    </w:p>
    <w:p w:rsidR="00FE6B7E" w:rsidRPr="001F735A" w:rsidRDefault="00FE6B7E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Style w:val="A20"/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Якщо говорити про конкретної особи, то 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г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ромадянином Союзу є кожна особа, що має громадянство будь-якої держави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члена ЄС. Питання про те, кого вважати громадянином держави-члена вирішується згідно із законодавством відповідної держави.</w:t>
      </w:r>
    </w:p>
    <w:p w:rsidR="00FE6B7E" w:rsidRPr="001F735A" w:rsidRDefault="00FE6B7E" w:rsidP="007E4CF6">
      <w:pPr>
        <w:spacing w:after="0" w:line="360" w:lineRule="auto"/>
        <w:ind w:firstLine="708"/>
        <w:jc w:val="both"/>
        <w:rPr>
          <w:rStyle w:val="A20"/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Style w:val="A20"/>
          <w:rFonts w:ascii="Times New Roman" w:hAnsi="Times New Roman"/>
          <w:color w:val="000000" w:themeColor="text1"/>
          <w:sz w:val="28"/>
          <w:szCs w:val="28"/>
          <w:lang w:val="uk-UA"/>
        </w:rPr>
        <w:t>Для характеристики правового статусу особи визначальним чинником є громадянство (виступає його найважливішим елементом), оскільки наявність громадянства означає, що за особою закріплено повний обсяг право - та дієздатності, який визнається державою; лише громадяни несуть у повному обсязі обов’язки.</w:t>
      </w:r>
    </w:p>
    <w:p w:rsidR="00FE6B7E" w:rsidRPr="001F735A" w:rsidRDefault="00FE6B7E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Можна виділити два основних аспекти правової сутності громадянства ЄС. Перший аспект полягає в безпосередньому зв’язку особи із національною державою-членом. Другий аспект пов’язується зі спробою розширення правової сутності громадянства на міжнаціональний та міждержавний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івень у рамках регіонального інтеграційного об’єднання – квазіфедерації.</w:t>
      </w:r>
    </w:p>
    <w:p w:rsidR="00FE6B7E" w:rsidRPr="001F735A" w:rsidRDefault="00FE6B7E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Якщо говорити про п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рава і свободи громадян Союзу,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то вони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закріплені установчими договорами, 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їх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розподілено на три основні групи за сферою і способом застосування.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Перша група - це політичні (електоральні) права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496F90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96F90" w:rsidRPr="001F735A">
        <w:rPr>
          <w:rFonts w:ascii="Times New Roman" w:hAnsi="Times New Roman"/>
          <w:color w:val="000000" w:themeColor="text1"/>
          <w:sz w:val="28"/>
          <w:szCs w:val="28"/>
        </w:rPr>
        <w:t>Друга група - це міграційні (функціональні) права</w:t>
      </w:r>
      <w:r w:rsidR="00496F90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="00496F90" w:rsidRPr="007E4CF6">
        <w:rPr>
          <w:rFonts w:ascii="Times New Roman" w:hAnsi="Times New Roman"/>
          <w:color w:val="000000" w:themeColor="text1"/>
          <w:sz w:val="28"/>
          <w:szCs w:val="28"/>
          <w:lang w:val="uk-UA"/>
        </w:rPr>
        <w:t>Третя група - це запобіжно-захисні права та адміністративні гарантії</w:t>
      </w:r>
      <w:r w:rsidR="00496F90"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ю.</w:t>
      </w:r>
    </w:p>
    <w:p w:rsidR="00B5316C" w:rsidRPr="001F735A" w:rsidRDefault="00496F90" w:rsidP="007E4CF6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Урешті-решт, Хартія ЄС, як постійно підкреслюють її творці, – це не тільки правотворчий акт, джерело права.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Вона закріплює такожзагальні фундаментальні цінності, відповідно до яких побудована структура документа: людська гідність, свобода,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івність та солідарність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496F90" w:rsidRPr="001F735A" w:rsidRDefault="00496F90" w:rsidP="007E4CF6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C53009" w:rsidRPr="001F735A" w:rsidRDefault="00C53009" w:rsidP="007E4CF6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Перелік використаної літератури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Договір про заснування Європейської Спільноти від 25 березня 1957 р. // Верховна Рада України. Офіційний інтерне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т-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сайт. – [Електронний ресурс]. – Режим доступу: </w:t>
      </w:r>
      <w:hyperlink r:id="rId9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</w:rPr>
          <w:t>http://zakon2.rada.gov.ua/laws/show/994_017</w:t>
        </w:r>
      </w:hyperlink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2.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Договір про функціонування ЄС від 25.03.1957 р. зі змінами від 13.12.2007 р., внесеними Лісабонським договором (редакція набрала чинності 01.12.2009 р.)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3.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Договор о Европейском Союзе від 7 лютого 1992 р. // Верховна Рада України. Офіційний інтернет-сайт. – [Електронний ресурс]. – Режим доступу: http:// zakon5.rada.gov.ua/laws/show/994_029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4.Європейська Конвенція про громадянство від 6 листопада, 1997. -Страсбург, - №  ETS N 166</w:t>
      </w:r>
      <w:r w:rsidRPr="001F735A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06F78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1F735A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5.Міжародний пакт про громадянські і політичні права</w:t>
      </w:r>
      <w:bookmarkStart w:id="2" w:name="o2"/>
      <w:bookmarkEnd w:id="2"/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( Міжнародний пакт ратифіковано Указом Президії Верховної Ради Української РСР </w:t>
      </w:r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</w:rPr>
        <w:t>N</w:t>
      </w:r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2148-</w:t>
      </w:r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</w:rPr>
        <w:t>VIII</w:t>
      </w:r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( </w:t>
      </w:r>
      <w:hyperlink r:id="rId10" w:tgtFrame="_blank" w:history="1">
        <w:r w:rsidRPr="001F735A">
          <w:rPr>
            <w:rStyle w:val="a8"/>
            <w:rFonts w:ascii="Times New Roman" w:hAnsi="Times New Roman"/>
            <w:iCs/>
            <w:color w:val="000000" w:themeColor="text1"/>
            <w:sz w:val="28"/>
            <w:szCs w:val="28"/>
            <w:bdr w:val="none" w:sz="0" w:space="0" w:color="auto" w:frame="1"/>
            <w:lang w:val="uk-UA"/>
          </w:rPr>
          <w:t>2148-08</w:t>
        </w:r>
      </w:hyperlink>
      <w:r w:rsidRPr="001F735A"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) від 19.10.73 )</w:t>
      </w:r>
    </w:p>
    <w:p w:rsidR="00496F90" w:rsidRPr="001F735A" w:rsidRDefault="00496F90" w:rsidP="007E4CF6">
      <w:pPr>
        <w:pStyle w:val="1"/>
        <w:spacing w:before="0" w:line="360" w:lineRule="auto"/>
        <w:ind w:firstLine="708"/>
        <w:jc w:val="both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>6.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Аракелян М.Р., Василенко Н.Д.. КУРС ЛЕКЦІЙ ПО ПРАВУ ЄВРОПЕЙСЬКОГО СОЮЗУ. НАВЧАЛЬНИЙ </w:t>
      </w:r>
      <w:proofErr w:type="gramStart"/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>ПОС</w:t>
      </w:r>
      <w:proofErr w:type="gramEnd"/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ІБНИК. </w:t>
      </w:r>
      <w:proofErr w:type="gramStart"/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>Друге</w:t>
      </w:r>
      <w:proofErr w:type="gramEnd"/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видання, мінене і доповнене з урахуванням змін, внесених Лісабонським договором 2007 року. Одеса - 2011. 2011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7.</w:t>
      </w:r>
      <w:hyperlink r:id="rId11" w:tooltip="Пошук за автором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Добрянський С.</w:t>
        </w:r>
      </w:hyperlink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</w:t>
      </w:r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Хартія основних прав Європейського Союзу як регіональний праволюдинний стандарт</w:t>
      </w:r>
      <w:r w:rsidRPr="007E4CF6">
        <w:rPr>
          <w:rFonts w:ascii="Times New Roman" w:hAnsi="Times New Roman"/>
          <w:color w:val="000000" w:themeColor="text1"/>
          <w:sz w:val="28"/>
          <w:szCs w:val="28"/>
        </w:rPr>
        <w:t> / С. Добрянський // </w:t>
      </w:r>
      <w:hyperlink r:id="rId12" w:tooltip="Періодичне видання" w:history="1">
        <w:proofErr w:type="gramStart"/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В</w:t>
        </w:r>
        <w:proofErr w:type="gramEnd"/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існик Національної академії правових наук України</w:t>
        </w:r>
      </w:hyperlink>
      <w:r w:rsidRPr="007E4CF6">
        <w:rPr>
          <w:rFonts w:ascii="Times New Roman" w:hAnsi="Times New Roman"/>
          <w:color w:val="000000" w:themeColor="text1"/>
          <w:sz w:val="28"/>
          <w:szCs w:val="28"/>
        </w:rPr>
        <w:t>. - 2013. - № 3. - С. 23-30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8.</w:t>
      </w:r>
      <w:hyperlink r:id="rId13" w:tooltip="Пошук за автором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Добрянський С.</w:t>
        </w:r>
      </w:hyperlink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</w:t>
      </w:r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Хартія основних прав Європейського Союзу: здобутки та п</w:t>
      </w:r>
      <w:bookmarkStart w:id="3" w:name="_GoBack"/>
      <w:bookmarkEnd w:id="3"/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ерспективи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</w:t>
      </w:r>
      <w:r w:rsidRPr="007E4CF6">
        <w:rPr>
          <w:rFonts w:ascii="Times New Roman" w:hAnsi="Times New Roman"/>
          <w:color w:val="000000" w:themeColor="text1"/>
          <w:sz w:val="28"/>
          <w:szCs w:val="28"/>
        </w:rPr>
        <w:t>/ С. Добрянський // </w:t>
      </w:r>
      <w:hyperlink r:id="rId14" w:tooltip="Періодичне видання" w:history="1">
        <w:proofErr w:type="gramStart"/>
        <w:r w:rsidRPr="007E4CF6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В</w:t>
        </w:r>
        <w:proofErr w:type="gramEnd"/>
        <w:r w:rsidRPr="007E4CF6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існик Львівського університету. Сер</w:t>
        </w:r>
        <w:proofErr w:type="gramStart"/>
        <w:r w:rsidRPr="007E4CF6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. : </w:t>
        </w:r>
        <w:proofErr w:type="gramEnd"/>
        <w:r w:rsidRPr="007E4CF6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Юридична</w:t>
        </w:r>
      </w:hyperlink>
      <w:r w:rsidRPr="007E4CF6">
        <w:rPr>
          <w:rFonts w:ascii="Times New Roman" w:hAnsi="Times New Roman"/>
          <w:color w:val="000000" w:themeColor="text1"/>
          <w:sz w:val="28"/>
          <w:szCs w:val="28"/>
        </w:rPr>
        <w:t>. - 2014. - Вип. 59. - С. 9-16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9.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Журавка О. В. Міжнародно-правова характеристика інституту громадянства : автореф. дис. на здобуття наук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тупеня канд. юрид. наук : спец. 12.00.11 «Міжнародне право» / О. В. Журавка. – Х., 1999. – 20 с.</w:t>
      </w:r>
    </w:p>
    <w:p w:rsidR="00496F90" w:rsidRPr="001F735A" w:rsidRDefault="00496F90" w:rsidP="007E4CF6">
      <w:pPr>
        <w:pStyle w:val="1"/>
        <w:spacing w:before="0" w:line="360" w:lineRule="auto"/>
        <w:ind w:right="150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</w:pP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lastRenderedPageBreak/>
        <w:t>10.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>Кашкин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 xml:space="preserve"> С.Ю.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>, Червериков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 xml:space="preserve"> А.О.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</w:rPr>
        <w:t>: Право Европейского Союза. В 2-х томах. Том 1. Общая часть. Учебник для бакалавров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 xml:space="preserve"> - под ред. Кашкин С.Ю., издательство </w:t>
      </w:r>
      <w:hyperlink r:id="rId15" w:history="1">
        <w:r w:rsidRPr="007E4CF6">
          <w:rPr>
            <w:rStyle w:val="a8"/>
            <w:rFonts w:ascii="Times New Roman" w:hAnsi="Times New Roman" w:cs="Times New Roman"/>
            <w:b w:val="0"/>
            <w:color w:val="000000" w:themeColor="text1"/>
            <w:u w:val="none"/>
          </w:rPr>
          <w:t>Юрайт-Издат</w:t>
        </w:r>
      </w:hyperlink>
      <w:r w:rsidRPr="007E4CF6">
        <w:rPr>
          <w:rFonts w:ascii="Times New Roman" w:hAnsi="Times New Roman" w:cs="Times New Roman"/>
          <w:b w:val="0"/>
          <w:color w:val="000000" w:themeColor="text1"/>
        </w:rPr>
        <w:t>, 2013 г</w:t>
      </w:r>
      <w:r w:rsidRPr="001F735A"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  <w:t>. – С. 664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11.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Навчально-методичний посібник для самостійного вивчення навчальної дисципліни “Право Європейського Союзу” для студентів напряму підготовки 6.030401 «Правознавство», 6.030401і «Правознавство»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Лаврик Г.В., Боберська К.Г., 2016 р. © ПУЕТ, 2016 р.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12.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Опришко В. Ф. Право Європейського Союзу / В. Ф. Опришко, А. В. Омельченко, А. С. Фастовець. – К.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КНЕУ, 2002. – 460 с.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13.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Основы права Европейского Союза : учеб. пособие / под ред. С. Ю. Кашкина. – М.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Белые Альвы, 1997. – 368 с.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14.</w:t>
      </w:r>
      <w:hyperlink r:id="rId16" w:history="1">
        <w:r w:rsidRPr="001F735A">
          <w:rPr>
            <w:rStyle w:val="a8"/>
            <w:rFonts w:ascii="Times New Roman" w:hAnsi="Times New Roman"/>
            <w:bCs/>
            <w:color w:val="000000" w:themeColor="text1"/>
            <w:sz w:val="28"/>
            <w:szCs w:val="28"/>
            <w:u w:val="none"/>
            <w:lang w:val="uk-UA"/>
          </w:rPr>
          <w:t>Право Європейського Союзу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 xml:space="preserve"> /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 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Муравйов В.І. [та ін.] ; за ред. В.І. Муравйова ; МОНУ.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 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– Київ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 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 xml:space="preserve">: </w:t>
        </w:r>
        <w:r w:rsidRPr="001F735A">
          <w:rPr>
            <w:rStyle w:val="a8"/>
            <w:rFonts w:ascii="Times New Roman" w:hAnsi="Times New Roman"/>
            <w:bCs/>
            <w:color w:val="000000" w:themeColor="text1"/>
            <w:sz w:val="28"/>
            <w:szCs w:val="28"/>
            <w:u w:val="none"/>
            <w:lang w:val="uk-UA"/>
          </w:rPr>
          <w:t>Юрінком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 xml:space="preserve"> </w:t>
        </w:r>
        <w:r w:rsidRPr="001F735A">
          <w:rPr>
            <w:rStyle w:val="a8"/>
            <w:rFonts w:ascii="Times New Roman" w:hAnsi="Times New Roman"/>
            <w:bCs/>
            <w:color w:val="000000" w:themeColor="text1"/>
            <w:sz w:val="28"/>
            <w:szCs w:val="28"/>
            <w:u w:val="none"/>
            <w:lang w:val="uk-UA"/>
          </w:rPr>
          <w:t>Інтер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, 2011.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 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– 701, [3] с.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 </w:t>
        </w:r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– Бібліогр.: с. 526.</w:t>
        </w:r>
      </w:hyperlink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15.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Пройс У. К. О концепции европейского гражданства / Ульрих К. Пройс // Российский бюллетень по правам человека. – 1996. – Вып. 8. –. С. 129–137.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16.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Топорнин Б. Н. Европейское право : учеб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ляюрид. вузов / Б. Н. Топорнин. – М.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 Юристъ, 1999. – 456 с.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17.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>Яковюк І. В. Громадянство Європейського Союзу: проблеми визначення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/ </w:t>
      </w:r>
      <w:r w:rsidRPr="001F735A">
        <w:rPr>
          <w:rFonts w:ascii="Times New Roman" w:hAnsi="Times New Roman"/>
          <w:color w:val="000000" w:themeColor="text1"/>
          <w:sz w:val="28"/>
          <w:szCs w:val="28"/>
        </w:rPr>
        <w:t xml:space="preserve">Державне будівництво та </w:t>
      </w:r>
      <w:proofErr w:type="gramStart"/>
      <w:r w:rsidRPr="001F735A">
        <w:rPr>
          <w:rFonts w:ascii="Times New Roman" w:hAnsi="Times New Roman"/>
          <w:color w:val="000000" w:themeColor="text1"/>
          <w:sz w:val="28"/>
          <w:szCs w:val="28"/>
        </w:rPr>
        <w:t>м</w:t>
      </w:r>
      <w:proofErr w:type="gramEnd"/>
      <w:r w:rsidRPr="001F735A">
        <w:rPr>
          <w:rFonts w:ascii="Times New Roman" w:hAnsi="Times New Roman"/>
          <w:color w:val="000000" w:themeColor="text1"/>
          <w:sz w:val="28"/>
          <w:szCs w:val="28"/>
        </w:rPr>
        <w:t>ісцеве самоврядуванн</w:t>
      </w: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я Випуск 9.– 2005 р. – С. 82-88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18.</w:t>
      </w:r>
      <w:hyperlink r:id="rId17" w:tooltip="Пошук за автором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Янковський С. А.</w:t>
        </w:r>
      </w:hyperlink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</w:t>
      </w:r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Правова сутність інституту громадянства ЄС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/ С. А. Янковський // </w:t>
      </w:r>
      <w:hyperlink r:id="rId18" w:tooltip="Періодичне видання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Право і Безпека</w:t>
        </w:r>
      </w:hyperlink>
      <w:r w:rsidRPr="007E4CF6">
        <w:rPr>
          <w:rFonts w:ascii="Times New Roman" w:hAnsi="Times New Roman"/>
          <w:color w:val="000000" w:themeColor="text1"/>
          <w:sz w:val="28"/>
          <w:szCs w:val="28"/>
        </w:rPr>
        <w:t>. - 2011. - № 4. - С. 28-32.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496F90" w:rsidRPr="001F735A" w:rsidRDefault="00496F90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1F735A">
        <w:rPr>
          <w:rFonts w:ascii="Times New Roman" w:hAnsi="Times New Roman"/>
          <w:color w:val="000000" w:themeColor="text1"/>
          <w:sz w:val="28"/>
          <w:szCs w:val="28"/>
          <w:lang w:val="uk-UA"/>
        </w:rPr>
        <w:t>19.</w:t>
      </w:r>
      <w:hyperlink r:id="rId19" w:tooltip="Пошук за автором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Янковський С. А.</w:t>
        </w:r>
      </w:hyperlink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</w:t>
      </w:r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Проблеми і перспективи гармонізації законодавства держав — члені</w:t>
      </w:r>
      <w:proofErr w:type="gramStart"/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proofErr w:type="gramEnd"/>
      <w:r w:rsidRPr="001F735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ЄС щодо інституту громадянства</w:t>
      </w:r>
      <w:r w:rsidRPr="001F735A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 / С. А. Янковський // </w:t>
      </w:r>
      <w:hyperlink r:id="rId20" w:tooltip="Періодичне видання" w:history="1">
        <w:r w:rsidRPr="001F735A">
          <w:rPr>
            <w:rStyle w:val="a8"/>
            <w:rFonts w:ascii="Times New Roman" w:hAnsi="Times New Roman"/>
            <w:color w:val="000000" w:themeColor="text1"/>
            <w:sz w:val="28"/>
            <w:szCs w:val="28"/>
            <w:u w:val="none"/>
          </w:rPr>
          <w:t>Юрист України</w:t>
        </w:r>
      </w:hyperlink>
      <w:r w:rsidRPr="007E4CF6">
        <w:rPr>
          <w:rFonts w:ascii="Times New Roman" w:hAnsi="Times New Roman"/>
          <w:color w:val="000000" w:themeColor="text1"/>
          <w:sz w:val="28"/>
          <w:szCs w:val="28"/>
        </w:rPr>
        <w:t>. - 2011. - № 4(17). - С. 36-41</w:t>
      </w:r>
    </w:p>
    <w:p w:rsidR="00B5316C" w:rsidRPr="001F735A" w:rsidRDefault="00B5316C" w:rsidP="007E4CF6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sectPr w:rsidR="00B5316C" w:rsidRPr="001F735A" w:rsidSect="00E75978">
      <w:headerReference w:type="default" r:id="rId2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30" w:rsidRDefault="00151E30" w:rsidP="00E75978">
      <w:pPr>
        <w:spacing w:after="0" w:line="240" w:lineRule="auto"/>
      </w:pPr>
      <w:r>
        <w:separator/>
      </w:r>
    </w:p>
  </w:endnote>
  <w:endnote w:type="continuationSeparator" w:id="0">
    <w:p w:rsidR="00151E30" w:rsidRDefault="00151E30" w:rsidP="00E7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30" w:rsidRDefault="00151E30" w:rsidP="00E75978">
      <w:pPr>
        <w:spacing w:after="0" w:line="240" w:lineRule="auto"/>
      </w:pPr>
      <w:r>
        <w:separator/>
      </w:r>
    </w:p>
  </w:footnote>
  <w:footnote w:type="continuationSeparator" w:id="0">
    <w:p w:rsidR="00151E30" w:rsidRDefault="00151E30" w:rsidP="00E7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16480"/>
      <w:docPartObj>
        <w:docPartGallery w:val="Page Numbers (Top of Page)"/>
        <w:docPartUnique/>
      </w:docPartObj>
    </w:sdtPr>
    <w:sdtEndPr/>
    <w:sdtContent>
      <w:p w:rsidR="00496F90" w:rsidRDefault="00496F9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CF6">
          <w:rPr>
            <w:noProof/>
          </w:rPr>
          <w:t>24</w:t>
        </w:r>
        <w:r>
          <w:fldChar w:fldCharType="end"/>
        </w:r>
      </w:p>
    </w:sdtContent>
  </w:sdt>
  <w:p w:rsidR="00496F90" w:rsidRDefault="00496F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456"/>
    <w:multiLevelType w:val="hybridMultilevel"/>
    <w:tmpl w:val="AC40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42E4D"/>
    <w:multiLevelType w:val="hybridMultilevel"/>
    <w:tmpl w:val="1B6A0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4127C"/>
    <w:multiLevelType w:val="hybridMultilevel"/>
    <w:tmpl w:val="FFD092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113B8"/>
    <w:multiLevelType w:val="hybridMultilevel"/>
    <w:tmpl w:val="418E3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36FB6"/>
    <w:multiLevelType w:val="hybridMultilevel"/>
    <w:tmpl w:val="E7F8A5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F1"/>
    <w:rsid w:val="00015CFC"/>
    <w:rsid w:val="000C512B"/>
    <w:rsid w:val="00151E30"/>
    <w:rsid w:val="001F735A"/>
    <w:rsid w:val="00293028"/>
    <w:rsid w:val="003E64CF"/>
    <w:rsid w:val="00400D99"/>
    <w:rsid w:val="00407DD9"/>
    <w:rsid w:val="00496F90"/>
    <w:rsid w:val="0059613A"/>
    <w:rsid w:val="00646F95"/>
    <w:rsid w:val="006879C4"/>
    <w:rsid w:val="00723948"/>
    <w:rsid w:val="007A554E"/>
    <w:rsid w:val="007D7568"/>
    <w:rsid w:val="007E4CF6"/>
    <w:rsid w:val="0081604F"/>
    <w:rsid w:val="00822D0F"/>
    <w:rsid w:val="00841754"/>
    <w:rsid w:val="00892CAC"/>
    <w:rsid w:val="008C3F1C"/>
    <w:rsid w:val="00A06F78"/>
    <w:rsid w:val="00AF7EF1"/>
    <w:rsid w:val="00B5316C"/>
    <w:rsid w:val="00C40EE6"/>
    <w:rsid w:val="00C53009"/>
    <w:rsid w:val="00D20E3E"/>
    <w:rsid w:val="00D95D9F"/>
    <w:rsid w:val="00E62270"/>
    <w:rsid w:val="00E75978"/>
    <w:rsid w:val="00EA1782"/>
    <w:rsid w:val="00FE0C89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3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06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9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97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95D9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C53009"/>
    <w:rPr>
      <w:color w:val="0000FF"/>
      <w:u w:val="single"/>
    </w:rPr>
  </w:style>
  <w:style w:type="paragraph" w:customStyle="1" w:styleId="Pa2">
    <w:name w:val="Pa2"/>
    <w:basedOn w:val="a"/>
    <w:next w:val="a"/>
    <w:uiPriority w:val="99"/>
    <w:rsid w:val="00C53009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sz w:val="24"/>
      <w:szCs w:val="24"/>
    </w:rPr>
  </w:style>
  <w:style w:type="character" w:customStyle="1" w:styleId="A20">
    <w:name w:val="A2"/>
    <w:uiPriority w:val="99"/>
    <w:rsid w:val="00C53009"/>
    <w:rPr>
      <w:color w:val="000000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822D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2D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46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6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j">
    <w:name w:val="tj"/>
    <w:basedOn w:val="a"/>
    <w:rsid w:val="00A06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3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3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06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9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97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95D9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C53009"/>
    <w:rPr>
      <w:color w:val="0000FF"/>
      <w:u w:val="single"/>
    </w:rPr>
  </w:style>
  <w:style w:type="paragraph" w:customStyle="1" w:styleId="Pa2">
    <w:name w:val="Pa2"/>
    <w:basedOn w:val="a"/>
    <w:next w:val="a"/>
    <w:uiPriority w:val="99"/>
    <w:rsid w:val="00C53009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sz w:val="24"/>
      <w:szCs w:val="24"/>
    </w:rPr>
  </w:style>
  <w:style w:type="character" w:customStyle="1" w:styleId="A20">
    <w:name w:val="A2"/>
    <w:uiPriority w:val="99"/>
    <w:rsid w:val="00C53009"/>
    <w:rPr>
      <w:color w:val="000000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822D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2D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46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6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j">
    <w:name w:val="tj"/>
    <w:basedOn w:val="a"/>
    <w:rsid w:val="00A06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3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4%D0%BE%D0%B1%D1%80%D1%8F%D0%BD%D1%81%D1%8C%D0%BA%D0%B8%D0%B9%20%D0%A1$" TargetMode="External"/><Relationship Id="rId1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08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574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F%D0%BD%D0%BA%D0%BE%D0%B2%D1%81%D1%8C%D0%BA%D0%B8%D0%B9%20%D0%A1$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brary.univ.kiev.ua/ukr/elcat/new/detail.php3?doc_id=1464286&amp;title=%EF%F0%E0%E2%EE+%BA%E2%F0%EE%EF%E5%E9%F1%FC%EA%EE%E3%EE+%F1%EE%FE%E7%F3&amp;div=0&amp;source=1&amp;publish=%FE%F0%B3%ED%EA%EE%EC+%B3%ED%F2%E5%F0&amp;prev=0&amp;page=0&amp;docType=24&amp;docType1=8&amp;docType2=17&amp;docType3=13&amp;docType4=14&amp;docType5=15&amp;docType6=26&amp;docType7=18&amp;docType8=19&amp;docType9=25&amp;parentId=0" TargetMode="External"/><Relationship Id="rId2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006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4%D0%BE%D0%B1%D1%80%D1%8F%D0%BD%D1%81%D1%8C%D0%BA%D0%B8%D0%B9%20%D0%A1$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labirint.ru/pubhouse/152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akon3.rada.gov.ua/laws/show/2148-08" TargetMode="External"/><Relationship Id="rId19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F%D0%BD%D0%BA%D0%BE%D0%B2%D1%81%D1%8C%D0%BA%D0%B8%D0%B9%20%D0%A1$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2.rada.gov.ua/laws/show/994_017" TargetMode="External"/><Relationship Id="rId1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8852:%D0%A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60BE-ACBB-4571-BB64-E86D76BF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6112</Words>
  <Characters>34843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8</cp:revision>
  <cp:lastPrinted>2017-10-06T06:24:00Z</cp:lastPrinted>
  <dcterms:created xsi:type="dcterms:W3CDTF">2017-10-05T19:52:00Z</dcterms:created>
  <dcterms:modified xsi:type="dcterms:W3CDTF">2017-10-06T06:29:00Z</dcterms:modified>
</cp:coreProperties>
</file>