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0"/>
        <w:gridCol w:w="3693"/>
        <w:gridCol w:w="3693"/>
        <w:gridCol w:w="138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c>
          <w:tcPr>
            <w:tcW w:w="640"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w:t>
            </w:r>
          </w:p>
        </w:tc>
        <w:tc>
          <w:tcPr>
            <w:tcW w:w="3693"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Оригинал (UK)</w:t>
            </w:r>
          </w:p>
        </w:tc>
        <w:tc>
          <w:tcPr>
            <w:tcW w:w="3693"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Перевод (EN)</w:t>
            </w:r>
          </w:p>
        </w:tc>
        <w:tc>
          <w:tcPr>
            <w:tcW w:w="1380"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Задача</w:t>
            </w:r>
          </w:p>
        </w:tc>
      </w:tr>
      <w:tr>
        <w:tblPrEx>
          <w:tblW w:w="5000" w:type="pct"/>
          <w:tblCellMar>
            <w:left w:w="108" w:type="dxa"/>
            <w:right w:w="108" w:type="dxa"/>
          </w:tblCellMar>
        </w:tblPrEx>
        <w:tc>
          <w:tcPr>
            <w:tcW w:w="640" w:type="dxa"/>
            <w:shd w:val="clear" w:color="auto" w:fill="D3D3D3"/>
          </w:tcPr>
          <w:p w:rsidR="00A77B3E">
            <w:pPr>
              <w:rPr>
                <w:rFonts w:ascii="Arial Unicode MS" w:eastAsia="Arial Unicode MS" w:hAnsi="Arial Unicode MS" w:cs="Arial Unicode MS"/>
                <w:sz w:val="22"/>
              </w:rPr>
            </w:pPr>
            <w:r>
              <w:rPr>
                <w:rFonts w:ascii="Arial Unicode MS" w:eastAsia="Arial Unicode MS" w:hAnsi="Arial Unicode MS" w:cs="Arial Unicode MS"/>
                <w:sz w:val="22"/>
              </w:rPr>
              <w:t>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ВПРОВАДЖЕННЯ ІНСТРУМЕНТІВ ШТУЧНОГО ІНТЕЛЕКТУ В МЕТОДИКУ НАВЧАННЯ ПІДПРИЄМНИЦЬКОЇ ДІЯЛЬНОСТІ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INTRODUCTION OF ARTIFICIAL INTELLIGENCE TOOLS INTO THE TRAINING METHODS OF ENTREPRENEURSHIP ACTIVITIES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Abstract</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Abstract</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(99%)</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Стаття присвячена науковій задачі зростання рівня підприємницького навчання на основі використання інструментів штучного інтелекту.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current article focused on the scientific mission of increasing the level of training of entrepreneurial activities based on the usage of artificial intelligence tools.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Було визначено нечіткі моделі з позиції когнітивного розуміння інформації і розвитку підприємницького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study defined fuzzy models from the standpoint of cognitive understanding of information and development of the entrepreneurial 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Розроблено модель нейро-нечіткого регулятора та обґрунтовано технологію введення нейронної мережі в підприємницьке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There was developed the model of neuro-fuzzy regulator, as well as justified the technology of introduction of the neural network in business 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Сформовано концепцію М-автоматів розвитку технології штучного інтелекту у забезпеченні підприємницької освіти.</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Also, the study specified the M-machine concept for development of the artificial intelligence technology in provision of the entrepreneurial education.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Keywords: підприємницька діяльність, навчання, інформаційні процеси, нейро-нечіткі системи, когнітивні системи, адаптивний регулятор, М-мережі.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Keywords: entrepreneurial activity, training, information processes, neuro-fuzzy systems, cognitive systems, adaptive regulator, M-network.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Introducrion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Introduction</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У сучасних умовах швидкоплинності протікання інформаційних процесів в підприємницькій діяльності ухвалення рішень здійснюється на основі людино-машинних процедур у вигляді циклічного процесу взаємодії людини і комп'ютера (системи штучного інтелекту).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the modern transience conditions, the flow of information processes in the entrepreneurial activities of decision-making is realized on the basis of human-machine procedures in form of the cyclic interaction process of a person and computer (artificial intelligence system).</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Як правило, дія – ухвалення рішення заздалегідь аналізується і формується нормативною базою інформаційної системи, яка виконує функції експерта дій особи, а саме підприємця.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Generally, such action as decision-making is previously analyzed in detail and formed by the regulatory environment of the information system, which performs the functions of expert on actions of the person, namely the entrepreneur.</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 процесі здійснення підприємницької діяльності власник бізнесу має справу з нештатними ситуаціями, які виникають в умовах невизначеності при оперативній роботі з великими потоками комерційної інформації в реальному масштабі часу (Cooke, (2002; Dirican,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the process of conducting entrepreneurial activities, the business owner often faces various abnormal situations that develop under uncertainty, in terms of operational work with high flows of commercial information in real time (Cooke, (2002; Dirican, (2015).</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І саме тому впровадження системи навчання ухвалення рішень не виключає право ухвалення рішення і міру відповідальності за людиною, але відбило практичну доцільність і необхідність в створенні оболонок штучного інтелекту для вирішення завдань вибору альтернативних «спільних дій» і навчання в підприємництві.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Therefore, introduction of the decision-making training system does not exclude the right to make a decision and the level of liability for the certain person, but highlights the expedience and need to create the artificial intelligence shells to solve the issues of choosing alternative "joint actions", and training in entrepreneurship activities.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Саме такий підхід може забезпечити представлення ментальних моделей підприємницької діяльності і системи штучного інтелекту у формі понять і правил когнітивного характеру.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reporting approach can provide a representation of mental models of entrepreneurship activities and the artificial intelligence system in form of the cognitive concepts and rules.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 Materials and Methods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 Materials and Methods</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Методологія дослідження формується у розрізі аналітичних груп підходів до розвитку підприємницького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methodology of the study is formed by the analytical groups of approaches to development of the entrepreneurial 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1).</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(102%)</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Гіпертекстові системи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Hypertext training systems.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Сучасні тенденції відкритої освіти орієнтовані на створення і застосування ефективних повчальних систем, що використовують гіпертекстову систему представлення матеріалу.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modern trends of open education mainly focused on foundation and application of the effective training systems, which use the hypertext system of representation of the material.</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Системи штучного інтелекту є складною діалоговою системою, за допомогою якої об'єднуються компоненти, що відбивають різні форми людського вираження (Davis et. al. (2009); Felt et. al. (2016); Martinez-Lуpez (2014).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artificial intelligence systems are components of the complex conversational system, which combines the parts, reflecting different forms of human expression (Davis et. al. (2009); Felt et. al. (2016); Martinez-Lypez (2014).</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Така інтеграція дозволяє досягти ефекту навчання в підприємництві шляхом використання усіх багатомодальних форм вираження, у відмінність тільки від усного і письмового вираження знань – характерних компонент класичної системи освіти.</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reporting integration allows achieving the effect of training in entrepreneurship activities through the usage of all multimodal forms of expression, as opposed to only oral and written types of expression of knowledge, which are the characteristic components of the classical education system.</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(97%)</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Методика індексного градуювання (адресації) предметної області.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Method of the index graduation (addressing) of the subject area.</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З розвитком інформаційних систем виявилось, що така форма виявилася не єдиною формою інтелектуального вибору і пошуку.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terms of the gradual development of the information systems, it emerged that the reporting form was not the single form of intelligent choice and search.</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На додаток до текстової форми стали застосовуватися методи нетекстового пошуку, засновані на властивостях когнітивного (образного) сприйняття шляхом візуалізації даних просторовою пам'яттю людини через символи, звуки, геометричні стосунки та ін.</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addition to the text form, there are widely applied the methods of non-text search, based on the features of cognitive (image) perception using data visualization by the person's spatial memory through symbols, sounds, geometrical relations, etc.</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Ряд дослідників (Brynjolfsson &amp; McAfee (2014); Duncan et. al. (2013); Siau and Yang (2017) зазначає, що такі когнітивні методи методично формують активний вектор розвитку застосування технологій штучного інтелекту в навчанні, оскільки вони виявилися ефективнішими для комп'ютерних систем, що навчаються, в підприємництві порівняно з усним або письмовим формуванням напряму пошуку.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 group of researchers (Brynjolfsson &amp; McAfee (2014); Duncan et. al. (2013); Siau and Yang (2017) noted that such cognitive methods systematically form the active vector of development of application of the artificial intelligence technologies in the training process, because they appeared to be even more effective for the learning computer systems in entrepreneurship activities compared with the oral or written formation of the search direction.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Results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Results</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Розвиток технології анотованого посилання можливий при створенні інтелектуальних засобів «спільного навчання у підприємництві» на основі різних моделей знань, різних типів міркувань, а також обробки образів.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Development of the annotated reference technology is possible by creating the intelligent measures of "cooperative training in entrepreneurship", based on different knowledge models, different types of thoughts, as well as image processing.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1. Когнітивна нейро-нечітка модель навчання в підприємництві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1. Cognitive neuro-fuzzy model of training in entrepreneurship</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Вище було зазначено, що одним з недоліків нейронних мереж є погана інтерпретація у зв'язку з розподілом інформації, що зберігається в них, внаслідок чого: а) практично неможливо зрозуміти, яким чином мережа навчання великого розміру вирішує поставлену перед нею задачу і б) не можна закласти в мережу заздалегідь відомі знання про метод рішення задачі.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As was stated above, the poor interpretation caused by distribution of the information stored in the neural networks is one of the major failures of the networks, therefore: a) it is almost impossible to understand how the large-scale training network solves its assigned task, and b) it is not allowed to put in the network the known beforehand information about the method of solving the problem.</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Перевагою нечітких систем в підприємницькому навчанні є їх здатність представляти і використати бізнес-знання підприємця, виражені в природній для нього лінгвістичній формі, завдяки якій можливий опис складних економічних і бізнесових процесів.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advantage of fuzzy systems in entrepreneurial training is their ability to represent and use the business knowledge of the entrepreneur, expressed in its natural linguistic form, which allows describing the complex economic and business processes.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Проте, нечіткі моделі з позиції когнітивного розуміння інформації (інформації, представленій через образ) є основою формалізації і маніпуляції з символами без апеляції до їх сенсу.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However, from the standpoint of cognitive understanding of the information (information presented through the image), the fuzzy models is the basis of formalization and manipulation with symbols without any appeal for their meaning.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У теж час, нейронні мережі, представлені у вигляді зображення через образ графа, можуть бути основою для апеляції до сенсу через призму когнітивного образу в підприємницькому навчанні (Metelenko et. al. (2019).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At the same time, the neural networks represented in form of image through the graph pattern, can become the basis for appeal to meaning under the lens of cognitive image in the entrepreneurial training (Metelenko et. al. (2019).</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Послідовність розробки когнітивної нейро-нечіткої моделі навчання в підприємництві  представлена в таблиці 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Table 1 covers the right order of development of the cognitive neuro-fuzzy model of training in entrepreneurship activities.</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(75%)</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У загальному випадку системи штучного інтелекту навчання містять: a) лінгвістичний процесор спілкування з користувачем; b) «дошку оголошень», яка служить комунікаційним середовищем; c) базу знань, що містить евристичні знання; d) базу даних, яка містить каталог підсистем і елементів, що входять в об'єкт; e) інтерпретатор, який на основі вхідних даних, бази знань і бази даних формує рішення задачі, тобто визначає інформацію з бази знань, яка має бути використана, вибирає необхідні дані з бази даних і робить висновок по ситуації, що створилася (Salamzadeh, Kesim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the general case, the artificial intelligence training systems contain: a) linguistic processor of communication with the user; b) "blackboard" that serves as the communication environment; c) knowledge base, containing heuristic knowledge; d) database, containing the catalogue of subsystems and elements listed in the object; e) interpreter that forms its solution to the problem, based on the input data, knowledge base, and database, in other words, determines the information from the knowledge base to be used, selects the necessary data from the database and makes conclusion on the created situation (Salamzadeh, Kesim (2015).</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Таблиця 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Table 1.</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Послідовність розробки когнітивної нейро-нечіткої моделі навчання в підприємництві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Order of development of the cognitive neuro-fuzzy model of training in entrepreneurship activities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Етап</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Stage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Дії</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Actions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39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1. Ідентифікація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1. Identification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Визначення характеристики завдання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Definition of the task characteristics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 Концептуалізація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 Conceptualization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Пошук понять для представлення знань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Search for concepts to represent knowledge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3. Формалізація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3. Formalization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Розробка структур для організації знань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Development of the structures for knowledge organization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4. Реалізація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4. Realization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Формулювання правил, які втілюють знання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Formulating of the rules that introduce knowledge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5. Випробування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5. Testing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Оцінка правил, в яких втілені знання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Estimation of the rules with the embodied knowledge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49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Ми пропонуємо провести подальшу модифікацію архітектури нечіткої системи регулятора за рахунок введення навчальних нейронних мереж в підприємницьку діяльність.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We propose to realize the further modification of the architecture of the fuzzy system of regulator by introducing the training neural networks in business activities.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Така модифікація дозволяє представлення додаткових адаптивних параметрів-образів з метою врахування їх значущості на рівні когнітивного образу.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reporting modification allows presenting the additional adaptive parameters-images, in order to take into account their significance at the level of cognitive image.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Відмінною особливістю такої моделі нейро-нечіткого регулятора є можливість інкорпорації знань підприємця у вигляді образів і можливість до навчання через досвід.</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possibility to incorporate the knowledge of the entrepreneur in form of images and the possibility to learn through experience is the distinctive feature of such model of neuro-fuzzy regulator.</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Тут важливо відмітити, що йдеться про представлення інформації через образ графа (Snow et. al. (2017).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Also, it is important to note that the issue is about presentation of information through the graph pattern (Snow et. al. (2017).</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Зробивши вказане зауваження, тим самим було введено обмеження на спосіб представлення інформації для когнітивної нейро-нечіткої моделі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By making the reporting remark, therewith we brought restrictions on the way of presentation of information for the cognitive neuro-fuzzy model of 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Використаємо розподіл графової форми образу на сітку шкал ще більше посилює когнітивну значущість таких образів з точки зору розподілу і розрізнення інформації.</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Hereinafter, the proposed distribution of the pattern graph by grid of scales even more strengthens the cognitive significance of such images in terms of distribution and recognition of information.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 Графові моделі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2. Graph models of 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Графові моделі у вигляді семантичної мережі несуть в собі величезний когнітивний «заряд» для образного мислення підприємця.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graph models in form of the semantic network include the huge cognitive "charge" for the visual thinking of the entrepreneur.</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Це особливо важливо в умовах, коли класичні аналітичні підходи до розв’язання завдань не дозволяють описати реальний світ за допомогою інтегро-диференційних рівнянь і врахувати безліч параметрів початкових умов.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It is especially important in terms when the classical analytical approaches to solving tasks do not allow to describe the real world using the integro-differential equations, and take into account the infinite set of parameters of the initial conditions.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Запропонована модель когнітивних нейро-нечітких систем навчання в підприємництві припускає, що вказані вище проблеми традиційних підходів до рішення складних завдань моделювання можуть бути зняті або істотно понижені шляхом обліку образного мислення людини у рамках людино-машинного інтерфейсу.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proposed model of the cognitive neuro-fuzzy training systems in entrepreneurship shall be assumed that the above-mentioned problems of the traditional approaches to solution of the complex modeling problems can be completely removed or significantly reduced by taking into account the visual thinking of the person within frames of the human-computer interface.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59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У роботі пропонується розвиток концепції М-автоматів і мереж для вирішення принципово іншого завдання, спрямованого на «включення» образного мислення користувача моделі штучного інтелекту в контур «об'єкт управління – система навчання» (Ford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current article proposes the further development of the concept of M-machines and networks for solution of the fundamentally opposite task, which focused on "switching" of the visual thinking of the user of the artificial intelligence model to the loop of "controlled object - training system "(Ford (2015).</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Семантична М-мережа є статичною моделлю, що відображає сукупність об'єктів (і-моделей) і їх взаємовідношення (рис. 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semantic M-network is the static model that reflects the collection of objects (i-models) and their relationships (Fig. 1.).</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Архітектура М-мережі: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Architecture of the M-network: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топологічна структура (граф зв'язків і-моделей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topological structure (connection graph of i-models of the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логічна структура (правила встановлення зв'язків і логіка роботи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logical structure (rules for making connections, and logic of the network 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 = (R, A, D)</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 = (R, A, 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де:</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where:</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 ={ri}, i=1,..., n - кінцева безліч Rentrance і Rexit рецепторів;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 ={ri}, i=1,..., n - final infinity of Rentrance and Rexit receptors;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А ={ai}, i=1,..., k - кінцева безліч і-моделей;</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А ={ai}, i=1,..., k - final infinity of і-models;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 ={di}, i =1, ..., e - кінцева безліч дуг, що пов'язують і-моделі і рецептори.</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 ={di}, i =1, ..., e - final infinity of the arcs, connecting the і-models and receptors.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69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Rentrance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Rentrance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Rexit</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Rexit</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і-модель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і-model</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аi = (Р, К)</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ai = (Р, К)</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де:</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where:</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 =  {Pi}, i=1,..., k, P- поріг збудження вершини (і-моделі) аі;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 = {Pi}, i=1,..., k, P - excitation threshold of the vertex (і-model) of аі;</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K = {Ki}, i=1,  ...,w, безліч вагових коефіцієнтів (ki може набувати позитивних і негативних значень).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K = {Ki}, i=1, ...,w, - infinity of the weight coefficients (ki can take the positive and negative values).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Рисунок 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Figure 1.</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Концепція М-автоматів розвитку технології штучного інтелекту у забезпеченні цінності підприємницької освіти</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Concept of the M-machine development of the artificial intelligence technology in ensuring the value of entrepreneurial education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Особливості опису закону роботи і-моделі дозволяють розглядати М-мережу як нейронну мережу.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features of description of the rules of operation of the i-model allow considering the M-network as neural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79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Представлення інформації через М-мережу носить відбитки класичної парадигми моделювання шляхом декомпозиції складного об'єкту на частини і встановлення взаємозв'язку кожної частини об'єкту з фізичним сенсом кожного нейрона або нейронного ансамблю окремо.</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Representation of information through the M-network bears the impress of the classical paradigm of modeling through decomposing of the complex object into parts, and establishing the relationship of each component of the object with the physical sense of each neuron or the neural ensemble on its own.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Важливо відзначити, що таке представлення нейронної мережі у вигляді семантичного графа фактично є процесом навчання нейронної мережі з позиції когнітивного образу.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It is important to note that such representation of the neural network in form of the semantic graph is actually provided as the process of training of the neural network from the position of cognitive image.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Назвемо таке навчання когнітивним навчанням нейронної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Let's call such training process as the cognitive training of the neural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Це визначення процесу навчання за своєю суттю відрізняється від процесу навчання класичних нейронних мереж за допомогою повчальних вибірок-співвідношень «вхід-вихід» (Russell &amp; Norvig (2010).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reporting definition of the training process is fundamentally different from the training process of the classical neural networks, at the expense of the training samples-relationships of input-output (Russell &amp; Norvig (2010).</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Когнітивне навчання у підприємництві у своїй основі визначається двома послідовними процедурами: 1) навчання через формування безлічі об'єктів і визначення їх значущості через пороги нейроподібних елементів; 2) навчання через формування безлічі відносин між об'єктами шляхом завдання вагів зв'язків між об'єктами, і, тим самим, завданням вагів синапсів нейроподібних елементів.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cognitive training in entrepreneurship activities is basically governed by two sequential procedures: 1) training through formation of the infinity of objects, and determining of their significance through the thresholds of neural-like units; 2) training through formation of the infinity of relationships between objects by setting the link weights between the objects, and thus setting the synapse weights of neural-like units.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Відмітимо, що другий чинник когнітивного навчання за своєю суттю, але не за процедурою, нагадує навчання класичних нейронних мереж.</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It is worth noting that the second factor of cognitive training usually reminds about training of the classical neural networks at its core, but not by the procedure.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Помітимо, що надання і-моделям М-мережі тих або інших значень вагів синапсів і порогів є трудомісткою і евристичною процедурою, яка, поза сумнівом, пов'язана з спеціфікою підприємницької діяльності.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It should be noted that providing the і-models of the M-network with certain values of the synapse weights and thresholds is the laborious and heuristic procedure, which is undoubtedly connected with the specific character of entrepreneurial activity.</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Фактично кожному поняттю (об'єкту) М-мережі відповідає нечітке поняття, визначене через експертні оцінки, виражені в значеннях вагів синапсів і значеннях порогів.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fact, each concept (object) of the M-network corresponds to the fuzzy concept specified through the expert estimations, expressed in the synapse weights and threshold values.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Сказане дозволяє описати математично за допомогою апарату нечіткої логіки формальну модель М-мережі, як нейронну мережу по суті побудови, а нечітку систему по процесу функціонування.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reporting situation allows mathematically describing the formal model of M-network with the help of the fuzzy logic apparatus, as the neural network of the architecture, and the fuzzy system - by the operation process.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При цьому можна умовно розглядати вихідний шар як агрегатор і дефузифікатор, які узагальнюють нечітку інформацію, що поступає від нейронів.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At the same time, it is possible to conditionally examine the source layer as the aggregator and defuzzifier, which generalize the fuzzy information coming from neurons.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89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При цьому параметри усіх нейронів-об'єктів середнього шару є нечіткими поняттями, функція приналежності яких визначається системою «посилення-гальмування» (Gurkaynak et. al. (2016); Walker (2010).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such case, the parameters of all neurons-objects of the middle layer are presented as fuzzy concepts, which function is determined by the "boosting-braking" system (Gurkaynak et. al. (2016); Walker (2010).</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Вище наведений аналіз з цього питання дозволяє описати сутність функціонування М-мережі у підприємницькому навчанні.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above-mentioned analysis of the issue allows describing the summary of the M-network functioning in entrepreneurial 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Подивимося на М-мережу, як на когнітивну нейронну мережу з метою маніпуляції з сенсом символів.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Let's look at the M-network as the cognitive neural network with focus on manipulating with the symbols values.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Отже, є семантична мережа у вигляді образу графа: вершини відповідають деяким об'єктам, зв'язки визначають відносинам між об'єктами.</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So, there is a semantic network in form of the graph pattern: the vertices match with some objects, the links specify relations between the objects.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Система «посилення-гальмування» управляє процесом збудження і-моделей елементів-об'єктів (рис. 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"boosting-braking" system controls the excitation process of і-models of the object elements (Fig. 2.).</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Принцип управління досить простий: якщо схвильованість елементу вища за деякий заданий параметр або вища за схвильованість інших елементів, то поріг такого елементу зменшується.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management principle is quite simple: if the excitement level of the element is higher compared with some given parameter, or the excitement level of other elements, then the threshold of such element decreases.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 результаті, початковий семантичний граф можна представити підграфом, що складається з вершин, які мають підвищену схвильованість і зв'язків між ними (Hengstler et. al. (2016).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As a result, the source semantic graph can be represented as the subgraph consisting of the vertices that demonstrate the increased excitement level and links between them (Hengstler et. al. (2016).</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Якщо відобразити біля кожної вершини-об'єкту значущість її збудження за допомогою цифри, кольору або іншого візуального способу, то отримаємо когнітивний граф-образ.</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If one displays the significance of excitation at each object vertex with the help of figure, colour or other visual representation, then one gets the cognitive pattern graph.</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Візуальний аналіз такого графа дозволяє підприємцю зрозуміти на свідомому або підсвідомому рівнях ситуацію, що склалася, оцінити її і прийняти відповідні рішення і дії.</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visual analysis of the reporting graph allows the entrepreneur to understand the existing situation at the conscious or unconscious levels, assess it and make the appropriate decisions and actions.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Оскільки процес дії системи «посилення-гальмування» є безперервним процесом (see Jarrahi (2018), те можна затверджувати, що когнітивна нейронна мережа несе в часі інформацію про процеси зміни ситуації.</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Since the process of action of the "boosting-braking" system is a continuous process (see Jarrahi (2018), it is certain that the cognitive neural network carries information about the processes of situation changing in time.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99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При цьому візуальне представлення семантичного графа перетвориться в просторі зображення.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such case, the visual representation of the semantic graph will change in the image space.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Крім того, також змінюється значущість елементів графа, виражена в когнітивній формі через цифри, символи, кольори, анотовані тексти-посилання та ін.</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addition, the significance of the graph elements, expressed in cognitive form through figures, symbols, colours, annotated text-links, etc., also changes.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Система «посилення-гальмування», впливаючи на нейронну М-мережу, кожного разу показує підприємцю найбільш активну когнітивну інформацію і процес її зміни в часі з метою самонавчання.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Every time, the "boosting-braking" system, making impact on the neural M-network, demonstrates the entrepreneur the most active cognitive information and the process of its temporal changes for the purpose of self-training.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Rentrance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Rentrance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Rexit</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Rexit</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М-мережа</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М-автомат</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M-machine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Система підсилення «гальмування»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"Boosting-braking" system</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Заміри активності і-моделей</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Activity samples of the i-models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Вплив на пороги і-моделей</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Impact on the i-models thresholds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109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Рисунок 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Figure 2.</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Вплив системи «посилення-гальмування» на величини порогів активності і-моделей</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Impact of the "boosting-braking" system on the threshold values of the і-models activity</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Враховуючи можливість і специфіку представлення початкової когнітивної мережі (семантичного графа) через ієрархію нейронних ансамблів, підприємець має можливість управляти деталізацією перегляду когнітивного графа залежно від цілей і особливостей сприйняття інформації з урахуванням специфіки і нюансів його образного мислення.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Taking into account the possibility and specificity of presentation of the initial cognitive network (semantic graph) through the hierarchy of neural ensembles, the entrepreneur is able to manage the detail view of the cognitive graph, depending on the goals and features of information perception, in terms of the specific nature and aspects of his visual thinking.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Аналіз діяльності підприємця за допомогою обчислювача критерію управління і генетичного алгоритму дозволяє співвіднести (зв'язати, об'єднати) його дії і системи штучного інтелекту в навчанні (Wauters and Vanhoucke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analysis of the entrepreneur's activity by the means of the control criterion calculator and genetic algorithm allows correlating (linking, combining) his actions and the artificial intelligence systems in the training process (Wauters and Vanhoucke (2015).</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Крім того, важливо відмітити, що образне мислення підприємця впливає на роботу системи в цілому за посередництва когнітивних змін або в самій семантичній мережі, або на потоки вхідної інформації, або на інші параметри когнітивного нейро-нечіткого регулятора.</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addition, it is important to note that the visual thinking of the entrepreneur affects the general operation of the system through cognitive changes or directly in the semantic network, or on the flows of incoming information, or other parameters of the cognitive neuro-fuzzy regulator.</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Таким чином, модель когнітивного регулятора дозволяє з'єднати суб'єктивні і об'єктивні не лише декларативні знання, але і процедурні знання (дії) (Epstein (2015; Rainer &amp; Cegielski (2011).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Thus, the model of cognitive regulator allows connecting both subjective and objective features of not only declarative knowledge, but also procedural knowledge (actions) (Epstein (2015; Rainer &amp; Cegielski (2011).</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Наведені вище міркування визначають загальну ідею і особливості побудови і функціонування когнітивної нейронної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above-mentioned reasoning determine the general idea and features of formation and functioning of the cognitive neural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Якщо побудови вершин-образів графа і зв'язків між ними є таким, що інтуїтивно розуміється з точки зору принципу навчання через завдання семантичної мережі, то питання налаштування параметрів нейронної мережі (вагів і порогів М-мережі) є досить складним і важливим.</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If formation of the vertices of the pattern graph and connections between them develops in such way that it is intuitively understood from the standpoint of the principle of training, through the tasks of the semantic network, then the issue of setting the parameters of the neural network (weights of i-thresholds of the M-network) is quite complex and important.</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Тому в науковій роботі пропонується використати механізм налаштування класичних нейронних мереж для налаштування параметрів когнітивної нейронної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Therefore, in the present scientific work it is proposed to use the adjustment mechanism of the classical neural networks to set the parameters of the cognitive neural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Такий механізм розглядає нейронну мережу, як модель, яка відбиває тільки поведінку модельованого об'єкту і не враховує внутрішню деталізацію (семантику) нейронної мережі (рис. 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Such mechanism considers the neural network as the model covering only the behavior of the simulated object, which does not take into account the internal detailing (semantics) of the neural network (Fig. 3.).</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119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Етап 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Stage 1.</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Семіотичний метод:</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Semiotic method: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завдання іменованих об’єктів;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tasks of the named objects;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завдання коннекціоністських лінгвістичних відношень.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tasks of the connectionist linguistic relationships.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Оцінка когнітивної мережі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Estimation of the cognitive training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Підприємець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Entrepreneur</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Система штучного інтелекту (генетичний алгоритм)</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intelligence system (genetic algorithm)</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Оцінка функціонування когнітивної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Estimation of the cognitive network functioning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Етап 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Stage 2.</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Метод нейрокомп’ютінга:</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Neurocomputing method: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129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набір навчаючої вибірки;</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set of the training sample;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алгоритми навчання рекурентних мереж.</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algorithm for training of the recurrent networks.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Етап 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Stage 3.</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Еволюційний метод:</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Evolutionary method: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генетична адаптація параметрів регулятора.</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 genetic adaptation of the regulator parameters.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Популяція образів підграфів коннекціоністської моделі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Population of the subgraph patterns of the connectionist model</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Нові параметри когнітивної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parameters of the cognitive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«Дошка об’яв»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"Blackboard"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Рисунок 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Figure 3.</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Етапи навчання когнітивних нейронних мереж в підприємницькій діяльності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Training stages of the cognitive neural networks in the entrepreneurial activities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139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Процедура формування такої моделі фактично є процедурою когнітивного стискування інформації про об'єкт через навчання нейронної мережі відповідно до заданої повчальної вибірки.</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procedure of forming of such model is actually the procedure of cognitive compression of information about the object through training of the neural network, in accordance with the given training sample.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Завдання синтезу нейронної мережі має свої складнощі, оскільки заздалегідь неможливо передбачити, яка архітектура нейронної мережі виявиться найкращою для реалізації необхідного відображення вхідних сигналів у вихідні сигнали при рішенні задачі, що цікавить нас.</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task of the neural network synthesis has its own challenges, because it is impossible to forecast in advance, which neural network architecture to become the best for realization of the necessary mapping of input signals into output signals, in terms of solving the problems, which we are interested in.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 цілому слід зазначити, що проблематичність і складність попереднього налаштування когнітивних нейро-нечітких систем істотно залежить від характеру вирішуваної задачі.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Generally, it should be noted that the problematical character and complexity of prior configuration of the cognitive neuro-fuzzy systems significantly depend on the nature of the active task.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Якщо когнітивна нейро-нечітка система використовується в контурі управління середовища, що динамічно змінюється, то уся гідність когнітивних нейронних мереж може проявитися тільки з часом.</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If the cognitive neuro-fuzzy system is used in the control loop of the dynamically changing environment, then the whole benefits of the cognitive neural networks can only become clear in good time.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Іншими словами, образне мислення підприємця в процесі навчання може бути використане тільки після деякого проміжку часу роботи з об'єктом управління у рамках нормативних принципів побудови систем підтримки ухвалення рішень або систем, що радять.</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 other words, the visual thinking of the entrepreneur in the training process can be used only after the certain period of working with the controlled object within frames of the standardized principles of formation the decision making support systems or consulting systems.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Recommendations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Recommendations</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Зростання рівня ефективності нейро-нечітких систем істотно залежить від ефективності повчального алгоритму нейронної мережі.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Increasing of the efficiency level of the neuro-fuzzy systems significantly depends on the effectiveness of the training algorithm of the neural network.</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Перспективними є розробки в сфері адаптивних моделей оптимізацію роботи нейро-нечітких системи за допомогою генетичного алгоритму.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Developments in the sphere of adaptive models of optimization of the neuro-fuzzy systems using the genetic algorithm, are quite perspective.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Пошук може відбуватися без використання апріорних знань про характер критерію якості управління, а лише на основі його значень, що отримуються висуненими генетичним алгоритмом пробними значеннями параметрів.</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search procedure can be realized without the usage of a-priori knowledge about the nature of performance of the control criterion, but only on the basis of its values, received by the trial parameter values of the given genetic algorithm.</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 результаті, з'явиться можливість поліпшення методики підприємницького навчання за рахунок знаходження набору значень параметрів, якості самого навчання, що оптимізує лінійні критерії.</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As a result, it will be possible to improve the methodology of entrepreneurial training at the expense of finding the set of parameter values, the qualitative features of the training, optimizing the linear criteria.</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149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Conclusion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Conclusion</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Визначено, що нечіткі моделі з позиції когнітивного розуміння інформації, представленої через образ, є основою формалізації і маніпуляції з символами без апеляції до їх сенсу.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It was stated that from the standpoint of cognitive understanding of the information, presented through the image, the fuzzy models is the basis of formalization and manipulation with symbols without any appeal for their meaning.</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(86%)</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У теж час, нейронні мережі, представлені у вигляді зображення через образ графа, можуть бути основою для апеляції до змісту через призму когнітивного образу.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At the same time, the neural networks, represented in form of image through the graph pattern, can become the basis for appeal to meaning under the lens of cognitive image.</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(76%)</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Підхід на основі «поєднаного» синтезу штучних нейронних мереж і нечітких систем породжує модель когнітивного нейро-нечіткого регулятора, яка має можливість інкорпорації знань підприємця у вигляді образів і можливість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approach, based on the "combined" synthesis of the artificial neural networks and the fuzzy systems, generates a model of the cognitive neuro-fuzzy regulator, which has the possibility to incorporate knowledge of the entrepreneur in form of images and training opportunities.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Модель семантичної М-мережі у вигляді графа несе в собі когнітивний «заряд» при візуалізації інформації з метою «включення» образного мислення підприємця.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model of semantic M-network in form of the graph includes the cognitive "charge" in terms of information visualization, for "switching" of the visual thinking of the entrepreneur.</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Представлення нейронної мережі у вигляді семантичного графа фактично є процесом навчання нейронної мережі з позиції когнітивного образу.</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Representation of the neural network in form of the semantic graph is actually provided as the process of training of the neural network from the position of cognitive image.</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(84%)</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Система «посилення-гальмування», впливаючи на нейронну М-мережу, кожного разу показує підприємцю найбільш активну когнітивну інформацію і процес її зміни в часі.</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Every time, the "boosting-braking" system, making impact on the neural M-network, demonstrates the entrepreneur the most active cognitive information and the process of its temporal changes.</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Розподіл образу графа на сітку шкал ще більше посилює когнітивну значущість таких образів з точки зору розділення і розрізнення інформації.</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distribution of the pattern graph by grid of scales even more strengthens the cognitive significance of such images in terms of distribution and recognition of information.</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(80%)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Розроблена когнітивна модель припускає, що вказані вище проблеми традиційних підходів до рішення складних завдань моделювання можуть бути зняті або істотно понижені шляхом семіотичного моделювання за умови, що підприємець має можливість управляти деталізацією перегляду когнітивного графа залежно від нюансів його образного навчання.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developed cognitive model assumes that the above-mentioned problems of the traditional approaches to solution of the complex modeling problems can be completely removed or significantly reduced by the semiotic modeling, in terms that the entrepreneur has the ability to manage the detail view of the cognitive graph, depending on the features of his visual training.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При цьому процеси адаптації до зовнішніх умов і змін внутрішніх параметрів інтеграційної комп'ютерної системи досягаються на основі генетичних механізмів народження і загибелі популяцій об'єктів і рішень на рівнях символьного і образного мислення.</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At the same time, the processes of adaptation to external conditions and changes of the internal parameters of the integration computer system are achieved on the basis of the genetic mechanisms of birth and death of populations of objects and solutions at the levels of symbolic and visual thinking.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159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References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References</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Brynjolfsson, E. &amp; McAfee, A. (2014).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Brynjolfsson, E. &amp; McAfee, A. (2014).</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second machine age: Work, progress, and prosperity in a time of brilliant technologies.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second machine age: Work, progress, and prosperity in a time of brilliant technologies.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NY: WW Norton &amp; Company.</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NY: WW Norton &amp; Company.</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Cooke, P. (2002).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Cooke, P. (2002).</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(75%)</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Knowledge Economies: Clusters, Learning and Cooperative Advantage.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Knowledge Economies: Clusters, Learning and Cooperative Advantage.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London: Routledge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London: Routledge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Davis, C.</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Davis, C.</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 Creutzberg, T., &amp; Arthurs, D. (2009).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 Creutzberg, T., &amp; Arthurs, D. (2009).</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Applying an innovation cluster framework to a creative industry: The case of screenbased media in Ontario.</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Applying an innovation cluster framework to a creative industry: The case of screenbased media in Ontario.</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169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Innovation: Management, Policy &amp; Practice, 11(2): 201-214 http://doi.org/10.5172/impp.11.2.201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Innovation: Management, Policy &amp; Practice, 11(2): 201-214 http://doi.org/10.5172/impp.11.2.201</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Duncan, T.</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Duncan, T.</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 Duncan, 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 Duncan, 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 &amp; Strycker, L.</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 &amp; Strycker, L.</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 (2013).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 (2013).</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An introduction to latent variable growth curve modeling: Concepts, issues, and application.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An introduction to latent variable growth curve modeling: Concepts, issues, and application.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Routledge.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Routledge.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Dirican, C.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Dirican, C. (2015).</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(101%)</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Impacts of Robotics, Artificial Intelligence On Business and Economics.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Impacts of Robotics, Artificial Intelligence On Business and Economics.</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(101%)</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Procedia -Social and Behavioral Sciences, 195: 564-573.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Procedia -Social and Behavioral Sciences, 195: 564-573.</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(91%)</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179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Epstein S.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Epstein S. (2015).</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(99%)</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Wanted: Collaborative intelligence.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Wanted: Collaborative intelligence.</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Intelligence, 221: 36-45.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Intelligence, 221: 36-45.</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(99%)</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Felt, U., Fouché, R., Miller, C.</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Felt, U., Fouché, R., Miller, C.</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 &amp; Smith-Doerr, L. (2016).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 &amp; Smith-Doerr, L. (2016).</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handbook of science and technology studies (4th ed.).</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handbook of science and technology studies (4th ed.).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Cambridge, MA: MIT Press.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Cambridge, MA: MIT Press.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Ford, M.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Ford, M. (2015).</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(75%)</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Rise of the Robots: Technology and the Threat of Mass Unemployment.</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The Rise of the Robots: Technology and the Threat of Mass Unemployment.</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London: Oneworld Publications.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London: Oneworld Publications.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189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Gurkaynak, G., Yilmaz, I., Haksever, G. (2016).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Gurkaynak, G., Yilmaz, I., Haksever, G. (2016).</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Stifling artificial intelligence: Human perils.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Stifling artificial intelligence: Human perils.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Hengstler, M.</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Hengstler, M.</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Enkel 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Enkel 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Duelli, S. (2016).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Duelli, S. (2016).</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Applied artificial intelligence and trust - The case of autonomous vehicles and medical assistance devices.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Applied artificial intelligence and trust - The case of autonomous vehicles and medical assistance devices.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Technological Forecasting &amp; Social Change, 105: 105-120.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Technological Forecasting &amp; Social Change, 105: 105-120.</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Jarrahi, M. (2018).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Jarrahi, M. (2018).</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(101%)</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intelligence and the future of work: Human-AI symbiosis in organizational decision making.</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intelligence and the future of work: Human-AI symbiosis in organizational decision making.</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(101%)</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Business Horizons, vol. 61, no 4: 577-586.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Business Horizons, vol. 61, no 4: 577-586.</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(91%)</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199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Mallonas.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Mallonas.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 (1994).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 (1994).</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Swarms, Phase Transitions and Collective Intelligence.</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Swarms, Phase Transitions and Collective Intelligence.</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Life III I Ed. by C.</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Life III I Ed. by C.</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Langton.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Langton.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Addision-Wesley.</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Addision-Wesley.</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Martinez-Lуpez, F.J. (ed.) (2014).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Martinez-Lуpez, F.J. (ed.) (2014).</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Handbook of Strategic e-Business Management, Springer-Verlag, Heidelberg-New York-Dordrecht-London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Handbook of Strategic e-Business Management, Springer-Verlag, Heidelberg-New York-Dordrecht-London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Metelenko, N.G., Kovalenko, O.V., Makedon, V., Merzhynskyi, Y.K., Rudych, A.I. (2019).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Metelenko, N.G., Kovalenko, O.V., Makedon, V., Merzhynskyi, Y.K., Rudych, A.I. (2019).</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Infrastructure security of formation and development of sectoral corporate clusters.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Infrastructure security of formation and development of sectoral corporate clusters.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209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Journal of Security and Sustainability Issues 9(1): 77–89. http://doi.org/10.9770/jssi.2019.9.1(7)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Journal of Security and Sustainability Issues 9(1): 77–89. http://doi.org/10.9770/jssi.2019.9.1(7)</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Rainer, K. &amp; Cegielski, C. (2011).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Rainer, K. &amp; Cegielski, C. (2011).</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Introduction to Information Systems: Enabling and Transforming Business.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Introduction to Information Systems: Enabling and Transforming Business.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Third Edition.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Third Edition.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Jonh Wiley &amp; Sons Inc.</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Jonh Wiley &amp; Sons Inc.</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Russell, S.J., &amp; Norvig, P. (2010).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Russell, S.J., &amp; Norvig, P. (2010).</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intelligence: a modern approach, (3rd ed.).</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Artificial intelligence: a modern approach, (3rd ed.).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Upper Saddle River: Prentice-Hall.</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Upper Saddle River: Prentice-Hall.</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Salamzadeh, A., Kesim, H.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Salamzadeh, A., Kesim, H. (2015).</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Startup Companies: Life Cycle and Challenges The 4th International Conference on Employment, Education and Entrepreneurship (EEE), At Belgrade, Serbia.</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Startup Companies: Life Cycle and Challenges The 4th International Conference on Employment, Education and Entrepreneurship (EEE), At Belgrade, Serbia.</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219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Available on the Internet: https://www.researchgate.net/publication/280007861_Startup_Companies_Life_Cycle_and_Challenges</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Available on the Internet: https://www.researchgate.net/publication/280007861_Startup_Companies_Life_Cycle_and_Challenges</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Siau, K. and Yang, Y. (2017).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Siau, K. and Yang, Y. (2017).</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Impact of Artificial Intelligence, Robotics, and Machine Learning on Sales and Marketing.</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Impact of Artificial Intelligence, Robotics, and Machine Learning on Sales and Marketing.</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222</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Twelve Annual Midwest Association for Information Systems Conference (MWAIS 2017), Springfield, Illinois, May 18-19.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Twelve Annual Midwest Association for Information Systems Conference (MWAIS 2017), Springfield, Illinois, May 18-19.</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Snow, C.C., Fjeldstad, Ø.D., Langer, A.M. (2017).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Snow, C.C., Fjeldstad, Ø.D., Langer, A.M. (2017).</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224</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Designing the digital organization.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Designing the digital organization.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Journal of Organization Design, 6(7): 1-13</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Journal of Organization Design, 6(7): 1-13</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226</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Walker, I. (2010).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Walker, I. (2010).</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227</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Research Methods and Statistics: Palgrave Insights in Psychology Series, 1st ed.</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Research Methods and Statistics: Palgrave Insights in Psychology Series, 1st ed.</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228</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Palgrave Macmillan.</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New York: Palgrave Macmillan.</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229</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Wauters M., Vanhoucke, M. (2015).</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Wauters M., Vanhoucke, M. (2015).</w:t>
            </w:r>
          </w:p>
        </w:tc>
        <w:tc>
          <w:tcPr>
            <w:tcW w:w="1380" w:type="dxa"/>
            <w:shd w:val="clear" w:color="auto" w:fill="F7CAAC"/>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(МТ)</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230</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 comparative study of Artificial Intelligence methods for project duration forecasting.</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A comparative study of Artificial Intelligence methods for project duration forecasting.</w:t>
            </w:r>
          </w:p>
        </w:tc>
        <w:tc>
          <w:tcPr>
            <w:tcW w:w="1380" w:type="dxa"/>
            <w:shd w:val="clear" w:color="auto" w:fill="C5E0B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(100%)</w:t>
            </w:r>
          </w:p>
        </w:tc>
      </w:tr>
      <w:tr>
        <w:tblPrEx>
          <w:tblW w:w="5000" w:type="pct"/>
          <w:tblCellMar>
            <w:left w:w="108" w:type="dxa"/>
            <w:right w:w="108" w:type="dxa"/>
          </w:tblCellMar>
        </w:tblPrEx>
        <w:tc>
          <w:tcPr>
            <w:tcW w:w="640" w:type="dxa"/>
            <w:shd w:val="clear" w:color="auto" w:fill="D3D3D3"/>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231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Expert Systems With Applications, 46: 249-261.</w:t>
            </w:r>
          </w:p>
        </w:tc>
        <w:tc>
          <w:tcPr>
            <w:tcW w:w="3693" w:type="dxa"/>
            <w:shd w:val="clear" w:color="auto" w:fill="FFFFFF"/>
          </w:tcPr>
          <w:p w:rsidR="00A77B3E">
            <w:pPr>
              <w:bidi w:val="0"/>
              <w:rPr>
                <w:rFonts w:ascii="Arial Unicode MS" w:eastAsia="Arial Unicode MS" w:hAnsi="Arial Unicode MS" w:cs="Arial Unicode MS"/>
                <w:sz w:val="22"/>
                <w:rtl w:val="0"/>
              </w:rPr>
            </w:pPr>
            <w:r>
              <w:rPr>
                <w:rFonts w:ascii="Arial Unicode MS" w:eastAsia="Arial Unicode MS" w:hAnsi="Arial Unicode MS" w:cs="Arial Unicode MS"/>
                <w:sz w:val="22"/>
                <w:rtl w:val="0"/>
              </w:rPr>
              <w:t>Expert Systems With Applications, 46: 249-261.</w:t>
            </w:r>
          </w:p>
        </w:tc>
        <w:tc>
          <w:tcPr>
            <w:tcW w:w="1380" w:type="dxa"/>
            <w:shd w:val="clear" w:color="auto" w:fill="FFE599"/>
          </w:tcPr>
          <w:p w:rsidR="00A77B3E">
            <w:pPr>
              <w:bidi w:val="0"/>
              <w:rPr>
                <w:rFonts w:ascii="Arial Unicode MS" w:eastAsia="Arial Unicode MS" w:hAnsi="Arial Unicode MS" w:cs="Arial Unicode MS"/>
                <w:sz w:val="22"/>
              </w:rPr>
            </w:pPr>
            <w:r>
              <w:rPr>
                <w:rFonts w:ascii="Arial Unicode MS" w:eastAsia="Arial Unicode MS" w:hAnsi="Arial Unicode MS" w:cs="Arial Unicode MS"/>
                <w:sz w:val="22"/>
              </w:rPr>
              <w:t>Перевод ТМ (90%)</w:t>
            </w:r>
          </w:p>
        </w:tc>
      </w:tr>
    </w:tbl>
    <w:p w:rsidR="00A77B3E">
      <w:pPr>
        <w:rPr>
          <w:rFonts w:ascii="Arial Unicode MS" w:eastAsia="Arial Unicode MS" w:hAnsi="Arial Unicode MS" w:cs="Arial Unicode MS"/>
          <w:sz w:val="22"/>
        </w:rPr>
      </w:pPr>
    </w:p>
    <w:sectPr>
      <w:headerReference w:type="even" r:id="rId4"/>
      <w:headerReference w:type="default" r:id="rId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wp:extent cx="1498600" cy="266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1498600" cy="26670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wp:extent cx="1498600" cy="2667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
                  <a:stretch>
                    <a:fillRect/>
                  </a:stretch>
                </pic:blipFill>
                <pic:spPr>
                  <a:xfrm>
                    <a:off x="0" y="0"/>
                    <a:ext cx="1498600" cy="2667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