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spacing w:after="560" w:before="300" w:line="360" w:lineRule="auto"/>
        <w:ind w:left="0" w:right="0" w:firstLine="0"/>
        <w:jc w:val="left"/>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В настоящее время в области косметических процедур все чаще доминируют нехирургические, но тем не менее, инвазивные и потенциально болезненные процедуры, часто описываемые как «быстрые и безопасные» альтернативы хирургии. Таким образом, пациенты ожидают быстрых, но впечатляющих результатов, достигнутых с помощью процедур, которые можно безопасно проводить в течении перерыва на обед. Чтобы удовлетворить их потребность, дерматологи постоянно ищут анестетики, которые были бы наиболее эффективными, но также приносили бы наименьший риск для пациента и имели бы минимальные (или вообще не имели) нежелательные побочные эффекты. </w:t>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560" w:before="300" w:line="360" w:lineRule="auto"/>
        <w:ind w:left="0" w:right="0" w:firstLine="0"/>
        <w:jc w:val="left"/>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Существует много видов анестезии, которая используется дерматологами во время косметических процедур. Из широкого спектра доступных вариантов местная анестезия стала самым популярным и востребованным методом. Популярность местной анестезии во время дермокосметических процедур, несомненно, связана с уникальным характером этих процедур и тем фактом, что они обычно связаны с точными медицинскими вмешательствами, которые, как правило, ограничиваются маленькими участками кожи.</w:t>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560" w:before="300" w:line="360" w:lineRule="auto"/>
        <w:ind w:left="0" w:right="0" w:firstLine="0"/>
        <w:jc w:val="left"/>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Боль является обычным барьером для косметических процедур, и облегчение страха перед болезненными вмешательствами имеет решающее значение для удовлетворения пациента. Местные анестетики эффективны и просты в использовании и особенно ценны для пациентов с фобией иглы. В некоторых случаях эти средства могут применяться пациентом до прибытия, что сокращает время посещения. </w:t>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560" w:before="300" w:line="360" w:lineRule="auto"/>
        <w:ind w:left="0" w:right="0" w:firstLine="0"/>
        <w:jc w:val="left"/>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Что такое местная анестезия?</w:t>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560" w:before="300" w:line="360" w:lineRule="auto"/>
        <w:ind w:left="0" w:right="0" w:firstLine="0"/>
        <w:jc w:val="left"/>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Местная анестезия относится к использованию препарата под названием анестетик, чтобы временно обезболить небольшую область вашего тела.  В отличие от общей анестезии, местная анестезия не дает вам уснуть. </w:t>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560" w:before="300" w:line="360" w:lineRule="auto"/>
        <w:ind w:left="0" w:right="0" w:firstLine="0"/>
        <w:jc w:val="left"/>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Местная анестезия имеет несколько видов: </w:t>
      </w:r>
    </w:p>
    <w:p w:rsidR="00000000" w:rsidDel="00000000" w:rsidP="00000000" w:rsidRDefault="00000000" w:rsidRPr="00000000" w14:paraId="0000000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300" w:line="360" w:lineRule="auto"/>
        <w:ind w:left="720" w:right="0" w:hanging="360"/>
        <w:jc w:val="left"/>
        <w:rPr>
          <w:rFonts w:ascii="Times New Roman" w:cs="Times New Roman" w:eastAsia="Times New Roman" w:hAnsi="Times New Roman"/>
          <w:sz w:val="24"/>
          <w:szCs w:val="24"/>
          <w:highlight w:val="white"/>
          <w:u w:val="none"/>
        </w:rPr>
      </w:pPr>
      <w:r w:rsidDel="00000000" w:rsidR="00000000" w:rsidRPr="00000000">
        <w:rPr>
          <w:rFonts w:ascii="Times New Roman" w:cs="Times New Roman" w:eastAsia="Times New Roman" w:hAnsi="Times New Roman"/>
          <w:b w:val="1"/>
          <w:sz w:val="24"/>
          <w:szCs w:val="24"/>
          <w:highlight w:val="white"/>
          <w:rtl w:val="0"/>
        </w:rPr>
        <w:t xml:space="preserve">Терминальная</w:t>
      </w:r>
      <w:r w:rsidDel="00000000" w:rsidR="00000000" w:rsidRPr="00000000">
        <w:rPr>
          <w:rFonts w:ascii="Times New Roman" w:cs="Times New Roman" w:eastAsia="Times New Roman" w:hAnsi="Times New Roman"/>
          <w:sz w:val="24"/>
          <w:szCs w:val="24"/>
          <w:highlight w:val="white"/>
          <w:rtl w:val="0"/>
        </w:rPr>
        <w:t xml:space="preserve">. При терминальной (поверхностной) анестезии местный анестетик распространяется на слизистые оболочки, раны, язвы, свежие грануляции. Для терминальной анестезии мы часто используем анестезин, дикаин, ксикаин, тримекаин, а не новокаин из-за раздражающих способностей (в высокой концентрации)</w:t>
      </w:r>
    </w:p>
    <w:p w:rsidR="00000000" w:rsidDel="00000000" w:rsidP="00000000" w:rsidRDefault="00000000" w:rsidRPr="00000000" w14:paraId="0000000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360" w:lineRule="auto"/>
        <w:ind w:left="720" w:right="0" w:hanging="360"/>
        <w:jc w:val="left"/>
        <w:rPr>
          <w:rFonts w:ascii="Times New Roman" w:cs="Times New Roman" w:eastAsia="Times New Roman" w:hAnsi="Times New Roman"/>
          <w:sz w:val="24"/>
          <w:szCs w:val="24"/>
          <w:highlight w:val="white"/>
          <w:u w:val="none"/>
        </w:rPr>
      </w:pPr>
      <w:r w:rsidDel="00000000" w:rsidR="00000000" w:rsidRPr="00000000">
        <w:rPr>
          <w:rFonts w:ascii="Times New Roman" w:cs="Times New Roman" w:eastAsia="Times New Roman" w:hAnsi="Times New Roman"/>
          <w:b w:val="1"/>
          <w:sz w:val="24"/>
          <w:szCs w:val="24"/>
          <w:highlight w:val="white"/>
          <w:rtl w:val="0"/>
        </w:rPr>
        <w:t xml:space="preserve">Инфильтрационная</w:t>
      </w:r>
      <w:r w:rsidDel="00000000" w:rsidR="00000000" w:rsidRPr="00000000">
        <w:rPr>
          <w:rFonts w:ascii="Times New Roman" w:cs="Times New Roman" w:eastAsia="Times New Roman" w:hAnsi="Times New Roman"/>
          <w:sz w:val="24"/>
          <w:szCs w:val="24"/>
          <w:highlight w:val="white"/>
          <w:rtl w:val="0"/>
        </w:rPr>
        <w:t xml:space="preserve">. Это смешанный вид местной анестезии, при котором нервные окончания и волокна отключаются из-за послойной инфильтрации тканей раствором местной анестезии. Для инфильтративной анестезии используются новокаин, ксикаин, тримекаин, ультракаин. </w:t>
      </w:r>
    </w:p>
    <w:p w:rsidR="00000000" w:rsidDel="00000000" w:rsidP="00000000" w:rsidRDefault="00000000" w:rsidRPr="00000000" w14:paraId="0000000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560" w:before="0" w:beforeAutospacing="0" w:line="360" w:lineRule="auto"/>
        <w:ind w:left="720" w:right="0" w:hanging="360"/>
        <w:jc w:val="left"/>
        <w:rPr>
          <w:rFonts w:ascii="Times New Roman" w:cs="Times New Roman" w:eastAsia="Times New Roman" w:hAnsi="Times New Roman"/>
          <w:sz w:val="24"/>
          <w:szCs w:val="24"/>
          <w:highlight w:val="white"/>
          <w:u w:val="none"/>
        </w:rPr>
      </w:pPr>
      <w:r w:rsidDel="00000000" w:rsidR="00000000" w:rsidRPr="00000000">
        <w:rPr>
          <w:rFonts w:ascii="Times New Roman" w:cs="Times New Roman" w:eastAsia="Times New Roman" w:hAnsi="Times New Roman"/>
          <w:b w:val="1"/>
          <w:sz w:val="24"/>
          <w:szCs w:val="24"/>
          <w:highlight w:val="white"/>
          <w:rtl w:val="0"/>
        </w:rPr>
        <w:t xml:space="preserve">Проводниковая</w:t>
      </w:r>
      <w:r w:rsidDel="00000000" w:rsidR="00000000" w:rsidRPr="00000000">
        <w:rPr>
          <w:rFonts w:ascii="Times New Roman" w:cs="Times New Roman" w:eastAsia="Times New Roman" w:hAnsi="Times New Roman"/>
          <w:sz w:val="24"/>
          <w:szCs w:val="24"/>
          <w:highlight w:val="white"/>
          <w:rtl w:val="0"/>
        </w:rPr>
        <w:t xml:space="preserve">. Это введение анестетика в область нервных стволов, чувствительных корешков спинного мозга. Для проведения этой анестезии используются новокаин, ксикаин, тримекаин, ультракаин.</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560" w:before="300" w:line="360" w:lineRule="auto"/>
        <w:ind w:left="0" w:right="0" w:firstLine="0"/>
        <w:jc w:val="left"/>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Местные анестетики блокируют нервную проводимость вблизи места их введения, тем самым вызывая временную потерю чувствительности в нужной области</w:t>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560" w:before="300" w:line="360" w:lineRule="auto"/>
        <w:ind w:left="0" w:right="0" w:firstLine="0"/>
        <w:jc w:val="left"/>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Существует несколько клинических методов местной анестезии:</w:t>
      </w:r>
    </w:p>
    <w:p w:rsidR="00000000" w:rsidDel="00000000" w:rsidP="00000000" w:rsidRDefault="00000000" w:rsidRPr="00000000" w14:paraId="0000000C">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afterAutospacing="0" w:before="300" w:line="360" w:lineRule="auto"/>
        <w:ind w:left="720" w:right="0" w:hanging="360"/>
        <w:jc w:val="left"/>
        <w:rPr>
          <w:rFonts w:ascii="Times New Roman" w:cs="Times New Roman" w:eastAsia="Times New Roman" w:hAnsi="Times New Roman"/>
          <w:sz w:val="24"/>
          <w:szCs w:val="24"/>
          <w:highlight w:val="white"/>
          <w:u w:val="none"/>
        </w:rPr>
      </w:pPr>
      <w:r w:rsidDel="00000000" w:rsidR="00000000" w:rsidRPr="00000000">
        <w:rPr>
          <w:rFonts w:ascii="Times New Roman" w:cs="Times New Roman" w:eastAsia="Times New Roman" w:hAnsi="Times New Roman"/>
          <w:sz w:val="24"/>
          <w:szCs w:val="24"/>
          <w:highlight w:val="white"/>
          <w:rtl w:val="0"/>
        </w:rPr>
        <w:t xml:space="preserve">Местное, неинвазивное введение путем применения препарата в виде спрея, мази или крема.</w:t>
      </w:r>
    </w:p>
    <w:p w:rsidR="00000000" w:rsidDel="00000000" w:rsidP="00000000" w:rsidRDefault="00000000" w:rsidRPr="00000000" w14:paraId="0000000D">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360" w:lineRule="auto"/>
        <w:ind w:left="720" w:right="0" w:hanging="360"/>
        <w:jc w:val="left"/>
        <w:rPr>
          <w:rFonts w:ascii="Times New Roman" w:cs="Times New Roman" w:eastAsia="Times New Roman" w:hAnsi="Times New Roman"/>
          <w:sz w:val="24"/>
          <w:szCs w:val="24"/>
          <w:highlight w:val="white"/>
          <w:u w:val="none"/>
        </w:rPr>
      </w:pPr>
      <w:r w:rsidDel="00000000" w:rsidR="00000000" w:rsidRPr="00000000">
        <w:rPr>
          <w:rFonts w:ascii="Times New Roman" w:cs="Times New Roman" w:eastAsia="Times New Roman" w:hAnsi="Times New Roman"/>
          <w:sz w:val="24"/>
          <w:szCs w:val="24"/>
          <w:highlight w:val="white"/>
          <w:rtl w:val="0"/>
        </w:rPr>
        <w:t xml:space="preserve">Местные хладагенты, такие как охлаждающий спрей с этилхлоридом</w:t>
      </w:r>
    </w:p>
    <w:p w:rsidR="00000000" w:rsidDel="00000000" w:rsidP="00000000" w:rsidRDefault="00000000" w:rsidRPr="00000000" w14:paraId="0000000E">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360" w:lineRule="auto"/>
        <w:ind w:left="720" w:right="0" w:hanging="360"/>
        <w:jc w:val="left"/>
        <w:rPr>
          <w:rFonts w:ascii="Times New Roman" w:cs="Times New Roman" w:eastAsia="Times New Roman" w:hAnsi="Times New Roman"/>
          <w:sz w:val="24"/>
          <w:szCs w:val="24"/>
          <w:highlight w:val="white"/>
          <w:u w:val="none"/>
        </w:rPr>
      </w:pPr>
      <w:r w:rsidDel="00000000" w:rsidR="00000000" w:rsidRPr="00000000">
        <w:rPr>
          <w:rFonts w:ascii="Times New Roman" w:cs="Times New Roman" w:eastAsia="Times New Roman" w:hAnsi="Times New Roman"/>
          <w:sz w:val="24"/>
          <w:szCs w:val="24"/>
          <w:highlight w:val="white"/>
          <w:rtl w:val="0"/>
        </w:rPr>
        <w:t xml:space="preserve">Инфильтрационная анестезия с применением препаратов, предназначенных для местной анестезии</w:t>
      </w:r>
    </w:p>
    <w:p w:rsidR="00000000" w:rsidDel="00000000" w:rsidP="00000000" w:rsidRDefault="00000000" w:rsidRPr="00000000" w14:paraId="0000000F">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360" w:lineRule="auto"/>
        <w:ind w:left="720" w:right="0" w:hanging="360"/>
        <w:jc w:val="left"/>
        <w:rPr>
          <w:rFonts w:ascii="Times New Roman" w:cs="Times New Roman" w:eastAsia="Times New Roman" w:hAnsi="Times New Roman"/>
          <w:sz w:val="24"/>
          <w:szCs w:val="24"/>
          <w:highlight w:val="white"/>
          <w:u w:val="none"/>
        </w:rPr>
      </w:pPr>
      <w:r w:rsidDel="00000000" w:rsidR="00000000" w:rsidRPr="00000000">
        <w:rPr>
          <w:rFonts w:ascii="Times New Roman" w:cs="Times New Roman" w:eastAsia="Times New Roman" w:hAnsi="Times New Roman"/>
          <w:sz w:val="24"/>
          <w:szCs w:val="24"/>
          <w:highlight w:val="white"/>
          <w:rtl w:val="0"/>
        </w:rPr>
        <w:t xml:space="preserve">Блок анестезии, например - блок, который представляет собой инъекцию местного анестетика в окрестности периферического нерва для анестезии в его области.</w:t>
      </w:r>
    </w:p>
    <w:p w:rsidR="00000000" w:rsidDel="00000000" w:rsidP="00000000" w:rsidRDefault="00000000" w:rsidRPr="00000000" w14:paraId="0000001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560" w:before="0" w:beforeAutospacing="0" w:line="360" w:lineRule="auto"/>
        <w:ind w:left="720" w:right="0" w:hanging="360"/>
        <w:jc w:val="left"/>
        <w:rPr>
          <w:rFonts w:ascii="Times New Roman" w:cs="Times New Roman" w:eastAsia="Times New Roman" w:hAnsi="Times New Roman"/>
          <w:sz w:val="24"/>
          <w:szCs w:val="24"/>
          <w:highlight w:val="white"/>
          <w:u w:val="none"/>
        </w:rPr>
      </w:pPr>
      <w:r w:rsidDel="00000000" w:rsidR="00000000" w:rsidRPr="00000000">
        <w:rPr>
          <w:rFonts w:ascii="Times New Roman" w:cs="Times New Roman" w:eastAsia="Times New Roman" w:hAnsi="Times New Roman"/>
          <w:sz w:val="24"/>
          <w:szCs w:val="24"/>
          <w:highlight w:val="white"/>
          <w:rtl w:val="0"/>
        </w:rPr>
        <w:t xml:space="preserve">Анестезия с помощью инфильтративной тумесцентной техники.</w:t>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560" w:before="300" w:line="360" w:lineRule="auto"/>
        <w:ind w:left="0" w:right="0" w:firstLine="0"/>
        <w:jc w:val="left"/>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Самые популярные и эффективные местные анестетики содержат лидокаин или бензокаин в качестве активных ингредиентов и используются в форме растворов, кремов, гелей и спреев.  Считается, что анестетики в виде крема, являются более сильнодействующими, чем другие виды препаратов. </w:t>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560" w:before="300" w:line="360" w:lineRule="auto"/>
        <w:ind w:left="0" w:right="0" w:firstLine="0"/>
        <w:jc w:val="left"/>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Давайте немного познакомимся с основными компонентами анестетиков и узнаем как они работают.</w:t>
      </w:r>
    </w:p>
    <w:p w:rsidR="00000000" w:rsidDel="00000000" w:rsidP="00000000" w:rsidRDefault="00000000" w:rsidRPr="00000000" w14:paraId="00000013">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afterAutospacing="0" w:before="300" w:line="360" w:lineRule="auto"/>
        <w:ind w:left="720" w:right="0" w:hanging="360"/>
        <w:jc w:val="left"/>
        <w:rPr>
          <w:rFonts w:ascii="Times New Roman" w:cs="Times New Roman" w:eastAsia="Times New Roman" w:hAnsi="Times New Roman"/>
          <w:sz w:val="24"/>
          <w:szCs w:val="24"/>
          <w:highlight w:val="white"/>
          <w:u w:val="none"/>
        </w:rPr>
      </w:pPr>
      <w:r w:rsidDel="00000000" w:rsidR="00000000" w:rsidRPr="00000000">
        <w:rPr>
          <w:rFonts w:ascii="Times New Roman" w:cs="Times New Roman" w:eastAsia="Times New Roman" w:hAnsi="Times New Roman"/>
          <w:b w:val="1"/>
          <w:sz w:val="24"/>
          <w:szCs w:val="24"/>
          <w:highlight w:val="white"/>
          <w:rtl w:val="0"/>
        </w:rPr>
        <w:t xml:space="preserve">Бензокаин </w:t>
      </w:r>
      <w:r w:rsidDel="00000000" w:rsidR="00000000" w:rsidRPr="00000000">
        <w:rPr>
          <w:rFonts w:ascii="Times New Roman" w:cs="Times New Roman" w:eastAsia="Times New Roman" w:hAnsi="Times New Roman"/>
          <w:sz w:val="24"/>
          <w:szCs w:val="24"/>
          <w:highlight w:val="white"/>
          <w:rtl w:val="0"/>
        </w:rPr>
        <w:t xml:space="preserve">(этиламинобензоат) является местным анестетиком сложного эфира. Он доступен в концентрации до 20%. Он не токсичен, но может вызвать местные аллергические реакции, особенно после длительного или многократного использования. Бензокаин плохо растворяется в воде и имеет плохую абсорбцию в сердечно-сосудистой системе, таким образом, он дольше остается в месте применения, обеспечивая длительную продолжительность действия.</w:t>
      </w:r>
    </w:p>
    <w:p w:rsidR="00000000" w:rsidDel="00000000" w:rsidP="00000000" w:rsidRDefault="00000000" w:rsidRPr="00000000" w14:paraId="00000014">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afterAutospacing="0" w:before="0" w:beforeAutospacing="0" w:line="360" w:lineRule="auto"/>
        <w:ind w:left="720" w:right="0" w:hanging="360"/>
        <w:jc w:val="left"/>
        <w:rPr>
          <w:rFonts w:ascii="Times New Roman" w:cs="Times New Roman" w:eastAsia="Times New Roman" w:hAnsi="Times New Roman"/>
          <w:sz w:val="24"/>
          <w:szCs w:val="24"/>
          <w:highlight w:val="white"/>
          <w:u w:val="none"/>
        </w:rPr>
      </w:pPr>
      <w:r w:rsidDel="00000000" w:rsidR="00000000" w:rsidRPr="00000000">
        <w:rPr>
          <w:rFonts w:ascii="Times New Roman" w:cs="Times New Roman" w:eastAsia="Times New Roman" w:hAnsi="Times New Roman"/>
          <w:b w:val="1"/>
          <w:sz w:val="24"/>
          <w:szCs w:val="24"/>
          <w:highlight w:val="white"/>
          <w:rtl w:val="0"/>
        </w:rPr>
        <w:t xml:space="preserve">Лидокаин </w:t>
      </w:r>
      <w:r w:rsidDel="00000000" w:rsidR="00000000" w:rsidRPr="00000000">
        <w:rPr>
          <w:rFonts w:ascii="Times New Roman" w:cs="Times New Roman" w:eastAsia="Times New Roman" w:hAnsi="Times New Roman"/>
          <w:sz w:val="24"/>
          <w:szCs w:val="24"/>
          <w:highlight w:val="white"/>
          <w:rtl w:val="0"/>
        </w:rPr>
        <w:t xml:space="preserve">доступен в виде раствора или мази с концентрацией до 5% и в виде спрея с концентрацией до 10%. Он имеет низкий процент аллергических реакций, но активно поглощается кожей, и применение избыточного количества лидокаина может быстро попадать в сердечно-сосудистую систему, что приводит к повышению уровня анестетика в крови и высокому риску передозировки. Таким образом, на кожу стоит наносить минимальное количество крема для наружного применения  и рекомендуется выбирать дозированные спреи, если выбран аэрозольный препарат.</w:t>
      </w:r>
    </w:p>
    <w:p w:rsidR="00000000" w:rsidDel="00000000" w:rsidP="00000000" w:rsidRDefault="00000000" w:rsidRPr="00000000" w14:paraId="00000015">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560" w:before="0" w:beforeAutospacing="0" w:line="360" w:lineRule="auto"/>
        <w:ind w:left="720" w:right="0" w:hanging="360"/>
        <w:jc w:val="left"/>
        <w:rPr>
          <w:rFonts w:ascii="Times New Roman" w:cs="Times New Roman" w:eastAsia="Times New Roman" w:hAnsi="Times New Roman"/>
          <w:sz w:val="24"/>
          <w:szCs w:val="24"/>
          <w:highlight w:val="white"/>
          <w:u w:val="none"/>
        </w:rPr>
      </w:pPr>
      <w:r w:rsidDel="00000000" w:rsidR="00000000" w:rsidRPr="00000000">
        <w:rPr>
          <w:rFonts w:ascii="Times New Roman" w:cs="Times New Roman" w:eastAsia="Times New Roman" w:hAnsi="Times New Roman"/>
          <w:b w:val="1"/>
          <w:sz w:val="24"/>
          <w:szCs w:val="24"/>
          <w:highlight w:val="white"/>
          <w:rtl w:val="0"/>
        </w:rPr>
        <w:t xml:space="preserve">П</w:t>
      </w:r>
      <w:r w:rsidDel="00000000" w:rsidR="00000000" w:rsidRPr="00000000">
        <w:rPr>
          <w:rFonts w:ascii="Times New Roman" w:cs="Times New Roman" w:eastAsia="Times New Roman" w:hAnsi="Times New Roman"/>
          <w:b w:val="1"/>
          <w:sz w:val="24"/>
          <w:szCs w:val="24"/>
          <w:highlight w:val="white"/>
          <w:rtl w:val="0"/>
        </w:rPr>
        <w:t xml:space="preserve">рилокаин </w:t>
      </w:r>
      <w:r w:rsidDel="00000000" w:rsidR="00000000" w:rsidRPr="00000000">
        <w:rPr>
          <w:rFonts w:ascii="Times New Roman" w:cs="Times New Roman" w:eastAsia="Times New Roman" w:hAnsi="Times New Roman"/>
          <w:sz w:val="24"/>
          <w:szCs w:val="24"/>
          <w:highlight w:val="white"/>
          <w:rtl w:val="0"/>
        </w:rPr>
        <w:t xml:space="preserve">является наиболее популярным местным анестезирующим средством на основе амида. Он используется в сочетании с другими местными анестетиками. Прилокаин является вторичным амидом, в отличие от лидокаина. Максимальная доза прилокаина для взрослых составляет 6 мг / кг. Общая доза не должна превышать 400 мг у взрослых. Прилокаин относительно безопасен для применения у беременных женщин со статусом беременности категории B.</w:t>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560" w:before="300" w:line="360" w:lineRule="auto"/>
        <w:ind w:left="0" w:right="0" w:firstLine="0"/>
        <w:jc w:val="left"/>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Местные анестетики очень полезны для уменьшения дискомфорта, боли и тревоги во время косметологических процедур. Традиционные местные анестетики с бензокаином и лидокаином в качестве активных ингредиентов доступны в различных формах, и продукты следует выбирать в зависимости от предполагаемого применения. Кроме того, недавно разработанные актуальные анестезирующие средства обладают повышенным анестезирующим эффектом благодаря сочетанию нескольких ингредиентов. Несмотря на редкость, местные анестетики могут вызывать аллергические реакции или побочные эффекты, такие как метгемоглобинемия. Таким образом, дерматолог должен тщательно изучить историю пациента и быть максимально осторожным, чтобы не передозировать пациента.  </w:t>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560" w:before="300" w:line="360" w:lineRule="auto"/>
        <w:ind w:left="0" w:right="0" w:firstLine="0"/>
        <w:jc w:val="left"/>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560" w:before="300" w:line="360" w:lineRule="auto"/>
        <w:ind w:left="0" w:right="0" w:firstLine="0"/>
        <w:jc w:val="left"/>
        <w:rPr>
          <w:rFonts w:ascii="Times New Roman" w:cs="Times New Roman" w:eastAsia="Times New Roman" w:hAnsi="Times New Roman"/>
          <w:sz w:val="24"/>
          <w:szCs w:val="24"/>
          <w:highlight w:val="white"/>
        </w:rPr>
      </w:pPr>
      <w:r w:rsidDel="00000000" w:rsidR="00000000" w:rsidRPr="00000000">
        <w:rPr>
          <w:rtl w:val="0"/>
        </w:rPr>
      </w:r>
    </w:p>
    <w:tbl>
      <w:tblPr>
        <w:tblStyle w:val="Table1"/>
        <w:tblW w:w="3885.0" w:type="dxa"/>
        <w:jc w:val="left"/>
        <w:tblInd w:w="80.0" w:type="pct"/>
        <w:tblBorders>
          <w:top w:color="000000" w:space="0" w:sz="6" w:val="single"/>
          <w:left w:color="000000" w:space="0" w:sz="0" w:val="nil"/>
          <w:bottom w:color="000000" w:space="0" w:sz="6" w:val="single"/>
          <w:right w:color="000000" w:space="0" w:sz="0" w:val="nil"/>
        </w:tblBorders>
        <w:tblLayout w:type="fixed"/>
        <w:tblLook w:val="0600"/>
      </w:tblPr>
      <w:tblGrid>
        <w:gridCol w:w="1035"/>
        <w:gridCol w:w="2850"/>
        <w:tblGridChange w:id="0">
          <w:tblGrid>
            <w:gridCol w:w="1035"/>
            <w:gridCol w:w="2850"/>
          </w:tblGrid>
        </w:tblGridChange>
      </w:tblGrid>
      <w:tr>
        <w:trPr>
          <w:trHeight w:val="400" w:hRule="atLeast"/>
        </w:trPr>
        <w:tc>
          <w:tcPr>
            <w:vMerge w:val="restart"/>
            <w:tcBorders>
              <w:top w:color="000000" w:space="0" w:sz="0" w:val="nil"/>
              <w:left w:color="000000" w:space="0" w:sz="0" w:val="nil"/>
              <w:bottom w:color="000000" w:space="0" w:sz="0" w:val="nil"/>
              <w:right w:color="000000" w:space="0" w:sz="0" w:val="nil"/>
            </w:tcBorders>
            <w:tcMar>
              <w:top w:w="40.0" w:type="dxa"/>
              <w:left w:w="80.0" w:type="dxa"/>
              <w:bottom w:w="40.0" w:type="dxa"/>
              <w:right w:w="80.0" w:type="dxa"/>
            </w:tcMar>
            <w:vAlign w:val="top"/>
          </w:tcPr>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560" w:before="300" w:line="360" w:lineRule="auto"/>
              <w:ind w:left="0" w:right="0" w:firstLine="0"/>
              <w:jc w:val="left"/>
              <w:rPr>
                <w:rFonts w:ascii="Times New Roman" w:cs="Times New Roman" w:eastAsia="Times New Roman" w:hAnsi="Times New Roman"/>
                <w:sz w:val="24"/>
                <w:szCs w:val="24"/>
                <w:highlight w:val="whit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80.0" w:type="dxa"/>
              <w:bottom w:w="40.0" w:type="dxa"/>
              <w:right w:w="80.0" w:type="dxa"/>
            </w:tcMar>
            <w:vAlign w:val="top"/>
          </w:tcPr>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560" w:before="300" w:line="360" w:lineRule="auto"/>
              <w:ind w:left="0" w:right="0" w:firstLine="0"/>
              <w:jc w:val="left"/>
              <w:rPr>
                <w:rFonts w:ascii="Times New Roman" w:cs="Times New Roman" w:eastAsia="Times New Roman" w:hAnsi="Times New Roman"/>
                <w:sz w:val="24"/>
                <w:szCs w:val="24"/>
                <w:highlight w:val="white"/>
              </w:rPr>
            </w:pPr>
            <w:r w:rsidDel="00000000" w:rsidR="00000000" w:rsidRPr="00000000">
              <w:rPr>
                <w:rtl w:val="0"/>
              </w:rPr>
            </w:r>
          </w:p>
        </w:tc>
      </w:tr>
      <w:tr>
        <w:trPr>
          <w:trHeight w:val="400" w:hRule="atLeast"/>
        </w:trPr>
        <w:tc>
          <w:tcPr>
            <w:vMerge w:val="continue"/>
            <w:tcBorders>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560" w:before="300" w:line="360" w:lineRule="auto"/>
              <w:ind w:left="0" w:right="0" w:firstLine="0"/>
              <w:jc w:val="left"/>
              <w:rPr>
                <w:rFonts w:ascii="Times New Roman" w:cs="Times New Roman" w:eastAsia="Times New Roman" w:hAnsi="Times New Roman"/>
                <w:sz w:val="24"/>
                <w:szCs w:val="24"/>
                <w:highlight w:val="whit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80.0" w:type="dxa"/>
              <w:bottom w:w="40.0" w:type="dxa"/>
              <w:right w:w="80.0" w:type="dxa"/>
            </w:tcMar>
            <w:vAlign w:val="top"/>
          </w:tcPr>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560" w:before="300" w:line="360" w:lineRule="auto"/>
              <w:ind w:left="0" w:right="0" w:firstLine="0"/>
              <w:jc w:val="left"/>
              <w:rPr>
                <w:rFonts w:ascii="Times New Roman" w:cs="Times New Roman" w:eastAsia="Times New Roman" w:hAnsi="Times New Roman"/>
                <w:sz w:val="24"/>
                <w:szCs w:val="24"/>
                <w:highlight w:val="white"/>
              </w:rPr>
            </w:pPr>
            <w:r w:rsidDel="00000000" w:rsidR="00000000" w:rsidRPr="00000000">
              <w:rPr>
                <w:rtl w:val="0"/>
              </w:rPr>
            </w:r>
          </w:p>
        </w:tc>
      </w:tr>
      <w:tr>
        <w:trPr>
          <w:trHeight w:val="400" w:hRule="atLeast"/>
        </w:trPr>
        <w:tc>
          <w:tcPr>
            <w:vMerge w:val="restart"/>
            <w:tcBorders>
              <w:top w:color="000000" w:space="0" w:sz="0" w:val="nil"/>
              <w:left w:color="000000" w:space="0" w:sz="0" w:val="nil"/>
              <w:bottom w:color="000000" w:space="0" w:sz="0" w:val="nil"/>
              <w:right w:color="000000" w:space="0" w:sz="0" w:val="nil"/>
            </w:tcBorders>
            <w:shd w:fill="auto" w:val="clear"/>
            <w:tcMar>
              <w:top w:w="40.0" w:type="dxa"/>
              <w:left w:w="80.0" w:type="dxa"/>
              <w:bottom w:w="40.0" w:type="dxa"/>
              <w:right w:w="80.0" w:type="dxa"/>
            </w:tcMar>
            <w:vAlign w:val="top"/>
          </w:tcPr>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560" w:before="300" w:line="360" w:lineRule="auto"/>
              <w:ind w:left="0" w:right="0" w:firstLine="0"/>
              <w:jc w:val="left"/>
              <w:rPr>
                <w:rFonts w:ascii="Times New Roman" w:cs="Times New Roman" w:eastAsia="Times New Roman" w:hAnsi="Times New Roman"/>
                <w:sz w:val="24"/>
                <w:szCs w:val="24"/>
                <w:highlight w:val="whit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80.0" w:type="dxa"/>
              <w:bottom w:w="40.0" w:type="dxa"/>
              <w:right w:w="80.0" w:type="dxa"/>
            </w:tcMar>
            <w:vAlign w:val="top"/>
          </w:tcPr>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560" w:before="300" w:line="360" w:lineRule="auto"/>
              <w:ind w:left="0" w:right="0" w:firstLine="0"/>
              <w:jc w:val="left"/>
              <w:rPr>
                <w:rFonts w:ascii="Times New Roman" w:cs="Times New Roman" w:eastAsia="Times New Roman" w:hAnsi="Times New Roman"/>
                <w:sz w:val="24"/>
                <w:szCs w:val="24"/>
                <w:highlight w:val="white"/>
              </w:rPr>
            </w:pPr>
            <w:r w:rsidDel="00000000" w:rsidR="00000000" w:rsidRPr="00000000">
              <w:rPr>
                <w:rtl w:val="0"/>
              </w:rPr>
            </w:r>
          </w:p>
        </w:tc>
      </w:tr>
      <w:tr>
        <w:trPr>
          <w:trHeight w:val="400" w:hRule="atLeast"/>
        </w:trPr>
        <w:tc>
          <w:tcPr>
            <w:vMerge w:val="continue"/>
            <w:tcBorders>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560" w:before="300" w:line="360" w:lineRule="auto"/>
              <w:ind w:left="0" w:right="0" w:firstLine="0"/>
              <w:jc w:val="left"/>
              <w:rPr>
                <w:rFonts w:ascii="Times New Roman" w:cs="Times New Roman" w:eastAsia="Times New Roman" w:hAnsi="Times New Roman"/>
                <w:sz w:val="24"/>
                <w:szCs w:val="24"/>
                <w:highlight w:val="whit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80.0" w:type="dxa"/>
              <w:bottom w:w="40.0" w:type="dxa"/>
              <w:right w:w="80.0" w:type="dxa"/>
            </w:tcMar>
            <w:vAlign w:val="top"/>
          </w:tcPr>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560" w:before="300" w:line="360" w:lineRule="auto"/>
              <w:ind w:left="0" w:right="0" w:firstLine="0"/>
              <w:jc w:val="left"/>
              <w:rPr>
                <w:rFonts w:ascii="Times New Roman" w:cs="Times New Roman" w:eastAsia="Times New Roman" w:hAnsi="Times New Roman"/>
                <w:sz w:val="24"/>
                <w:szCs w:val="24"/>
                <w:highlight w:val="white"/>
              </w:rPr>
            </w:pPr>
            <w:r w:rsidDel="00000000" w:rsidR="00000000" w:rsidRPr="00000000">
              <w:rPr>
                <w:rtl w:val="0"/>
              </w:rPr>
            </w:r>
          </w:p>
        </w:tc>
      </w:tr>
      <w:tr>
        <w:trPr>
          <w:trHeight w:val="400" w:hRule="atLeast"/>
        </w:trPr>
        <w:tc>
          <w:tcPr>
            <w:vMerge w:val="continue"/>
            <w:tcBorders>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560" w:before="300" w:line="360" w:lineRule="auto"/>
              <w:ind w:left="0" w:right="0" w:firstLine="0"/>
              <w:jc w:val="left"/>
              <w:rPr>
                <w:rFonts w:ascii="Times New Roman" w:cs="Times New Roman" w:eastAsia="Times New Roman" w:hAnsi="Times New Roman"/>
                <w:sz w:val="24"/>
                <w:szCs w:val="24"/>
                <w:highlight w:val="whit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40.0" w:type="dxa"/>
              <w:left w:w="80.0" w:type="dxa"/>
              <w:bottom w:w="40.0" w:type="dxa"/>
              <w:right w:w="80.0" w:type="dxa"/>
            </w:tcMar>
            <w:vAlign w:val="top"/>
          </w:tcPr>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560" w:before="300" w:line="360" w:lineRule="auto"/>
              <w:ind w:left="0" w:right="0" w:firstLine="0"/>
              <w:jc w:val="left"/>
              <w:rPr>
                <w:rFonts w:ascii="Times New Roman" w:cs="Times New Roman" w:eastAsia="Times New Roman" w:hAnsi="Times New Roman"/>
                <w:sz w:val="24"/>
                <w:szCs w:val="24"/>
                <w:highlight w:val="white"/>
              </w:rPr>
            </w:pPr>
            <w:r w:rsidDel="00000000" w:rsidR="00000000" w:rsidRPr="00000000">
              <w:rPr>
                <w:rtl w:val="0"/>
              </w:rPr>
            </w:r>
          </w:p>
        </w:tc>
      </w:tr>
    </w:tbl>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560" w:before="300" w:line="360" w:lineRule="auto"/>
        <w:ind w:left="0" w:right="0" w:firstLine="0"/>
        <w:jc w:val="left"/>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560" w:before="300" w:line="360" w:lineRule="auto"/>
        <w:ind w:left="0" w:right="0" w:firstLine="0"/>
        <w:jc w:val="left"/>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560" w:before="300" w:line="360" w:lineRule="auto"/>
        <w:ind w:left="0" w:right="0" w:firstLine="0"/>
        <w:jc w:val="left"/>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560" w:before="300" w:line="360" w:lineRule="auto"/>
        <w:ind w:left="0" w:right="0" w:firstLine="0"/>
        <w:jc w:val="left"/>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560" w:before="300" w:line="360" w:lineRule="auto"/>
        <w:ind w:left="0" w:right="0" w:firstLine="0"/>
        <w:jc w:val="left"/>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sectPr>
      <w:pgSz w:h="16834" w:w="11909"/>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