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The Sample solution was prepared six times and </w:t>
      </w:r>
      <w:proofErr w:type="spellStart"/>
      <w:r w:rsidRPr="006369D7">
        <w:rPr>
          <w:rFonts w:ascii="Times New Roman" w:hAnsi="Times New Roman" w:cs="Times New Roman"/>
          <w:sz w:val="27"/>
          <w:szCs w:val="27"/>
          <w:lang w:val="en-US"/>
        </w:rPr>
        <w:t>analysed</w:t>
      </w:r>
      <w:proofErr w:type="spell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according to the analytical procedure.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>The indicator of repeatability is the relative standard deviation (RSD %) of impurity D and total related substances content.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Since the results of impurity D in the Sample solution are below the Quantitation limit (QL), the method precision </w:t>
      </w:r>
      <w:proofErr w:type="gramStart"/>
      <w:r w:rsidRPr="006369D7">
        <w:rPr>
          <w:rFonts w:ascii="Times New Roman" w:hAnsi="Times New Roman" w:cs="Times New Roman"/>
          <w:sz w:val="27"/>
          <w:szCs w:val="27"/>
          <w:lang w:val="en-US"/>
        </w:rPr>
        <w:t>was performed</w:t>
      </w:r>
      <w:proofErr w:type="gram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six times using the spiked sample at 0.3 % of impurity D relative to the working concentration of amlodipine in Sample solution.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The linearity of the relationship between the test results (peak areas, y) and the concentration (x) of diluted series of amlodipine </w:t>
      </w:r>
      <w:proofErr w:type="spellStart"/>
      <w:r w:rsidRPr="006369D7">
        <w:rPr>
          <w:rFonts w:ascii="Times New Roman" w:hAnsi="Times New Roman" w:cs="Times New Roman"/>
          <w:sz w:val="27"/>
          <w:szCs w:val="27"/>
          <w:lang w:val="en-US"/>
        </w:rPr>
        <w:t>besilate</w:t>
      </w:r>
      <w:proofErr w:type="spell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Standard solutions were examined in the range from about 0.08 µg/mL (corresponds to Quantitation limit (QL) of amlodipine) to about 4.1 µg/mL (corresponds to about 1 % relative to the working concentration in the Sample solution).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The solutions </w:t>
      </w:r>
      <w:proofErr w:type="gramStart"/>
      <w:r w:rsidRPr="006369D7">
        <w:rPr>
          <w:rFonts w:ascii="Times New Roman" w:hAnsi="Times New Roman" w:cs="Times New Roman"/>
          <w:sz w:val="27"/>
          <w:szCs w:val="27"/>
          <w:lang w:val="en-US"/>
        </w:rPr>
        <w:t>were injected</w:t>
      </w:r>
      <w:proofErr w:type="gram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three times.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A visual evaluation (graphical presentation of data and residuals) and a calculation of linear regression (slope, intercept, intercept in </w:t>
      </w:r>
      <w:proofErr w:type="gramStart"/>
      <w:r w:rsidRPr="006369D7">
        <w:rPr>
          <w:rFonts w:ascii="Times New Roman" w:hAnsi="Times New Roman" w:cs="Times New Roman"/>
          <w:sz w:val="27"/>
          <w:szCs w:val="27"/>
          <w:lang w:val="en-US"/>
        </w:rPr>
        <w:t>%</w:t>
      </w:r>
      <w:proofErr w:type="gram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(bias), calculation of correlation coefficient) were performed.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Accuracy </w:t>
      </w:r>
      <w:proofErr w:type="gramStart"/>
      <w:r w:rsidRPr="006369D7">
        <w:rPr>
          <w:rFonts w:ascii="Times New Roman" w:hAnsi="Times New Roman" w:cs="Times New Roman"/>
          <w:sz w:val="27"/>
          <w:szCs w:val="27"/>
          <w:lang w:val="en-US"/>
        </w:rPr>
        <w:t>was validated</w:t>
      </w:r>
      <w:proofErr w:type="gram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by </w:t>
      </w:r>
      <w:proofErr w:type="spellStart"/>
      <w:r w:rsidRPr="006369D7">
        <w:rPr>
          <w:rFonts w:ascii="Times New Roman" w:hAnsi="Times New Roman" w:cs="Times New Roman"/>
          <w:sz w:val="27"/>
          <w:szCs w:val="27"/>
          <w:lang w:val="en-US"/>
        </w:rPr>
        <w:t>analysing</w:t>
      </w:r>
      <w:proofErr w:type="spell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a synthetic mixture of drug product components (placebo) with losartan potassium standard at the working concentration (2 mg/mL), to which were added known amounts of amlodipine </w:t>
      </w:r>
      <w:proofErr w:type="spellStart"/>
      <w:r w:rsidRPr="006369D7">
        <w:rPr>
          <w:rFonts w:ascii="Times New Roman" w:hAnsi="Times New Roman" w:cs="Times New Roman"/>
          <w:sz w:val="27"/>
          <w:szCs w:val="27"/>
          <w:lang w:val="en-US"/>
        </w:rPr>
        <w:t>besilate</w:t>
      </w:r>
      <w:proofErr w:type="spell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standard relative to the working concentration of amlodipine in the Sample solution prescribed in the analytical procedure.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Three Sample solutions at reporting level, at specification limit and 150 % of specification limit for unknown related substances were prepared and </w:t>
      </w:r>
      <w:proofErr w:type="spellStart"/>
      <w:r w:rsidRPr="006369D7">
        <w:rPr>
          <w:rFonts w:ascii="Times New Roman" w:hAnsi="Times New Roman" w:cs="Times New Roman"/>
          <w:sz w:val="27"/>
          <w:szCs w:val="27"/>
          <w:lang w:val="en-US"/>
        </w:rPr>
        <w:t>analysed</w:t>
      </w:r>
      <w:proofErr w:type="spellEnd"/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 once.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In rodents, the two enantiomers of pantoprazole inhibited </w:t>
      </w:r>
      <w:proofErr w:type="spellStart"/>
      <w:r w:rsidRPr="006369D7">
        <w:rPr>
          <w:rFonts w:ascii="Times New Roman" w:hAnsi="Times New Roman" w:cs="Times New Roman"/>
          <w:sz w:val="27"/>
          <w:szCs w:val="27"/>
          <w:lang w:val="en-US"/>
        </w:rPr>
        <w:t>pentagastrin</w:t>
      </w:r>
      <w:proofErr w:type="spellEnd"/>
      <w:r w:rsidRPr="006369D7">
        <w:rPr>
          <w:rFonts w:ascii="Times New Roman" w:hAnsi="Times New Roman" w:cs="Times New Roman"/>
          <w:sz w:val="27"/>
          <w:szCs w:val="27"/>
          <w:lang w:val="en-US"/>
        </w:rPr>
        <w:t>-induced gastric acid secretion in a dose-dependent manner.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>The intravenous ED50 values of the (+) and (-) enantiomers were 0.15 and 0.145 mg/kg, respectively.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>IV pretreatment with pantoprazole inhibited 2-deoxy-d-glucose-stimulated gastric secretion.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Secretory volume </w:t>
      </w:r>
      <w:proofErr w:type="gramStart"/>
      <w:r w:rsidRPr="006369D7">
        <w:rPr>
          <w:rFonts w:ascii="Times New Roman" w:hAnsi="Times New Roman" w:cs="Times New Roman"/>
          <w:sz w:val="27"/>
          <w:szCs w:val="27"/>
          <w:lang w:val="en-US"/>
        </w:rPr>
        <w:t>was decreased</w:t>
      </w:r>
      <w:proofErr w:type="gramEnd"/>
      <w:r w:rsidRPr="006369D7">
        <w:rPr>
          <w:rFonts w:ascii="Times New Roman" w:hAnsi="Times New Roman" w:cs="Times New Roman"/>
          <w:sz w:val="27"/>
          <w:szCs w:val="27"/>
          <w:lang w:val="en-US"/>
        </w:rPr>
        <w:t>, but acid concentration was unaffected.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>The ED50 values for inhibition of secretory volume and acid output were identical at 0.25 mg/kg.</w:t>
      </w:r>
    </w:p>
    <w:p w:rsidR="006369D7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 xml:space="preserve">Likewise, pantoprazole IV inhibited </w:t>
      </w:r>
      <w:proofErr w:type="spellStart"/>
      <w:r w:rsidRPr="006369D7">
        <w:rPr>
          <w:rFonts w:ascii="Times New Roman" w:hAnsi="Times New Roman" w:cs="Times New Roman"/>
          <w:sz w:val="27"/>
          <w:szCs w:val="27"/>
          <w:lang w:val="en-US"/>
        </w:rPr>
        <w:t>bethanechol</w:t>
      </w:r>
      <w:proofErr w:type="spellEnd"/>
      <w:r w:rsidRPr="006369D7">
        <w:rPr>
          <w:rFonts w:ascii="Times New Roman" w:hAnsi="Times New Roman" w:cs="Times New Roman"/>
          <w:sz w:val="27"/>
          <w:szCs w:val="27"/>
          <w:lang w:val="en-US"/>
        </w:rPr>
        <w:t>- induced gastric acid secretion in a dose-dependent manner.</w:t>
      </w:r>
    </w:p>
    <w:p w:rsidR="00CF1104" w:rsidRPr="006369D7" w:rsidRDefault="006369D7" w:rsidP="006369D7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369D7">
        <w:rPr>
          <w:rFonts w:ascii="Times New Roman" w:hAnsi="Times New Roman" w:cs="Times New Roman"/>
          <w:sz w:val="27"/>
          <w:szCs w:val="27"/>
          <w:lang w:val="en-US"/>
        </w:rPr>
        <w:t>ED50 values for inhibition of secretory volume and acid output were identical at 0.5 mg/kg.</w:t>
      </w:r>
      <w:bookmarkStart w:id="0" w:name="_GoBack"/>
      <w:bookmarkEnd w:id="0"/>
    </w:p>
    <w:sectPr w:rsidR="00CF1104" w:rsidRPr="0063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D7"/>
    <w:rsid w:val="006369D7"/>
    <w:rsid w:val="00C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0CC8-7955-42B8-8233-A759A51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2019-02-20T14:42:00Z</dcterms:created>
  <dcterms:modified xsi:type="dcterms:W3CDTF">2019-02-20T14:43:00Z</dcterms:modified>
</cp:coreProperties>
</file>