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4B1A" w14:textId="77777777" w:rsidR="00AB29C4" w:rsidRDefault="00AB29C4" w:rsidP="00AB29C4">
      <w:pPr>
        <w:pStyle w:val="a3"/>
        <w:spacing w:before="0" w:beforeAutospacing="0" w:after="0" w:afterAutospacing="0"/>
        <w:jc w:val="center"/>
      </w:pPr>
      <w:r>
        <w:rPr>
          <w:b/>
          <w:bCs/>
          <w:color w:val="000000"/>
          <w:sz w:val="28"/>
          <w:szCs w:val="28"/>
        </w:rPr>
        <w:t>ЗАХИСТ ПРАВ ВНУТРІШНЬО ПЕРЕМІЩЕНИХ ОСІБ</w:t>
      </w:r>
    </w:p>
    <w:p w14:paraId="55AD18CF" w14:textId="77777777" w:rsidR="00AB29C4" w:rsidRDefault="00AB29C4" w:rsidP="00AB29C4">
      <w:pPr>
        <w:pStyle w:val="a3"/>
        <w:spacing w:before="0" w:beforeAutospacing="0" w:after="0" w:afterAutospacing="0"/>
        <w:ind w:firstLine="709"/>
        <w:jc w:val="both"/>
      </w:pPr>
      <w:r>
        <w:rPr>
          <w:color w:val="000000"/>
          <w:sz w:val="28"/>
          <w:szCs w:val="28"/>
        </w:rPr>
        <w:t>Внутрішньо переміщені особи (далі – ВПО) на сьогодні є соціально незахищеною категорією, що потребує захисту як на національному, так і на міжнародному рівні. Їх наявність – проблема не лише конкретної держави (громадянства таких осіб чи місця їх постійного проживання), а й міжнародної спільноти в цілому. Законодавчі та процедурні заходи, соціальні програми, вжиті на національному рівні, їх неефективність або й узагалі відсутність, як показав приклад України, свідчать про те, що зусиль органів державної влади явно недостатньо для реалізації права на соціальний захист. Однією з можливостей для забезпечення цього права є звернення до Європейського суду з прав людини (далі – ЄСПЛ). Цей спосіб захисту вважається більш-менш перспективним, оскільки рівень довіри до органів державної влади в Україні є досить низьким, а міжнародна спільнота більшу увагу приділяє біженцям. Заявники апелюють до порушень прав людини, задекларованих Європейською конвенцією, шукаючи виходу з глухого кута. Проте, на жаль, держави, зокрема Україна, ухиляються від виконання рішень цього органу та питання ефективності міжнародного захисту прав ВПО залишається невирішеним.</w:t>
      </w:r>
    </w:p>
    <w:p w14:paraId="6C9D9A68" w14:textId="77777777" w:rsidR="00AB29C4" w:rsidRDefault="00AB29C4" w:rsidP="00AB29C4">
      <w:pPr>
        <w:pStyle w:val="a3"/>
        <w:spacing w:before="0" w:beforeAutospacing="0" w:after="0" w:afterAutospacing="0"/>
        <w:ind w:firstLine="709"/>
        <w:jc w:val="both"/>
      </w:pPr>
      <w:r>
        <w:rPr>
          <w:color w:val="000000"/>
          <w:sz w:val="28"/>
          <w:szCs w:val="28"/>
        </w:rPr>
        <w:t>ВПО, перш за все, є внутрішньою проблемою конкретної держави [2, с. 11]. Їх соціальний захист – це конституційне право та одне з важливих завдань внутрішньої політики. Але, на жаль, саме через це міжнародна спільнота приділяє їм менше уваги, ніж біженцям. Ігнорування проблем ВПО, однозначно, знижує рівень захисту прав людини міжнародною спільнотою в цілому.</w:t>
      </w:r>
    </w:p>
    <w:p w14:paraId="7539867B" w14:textId="77777777" w:rsidR="00AB29C4" w:rsidRDefault="00AB29C4" w:rsidP="00AB29C4">
      <w:pPr>
        <w:pStyle w:val="a3"/>
        <w:spacing w:before="0" w:beforeAutospacing="0" w:after="0" w:afterAutospacing="0"/>
        <w:ind w:firstLine="709"/>
        <w:jc w:val="both"/>
      </w:pPr>
      <w:r>
        <w:rPr>
          <w:color w:val="000000"/>
          <w:sz w:val="28"/>
          <w:szCs w:val="28"/>
        </w:rPr>
        <w:t>ВПО отримували допомогу в обмежених розмірах. У цій сфері активно працював Міжнародний Комітет Червоного Хреста, який виступав у якості гаранта Женевських конвенцій. У більшості випадків ВПО не входили в компетенцію міжнародного співтовариства. Окрім того, виходу даної проблеми на міжнародний рівень заважало традиційне уявлення про державний суверенітет [3, с. 19-20]. Перекладати обов’язок соціального захисту ВПО виключно на держави місця постійного проживання/громадянства небезпечно, адже рівень виконання такого обов’язку залишається досить низьким, а за такої ситуації вони стають абсолютно беззахисними.</w:t>
      </w:r>
    </w:p>
    <w:p w14:paraId="3AE922E1" w14:textId="77777777" w:rsidR="00AB29C4" w:rsidRDefault="00AB29C4" w:rsidP="00AB29C4">
      <w:pPr>
        <w:pStyle w:val="a3"/>
        <w:spacing w:before="0" w:beforeAutospacing="0" w:after="0" w:afterAutospacing="0"/>
        <w:ind w:firstLine="709"/>
        <w:jc w:val="both"/>
      </w:pPr>
      <w:r>
        <w:rPr>
          <w:color w:val="000000"/>
          <w:sz w:val="28"/>
          <w:szCs w:val="28"/>
        </w:rPr>
        <w:t>Найчастіше ВПО щодо соціального захисту в заявах до ЄСПЛ апелюють до порушення статей 3 (заборона такого, що принижує гідність, поводження чи покарання), 6 (право на справедливий суд, зокрема на доступ до суду), 8 (право на повагу до особистого та сімейного життя), 14 (заборона дискримінації), 1 Протоколу 1 (захист власності) Конвенції [4].</w:t>
      </w:r>
    </w:p>
    <w:p w14:paraId="1CEBF7DE" w14:textId="77777777" w:rsidR="00AB29C4" w:rsidRDefault="00AB29C4" w:rsidP="00AB29C4">
      <w:pPr>
        <w:pStyle w:val="a3"/>
        <w:spacing w:before="0" w:beforeAutospacing="0" w:after="0" w:afterAutospacing="0"/>
        <w:ind w:firstLine="709"/>
        <w:jc w:val="both"/>
      </w:pPr>
      <w:r>
        <w:rPr>
          <w:color w:val="000000"/>
          <w:sz w:val="28"/>
          <w:szCs w:val="28"/>
        </w:rPr>
        <w:t xml:space="preserve">Оскільки пріоритетом Європейської конвенції [4] є захист прав людини першого покоління (громадянські та політичні), то захист права на соціальний захист ВПО підпадає насамперед під статтю 14 Конвенції. Наприклад, у справі «Секеровіч та Пасаліч проти Боснії та Герцеговини» Суд зазначив, що заявник, який повернувся з Республіки Сербія до Боснії та Герцеговини, потрапив під дискримінацію, у порівнянні з пенсіонерами, які залишилися і проживали в Боснії та Герцеговині під час війни [5]. У своїй практиці Суд встановив, що </w:t>
      </w:r>
      <w:r>
        <w:rPr>
          <w:color w:val="000000"/>
          <w:sz w:val="28"/>
          <w:szCs w:val="28"/>
        </w:rPr>
        <w:lastRenderedPageBreak/>
        <w:t>лише відмінності в ставленні, засновані на характеристиках або статусі, які можуть бути визначені, можуть вважатися дискримінацією відповідно до положень статті 14. Це значно обмежує заявників зі статусом ВПО в можливостях реалізації права на соціальний захист. </w:t>
      </w:r>
    </w:p>
    <w:p w14:paraId="2390C93B" w14:textId="77777777" w:rsidR="00AB29C4" w:rsidRDefault="00AB29C4" w:rsidP="00AB29C4">
      <w:pPr>
        <w:pStyle w:val="a3"/>
        <w:spacing w:before="0" w:beforeAutospacing="0" w:after="0" w:afterAutospacing="0"/>
        <w:ind w:firstLine="709"/>
        <w:jc w:val="both"/>
      </w:pPr>
      <w:r>
        <w:rPr>
          <w:color w:val="000000"/>
          <w:sz w:val="28"/>
          <w:szCs w:val="28"/>
        </w:rPr>
        <w:t>Недопущення дискримінації є основоположною засадою захисту прав ВПО (відповідно до Керівних принципів ООН щодо ВПО [5]). Попри те, що ВПО є проблемою конкретної держави, ці принципи містять значно ширший перелік гарантій, ніж ЗУ «Про забезпечення прав і свобод внутрішньо переміщених осіб» (у законі немає таких гарантій як захист від примусового переміщення, злочинів проти людства, насильства та запобігання можливому переміщенню [6]). До того ж автори доповіді Ради Європи «Вдосконалення національного законодавства України щодо захисту прав людини внутрішньо переміщених осіб» вважають процедуру визнання статусу ВПО і облік таких осіб (стаття 4 ЗУ) забюрократизованими. Вони висловлюють позицію, що статус має не проходити певну процедуру визнання, а бути. Я розділяю їхню думку, оскільки соціальний захист ВПО має нагальний та терміновий характер, а надмірне очікування певних бюрократичних процедур погіршує ефективність реалізації. Але загалом досліджуваний закон відповідає принципам соціальної держави. Соціальний захист ВПО, відповідно до національного законодавства та міжнародних договорів включає: право на достатній життєвий рівень (достатнє харчування, вода, одяг, житло), охорону здоров’я, освіту, працевлаштування, соціальні виплати (пенсії тощо), власність, свободу пересування. </w:t>
      </w:r>
    </w:p>
    <w:p w14:paraId="04849E26" w14:textId="77777777" w:rsidR="00AB29C4" w:rsidRDefault="00AB29C4" w:rsidP="00AB29C4">
      <w:pPr>
        <w:pStyle w:val="a3"/>
        <w:spacing w:before="0" w:beforeAutospacing="0" w:after="0" w:afterAutospacing="0"/>
        <w:ind w:firstLine="709"/>
        <w:jc w:val="both"/>
      </w:pPr>
      <w:r>
        <w:rPr>
          <w:color w:val="000000"/>
          <w:sz w:val="28"/>
          <w:szCs w:val="28"/>
        </w:rPr>
        <w:t>Попри якісне тлумачення права на соціальний захист ЄСПЛ, гарний рівень аргументації, актуальною залишається проблема виконання судових рішень. У 2018 році Європейський суд з прав людини (ЄСПЛ) найбільше рішень про порушення прав людини оголосив щодо Росії, Україна – третя з-поміж 47 країн-членів Ради Європи [7]. Майже 10 тисяч рішень Європейського суду з прав людини, що охоплюють 46 країн, не були приведені у виконання національними урядами [8]. Ці факти ставлять під істотний сумнів ефективність роботи ЄСПЛ. Його рішення мають бути не лише аргументованою констатацією порушення, а й дієвим механізмом усунення цих порушень. Така статистика свідчить про те, що контрольний механізм виконання рішень ЄСПЛ потребує суттєвого вдосконалення. За значного невиконання рішень ЄСПЛ ВПО остаточно втратять надію на досягнення належного рівня забезпечення їхніх прав. </w:t>
      </w:r>
    </w:p>
    <w:p w14:paraId="6EB3D6BE" w14:textId="77777777" w:rsidR="00AB29C4" w:rsidRDefault="00AB29C4" w:rsidP="00AB29C4">
      <w:pPr>
        <w:pStyle w:val="a3"/>
        <w:spacing w:before="0" w:beforeAutospacing="0" w:after="0" w:afterAutospacing="0"/>
        <w:ind w:firstLine="709"/>
        <w:jc w:val="both"/>
      </w:pPr>
      <w:r>
        <w:rPr>
          <w:color w:val="000000"/>
          <w:sz w:val="28"/>
          <w:szCs w:val="28"/>
        </w:rPr>
        <w:t>Отже, як з’ясувалося, досить мало уваги в міжнародній спільноті приділено питанням соціального захисту ВПО порівняно з іншими соціально незахищеними категоріями (зокрема біженцями). Але рішення ЄСПЛ надають державам із ВПО ідеї щодо створення національних механізмів захисту цієї категорії осіб, певних соціальних програм. Звернення до практики цього міжнародного суду дає змогу знайти оптимальні шляхи вирішення соціальних проблем і сприяє повазі та захисту прав людини певною державою в цілому.</w:t>
      </w:r>
    </w:p>
    <w:p w14:paraId="0442270C" w14:textId="77777777" w:rsidR="00AB29C4" w:rsidRDefault="00AB29C4" w:rsidP="00AB29C4">
      <w:pPr>
        <w:pStyle w:val="a3"/>
        <w:spacing w:before="0" w:beforeAutospacing="0" w:after="0" w:afterAutospacing="0"/>
        <w:ind w:firstLine="709"/>
        <w:jc w:val="both"/>
      </w:pPr>
      <w:r>
        <w:rPr>
          <w:b/>
          <w:bCs/>
          <w:color w:val="000000"/>
          <w:sz w:val="28"/>
          <w:szCs w:val="28"/>
        </w:rPr>
        <w:t>Список використаних джерел:</w:t>
      </w:r>
    </w:p>
    <w:p w14:paraId="78E099C0" w14:textId="77777777" w:rsidR="00AB29C4" w:rsidRDefault="00AB29C4" w:rsidP="00AB29C4">
      <w:pPr>
        <w:pStyle w:val="a3"/>
        <w:spacing w:before="0" w:beforeAutospacing="0" w:after="0" w:afterAutospacing="0"/>
        <w:ind w:firstLine="709"/>
        <w:jc w:val="both"/>
      </w:pPr>
      <w:r>
        <w:rPr>
          <w:color w:val="000000"/>
          <w:sz w:val="28"/>
          <w:szCs w:val="28"/>
          <w:shd w:val="clear" w:color="auto" w:fill="FFFFFF"/>
        </w:rPr>
        <w:lastRenderedPageBreak/>
        <w:t>1.Захист прав внутрішньо переміщених осіб: монографія / за заг. ред.: д-ра юрид. наук, проф. О.Я. Рогача; д-ра юрид. наук, проф. М.В. Савчина; к.ю.н, доц. М.В. Менджул. Ужгород: РІК-У, 2018. 268 с.</w:t>
      </w:r>
    </w:p>
    <w:p w14:paraId="5B7742E6" w14:textId="77777777" w:rsidR="00AB29C4" w:rsidRDefault="00AB29C4" w:rsidP="00AB29C4">
      <w:pPr>
        <w:pStyle w:val="a3"/>
        <w:spacing w:before="0" w:beforeAutospacing="0" w:after="0" w:afterAutospacing="0"/>
        <w:ind w:firstLine="709"/>
        <w:jc w:val="both"/>
      </w:pPr>
      <w:r>
        <w:rPr>
          <w:color w:val="000000"/>
          <w:sz w:val="28"/>
          <w:szCs w:val="28"/>
        </w:rPr>
        <w:t>2.Д. В. Скринька. Міжнародний пакт про економічні, соціальні та культурні права 1966 // Українська дипломатична енциклопе- дія: У 2-х т./Редкол.: Л. В. Губерський (голова) та ін. К.: Знання України, 2004. Т.2. 812 с.</w:t>
      </w:r>
    </w:p>
    <w:p w14:paraId="094E5DFB" w14:textId="77777777" w:rsidR="00AB29C4" w:rsidRDefault="00AB29C4" w:rsidP="00AB29C4">
      <w:pPr>
        <w:pStyle w:val="a3"/>
        <w:spacing w:before="0" w:beforeAutospacing="0" w:after="0" w:afterAutospacing="0"/>
        <w:ind w:firstLine="709"/>
        <w:jc w:val="both"/>
      </w:pPr>
      <w:r>
        <w:rPr>
          <w:color w:val="000000"/>
          <w:sz w:val="28"/>
          <w:szCs w:val="28"/>
        </w:rPr>
        <w:t>3. Механізм забезпечення прав внутрішньо переміщених осіб: національний та міжнародний аспекти / [С.Б. Булеца, О.І. Котляр, Я.В. Лазур та ін.]; за заг. ред.: д-ра юрид. наук, проф. О.Я. Рогача; д-ра юрид. наук, проф. М.В. Савчина; к.ю.н., доц. М.В. Менджул. – Ужгород: РІК-У, 2017. – 348 с.</w:t>
      </w:r>
    </w:p>
    <w:p w14:paraId="1E78134B" w14:textId="77777777" w:rsidR="00AB29C4" w:rsidRDefault="00AB29C4" w:rsidP="00AB29C4">
      <w:pPr>
        <w:pStyle w:val="a3"/>
        <w:spacing w:before="0" w:beforeAutospacing="0" w:after="0" w:afterAutospacing="0"/>
        <w:ind w:firstLine="709"/>
        <w:jc w:val="both"/>
      </w:pPr>
      <w:r>
        <w:rPr>
          <w:color w:val="000000"/>
          <w:sz w:val="28"/>
          <w:szCs w:val="28"/>
        </w:rPr>
        <w:t>4. РЄ, Європейська конвенція про захист прав людини і основоположних свобод з поправками, внесеними відповідно до протоколів № 11 та 14, 4 листопада 1950 року, ETS 5.</w:t>
      </w:r>
    </w:p>
    <w:p w14:paraId="7F88E50E" w14:textId="77777777" w:rsidR="00AB29C4" w:rsidRDefault="00AB29C4" w:rsidP="00AB29C4">
      <w:pPr>
        <w:pStyle w:val="a3"/>
        <w:spacing w:before="0" w:beforeAutospacing="0" w:after="0" w:afterAutospacing="0"/>
        <w:ind w:firstLine="709"/>
        <w:jc w:val="both"/>
      </w:pPr>
      <w:r>
        <w:rPr>
          <w:color w:val="000000"/>
          <w:sz w:val="28"/>
          <w:szCs w:val="28"/>
        </w:rPr>
        <w:t>5.Case of Šekerovic and Pasalic v. Bosnia and Herzegovina (Applications nos. 5920/04 and 67396/09). URL: https://hudoc.echr.coe.int/ eng#{%22itemid%22:[%22001-103763%22]} (дата звернення: 14.11.2019).</w:t>
      </w:r>
    </w:p>
    <w:p w14:paraId="41C84EDC" w14:textId="77777777" w:rsidR="00AB29C4" w:rsidRDefault="00AB29C4" w:rsidP="00AB29C4">
      <w:pPr>
        <w:pStyle w:val="a3"/>
        <w:spacing w:before="0" w:beforeAutospacing="0" w:after="0" w:afterAutospacing="0"/>
        <w:ind w:firstLine="709"/>
        <w:jc w:val="both"/>
      </w:pPr>
      <w:r>
        <w:rPr>
          <w:color w:val="000000"/>
          <w:sz w:val="28"/>
          <w:szCs w:val="28"/>
        </w:rPr>
        <w:t>6.Руководящие принципы по вопросу о перемещении лиц внутри страны 1998. URL: http://www.un.org/ru/documents/decl_conv/ conventions/internal_displacement_principles.shtml (дата звернення: 12.05.2019). 19. Про забезпечення прав і свобод внутрішньо переміщених осіб: Закон України від 20 жовтня 2014 р. № 1706-18. Відомості Верховної Ради України. 2015. №1. Ст.1. </w:t>
      </w:r>
    </w:p>
    <w:p w14:paraId="3C8622AB" w14:textId="77777777" w:rsidR="00AB29C4" w:rsidRDefault="00AB29C4" w:rsidP="00AB29C4">
      <w:pPr>
        <w:pStyle w:val="a3"/>
        <w:spacing w:before="0" w:beforeAutospacing="0" w:after="0" w:afterAutospacing="0"/>
        <w:ind w:firstLine="709"/>
        <w:jc w:val="both"/>
      </w:pPr>
      <w:r>
        <w:rPr>
          <w:color w:val="000000"/>
          <w:sz w:val="28"/>
          <w:szCs w:val="28"/>
        </w:rPr>
        <w:t>7. Минулого року найбільше порушень прав людини було у Росії – ЄСПЛ. URL: https://www.ukrinform.ua/rubric-world/2626535- minulogo-roku-najbilse-porusen-prav-ludini-bulo-u-rosii-zvit-espl.html (дата звернення: 14.11.2019). </w:t>
      </w:r>
    </w:p>
    <w:p w14:paraId="00ECBE4F" w14:textId="77777777" w:rsidR="00AB29C4" w:rsidRDefault="00AB29C4" w:rsidP="00AB29C4">
      <w:pPr>
        <w:pStyle w:val="a3"/>
        <w:spacing w:before="0" w:beforeAutospacing="0" w:after="0" w:afterAutospacing="0"/>
        <w:ind w:firstLine="709"/>
        <w:jc w:val="both"/>
      </w:pPr>
      <w:r>
        <w:rPr>
          <w:color w:val="000000"/>
          <w:sz w:val="28"/>
          <w:szCs w:val="28"/>
        </w:rPr>
        <w:t>8. Близько 10 тисяч рішень ЄСПЛ, що охоплюють 46 країн, не були виконані. URL: https://www.eurointegration.com.ua/ news/2017/09/20/7071272/ (дата звернення: 14.11.2019).</w:t>
      </w:r>
    </w:p>
    <w:p w14:paraId="751EDD6D" w14:textId="77777777" w:rsidR="00E230DB" w:rsidRDefault="00E230DB"/>
    <w:sectPr w:rsidR="00E23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40"/>
    <w:rsid w:val="00216D40"/>
    <w:rsid w:val="009A34B1"/>
    <w:rsid w:val="00AB29C4"/>
    <w:rsid w:val="00CB03E5"/>
    <w:rsid w:val="00E230D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A60B8-F3B5-4630-8C99-8708120C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29C4"/>
    <w:pPr>
      <w:spacing w:before="100" w:beforeAutospacing="1" w:after="100" w:afterAutospacing="1" w:line="240" w:lineRule="auto"/>
    </w:pPr>
    <w:rPr>
      <w:rFonts w:ascii="Times New Roman" w:eastAsia="Times New Roman" w:hAnsi="Times New Roman" w:cs="Times New Roman"/>
      <w:kern w:val="0"/>
      <w:sz w:val="24"/>
      <w:szCs w:val="24"/>
      <w:lang w:val="ru-UA" w:eastAsia="ru-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Комфи Комфи</dc:creator>
  <cp:keywords/>
  <dc:description/>
  <cp:lastModifiedBy>Комфи Комфи</cp:lastModifiedBy>
  <cp:revision>2</cp:revision>
  <dcterms:created xsi:type="dcterms:W3CDTF">2023-02-08T18:32:00Z</dcterms:created>
  <dcterms:modified xsi:type="dcterms:W3CDTF">2023-02-08T18:32:00Z</dcterms:modified>
</cp:coreProperties>
</file>