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left"/>
        <w:rPr>
          <w:b w:val="1"/>
          <w:sz w:val="28"/>
          <w:szCs w:val="28"/>
        </w:rPr>
      </w:pPr>
      <w:bookmarkStart w:colFirst="0" w:colLast="0" w:name="_oge1v37he32u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B2B/B2C SaaS, Live Proxies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Category: </w:t>
      </w:r>
      <w:r w:rsidDel="00000000" w:rsidR="00000000" w:rsidRPr="00000000">
        <w:rPr>
          <w:rtl w:val="0"/>
        </w:rPr>
        <w:t xml:space="preserve">B2C/B2B SaaS,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commercial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liveproxies.io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Country: </w:t>
      </w:r>
      <w:r w:rsidDel="00000000" w:rsidR="00000000" w:rsidRPr="00000000">
        <w:rPr>
          <w:rtl w:val="0"/>
        </w:rPr>
        <w:t xml:space="preserve">US</w:t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Budget: $3,500 / 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1.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highly competitive market;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new unknown brand - no paid ads previously;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can only track paid subscriptions (via offline conversions upload).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2. Objective</w:t>
        <w:br w:type="textWrapping"/>
      </w:r>
      <w:r w:rsidDel="00000000" w:rsidR="00000000" w:rsidRPr="00000000">
        <w:rPr>
          <w:rtl w:val="0"/>
        </w:rPr>
        <w:t xml:space="preserve">Maximize subscriptions within the current budget.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Review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US competitors research (manually and with dedicated tools);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Website audit, UI/UX adjustments recommendations.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Work done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Semantic core creation: target search queries, close ones and more with interest intent to form the funnel;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Campaigns split based on the level of market intent and devices;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DSAs, Pmax, video campaign for broader brand awareness;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Brand and competitors campaigns;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Budgets were selected according to devices demand and срс;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After first crucial month of management, we had enough of data to adjust budgets and bidding strategies according to the account performance;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Always unique ad copies for every ad group with maximum symbols usage and dynamic insertions;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Results July ‘23 vs June ‘23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Subscriptions 714 vs 122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Conversions grew by 485%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СРА was $4.25 vs $12.58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6004179" cy="343376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4179" cy="3433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Results October ‘23 - December ‘23 vs July ‘23 - September ‘23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Subscription 7,020 vs 4,216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Conversions grew by 66.5%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СРА was $1.34 vs $2.14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w:drawing>
          <wp:inline distB="114300" distT="114300" distL="114300" distR="114300">
            <wp:extent cx="6010955" cy="28051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955" cy="2805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Conversions grew even in the winter period of decreased demand. All the ongoing jobs and account expansion were focused on conversion growth within the given and only slightly increased budget.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0" w:top="0" w:left="1440.0000000000002" w:right="973.937007874016" w:header="1095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left="-1440" w:right="-930" w:firstLine="0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120150</wp:posOffset>
          </wp:positionV>
          <wp:extent cx="7581900" cy="594225"/>
          <wp:effectExtent b="0" l="0" r="0" t="0"/>
          <wp:wrapNone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62564" l="115" r="7594" t="25096"/>
                  <a:stretch>
                    <a:fillRect/>
                  </a:stretch>
                </pic:blipFill>
                <pic:spPr>
                  <a:xfrm rot="10800000">
                    <a:off x="0" y="0"/>
                    <a:ext cx="7581900" cy="594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635587" cy="635587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5587" cy="6355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liveproxies.io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