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1" w:type="dxa"/>
        <w:tblLayout w:type="fixed"/>
        <w:tblLook w:val="0000" w:firstRow="0" w:lastRow="0" w:firstColumn="0" w:lastColumn="0" w:noHBand="0" w:noVBand="0"/>
      </w:tblPr>
      <w:tblGrid>
        <w:gridCol w:w="5101"/>
        <w:gridCol w:w="38"/>
        <w:gridCol w:w="4558"/>
      </w:tblGrid>
      <w:tr w:rsidR="00F82D4B" w:rsidRPr="00F143D1" w:rsidTr="00016E2B">
        <w:tc>
          <w:tcPr>
            <w:tcW w:w="9697" w:type="dxa"/>
            <w:gridSpan w:val="3"/>
            <w:tcBorders>
              <w:top w:val="single" w:sz="4" w:space="0" w:color="000000"/>
              <w:left w:val="single" w:sz="4" w:space="0" w:color="000000"/>
              <w:bottom w:val="single" w:sz="4" w:space="0" w:color="000000"/>
              <w:right w:val="single" w:sz="4" w:space="0" w:color="000000"/>
            </w:tcBorders>
          </w:tcPr>
          <w:p w:rsidR="00F82D4B" w:rsidRPr="00F143D1" w:rsidRDefault="00F82D4B" w:rsidP="00F143D1">
            <w:pPr>
              <w:snapToGrid w:val="0"/>
              <w:spacing w:line="276" w:lineRule="auto"/>
              <w:jc w:val="center"/>
              <w:rPr>
                <w:rFonts w:ascii="Times New Roman" w:hAnsi="Times New Roman"/>
                <w:b/>
                <w:bCs/>
                <w:sz w:val="24"/>
              </w:rPr>
            </w:pPr>
            <w:r w:rsidRPr="00F143D1">
              <w:rPr>
                <w:rFonts w:ascii="Times New Roman" w:hAnsi="Times New Roman"/>
                <w:b/>
                <w:sz w:val="24"/>
                <w:lang w:val="en-US"/>
              </w:rPr>
              <w:t>Medicine (</w:t>
            </w:r>
            <w:r w:rsidRPr="00F143D1">
              <w:rPr>
                <w:rFonts w:ascii="Times New Roman" w:hAnsi="Times New Roman"/>
                <w:b/>
                <w:sz w:val="24"/>
              </w:rPr>
              <w:t>Медицинская тематика</w:t>
            </w:r>
            <w:r w:rsidRPr="00F143D1">
              <w:rPr>
                <w:rFonts w:ascii="Times New Roman" w:hAnsi="Times New Roman"/>
                <w:b/>
                <w:sz w:val="24"/>
                <w:lang w:val="en-US"/>
              </w:rPr>
              <w:t>)</w:t>
            </w:r>
          </w:p>
        </w:tc>
      </w:tr>
      <w:tr w:rsidR="00F82D4B" w:rsidRPr="00F143D1" w:rsidTr="00F82D4B">
        <w:tc>
          <w:tcPr>
            <w:tcW w:w="5101" w:type="dxa"/>
            <w:tcBorders>
              <w:top w:val="single" w:sz="4" w:space="0" w:color="000000"/>
              <w:left w:val="single" w:sz="4" w:space="0" w:color="000000"/>
              <w:bottom w:val="single" w:sz="4" w:space="0" w:color="000000"/>
              <w:right w:val="single" w:sz="4" w:space="0" w:color="000000"/>
            </w:tcBorders>
          </w:tcPr>
          <w:p w:rsidR="00F82D4B" w:rsidRPr="00F143D1" w:rsidRDefault="00F82D4B" w:rsidP="00F143D1">
            <w:pPr>
              <w:snapToGrid w:val="0"/>
              <w:spacing w:line="276" w:lineRule="auto"/>
              <w:jc w:val="center"/>
              <w:rPr>
                <w:rFonts w:ascii="Times New Roman" w:hAnsi="Times New Roman"/>
                <w:b/>
                <w:sz w:val="24"/>
                <w:lang w:val="uk-UA"/>
              </w:rPr>
            </w:pPr>
            <w:r w:rsidRPr="00F143D1">
              <w:rPr>
                <w:rFonts w:ascii="Times New Roman" w:hAnsi="Times New Roman"/>
                <w:b/>
                <w:color w:val="FF0000"/>
                <w:sz w:val="24"/>
                <w:lang w:val="uk-UA"/>
              </w:rPr>
              <w:t>ОРИГИНАЛ</w:t>
            </w:r>
          </w:p>
        </w:tc>
        <w:tc>
          <w:tcPr>
            <w:tcW w:w="4596" w:type="dxa"/>
            <w:gridSpan w:val="2"/>
            <w:tcBorders>
              <w:top w:val="single" w:sz="4" w:space="0" w:color="000000"/>
              <w:left w:val="single" w:sz="4" w:space="0" w:color="000000"/>
              <w:bottom w:val="single" w:sz="4" w:space="0" w:color="000000"/>
              <w:right w:val="single" w:sz="4" w:space="0" w:color="000000"/>
            </w:tcBorders>
          </w:tcPr>
          <w:p w:rsidR="00F82D4B" w:rsidRPr="00F143D1" w:rsidRDefault="00F82D4B" w:rsidP="00F143D1">
            <w:pPr>
              <w:snapToGrid w:val="0"/>
              <w:spacing w:line="276" w:lineRule="auto"/>
              <w:jc w:val="center"/>
              <w:rPr>
                <w:rFonts w:ascii="Times New Roman" w:hAnsi="Times New Roman"/>
                <w:b/>
                <w:sz w:val="24"/>
                <w:lang w:val="uk-UA"/>
              </w:rPr>
            </w:pPr>
            <w:r w:rsidRPr="00F143D1">
              <w:rPr>
                <w:rFonts w:ascii="Times New Roman" w:hAnsi="Times New Roman"/>
                <w:b/>
                <w:color w:val="FF0000"/>
                <w:sz w:val="24"/>
                <w:lang w:val="uk-UA"/>
              </w:rPr>
              <w:t>ПЕРЕВОД</w:t>
            </w:r>
          </w:p>
        </w:tc>
      </w:tr>
      <w:tr w:rsidR="00F82D4B" w:rsidRPr="00F143D1" w:rsidTr="00016E2B">
        <w:tc>
          <w:tcPr>
            <w:tcW w:w="5139" w:type="dxa"/>
            <w:gridSpan w:val="2"/>
            <w:tcBorders>
              <w:top w:val="single" w:sz="4" w:space="0" w:color="000000"/>
              <w:left w:val="single" w:sz="4" w:space="0" w:color="000000"/>
              <w:bottom w:val="single" w:sz="4" w:space="0" w:color="000000"/>
            </w:tcBorders>
          </w:tcPr>
          <w:p w:rsidR="00F82D4B" w:rsidRPr="00F143D1" w:rsidRDefault="00F82D4B" w:rsidP="00F143D1">
            <w:pPr>
              <w:pStyle w:val="a3"/>
              <w:snapToGrid w:val="0"/>
              <w:spacing w:before="0" w:after="0" w:line="276" w:lineRule="auto"/>
              <w:jc w:val="both"/>
              <w:rPr>
                <w:lang w:val="en-US"/>
              </w:rPr>
            </w:pPr>
            <w:r w:rsidRPr="00F143D1">
              <w:rPr>
                <w:lang w:val="en-US"/>
              </w:rPr>
              <w:t xml:space="preserve">Angina pectoris has a wide range of clinical expressions. The symptoms most often associated to angina pectoris are </w:t>
            </w:r>
            <w:proofErr w:type="spellStart"/>
            <w:r w:rsidRPr="00F143D1">
              <w:rPr>
                <w:lang w:val="en-US"/>
              </w:rPr>
              <w:t>substernal</w:t>
            </w:r>
            <w:proofErr w:type="spellEnd"/>
            <w:r w:rsidRPr="00F143D1">
              <w:rPr>
                <w:lang w:val="en-US"/>
              </w:rPr>
              <w:t xml:space="preserve"> chest pressure or tightening, frequently with radiating pain to the arms, shoulders, or jaw. The symptoms may also be associated with shortness of breath, nausea, or diaphoresis. Symptoms stem from inadequate oxygen delivery to myocardial tissue. No definitive diagnostic tools that capture all patients with angina pectoris exist. This, combined with its varied clinical expression, makes angina pectoris a distinct clinical challenge to the emergency physician.</w:t>
            </w:r>
          </w:p>
          <w:p w:rsidR="00F82D4B" w:rsidRPr="00F143D1" w:rsidRDefault="00F82D4B" w:rsidP="00F143D1">
            <w:pPr>
              <w:pStyle w:val="a3"/>
              <w:spacing w:before="0" w:after="0" w:line="276" w:lineRule="auto"/>
              <w:jc w:val="both"/>
              <w:rPr>
                <w:lang w:val="en-US"/>
              </w:rPr>
            </w:pPr>
          </w:p>
          <w:p w:rsidR="00F82D4B" w:rsidRPr="00F143D1" w:rsidRDefault="00F82D4B" w:rsidP="00F143D1">
            <w:pPr>
              <w:pStyle w:val="a3"/>
              <w:spacing w:before="0" w:after="0" w:line="276" w:lineRule="auto"/>
              <w:jc w:val="both"/>
              <w:rPr>
                <w:bCs/>
                <w:i/>
                <w:lang w:val="en-US"/>
              </w:rPr>
            </w:pPr>
            <w:r w:rsidRPr="00F143D1">
              <w:rPr>
                <w:i/>
                <w:lang w:val="en-US"/>
              </w:rPr>
              <w:t xml:space="preserve">Pathophysiology. </w:t>
            </w:r>
            <w:r w:rsidRPr="00F143D1">
              <w:rPr>
                <w:bCs/>
                <w:i/>
                <w:lang w:val="en-US"/>
              </w:rPr>
              <w:t>Coronary artery narrowing.</w:t>
            </w:r>
          </w:p>
          <w:p w:rsidR="00F82D4B" w:rsidRPr="00F143D1" w:rsidRDefault="00F82D4B" w:rsidP="00F143D1">
            <w:pPr>
              <w:pStyle w:val="a3"/>
              <w:spacing w:before="0" w:after="0" w:line="276" w:lineRule="auto"/>
              <w:jc w:val="both"/>
              <w:rPr>
                <w:lang w:val="en-US"/>
              </w:rPr>
            </w:pPr>
            <w:r w:rsidRPr="00F143D1">
              <w:rPr>
                <w:lang w:val="en-US"/>
              </w:rPr>
              <w:t xml:space="preserve">Coronary artery narrowing appears to be the etiology of cardiac ischemia in the preponderance of cases. This has clinical significance when atherosclerotic disease diminishes or halts blood flow through the coronary arterial circulation, interfering with normal laminar blood flow. The significance of even a small change in the diameter of a blood vessel can be profound. The </w:t>
            </w:r>
            <w:proofErr w:type="spellStart"/>
            <w:r w:rsidRPr="00F143D1">
              <w:rPr>
                <w:lang w:val="en-US"/>
              </w:rPr>
              <w:t>Poiseuille</w:t>
            </w:r>
            <w:proofErr w:type="spellEnd"/>
            <w:r w:rsidRPr="00F143D1">
              <w:rPr>
                <w:lang w:val="en-US"/>
              </w:rPr>
              <w:t xml:space="preserve"> law predicts this outcome—the rate of flow is decreased exponentially by any change in the radius of the lumen. As with a smaller pediatric airway, even relatively minute changes in diameter have dramatic consequences in flow rates. Thus, when a lumen is narrowed by one fifth, the flow rate is decreased by about one half. This predicts that even a small change in a coronary artery plaque size can affect the oxygenation through that vessel's territory.</w:t>
            </w:r>
          </w:p>
          <w:p w:rsidR="00F82D4B" w:rsidRPr="00F143D1" w:rsidRDefault="00F82D4B" w:rsidP="00F143D1">
            <w:pPr>
              <w:pStyle w:val="a3"/>
              <w:spacing w:before="0" w:after="0" w:line="276" w:lineRule="auto"/>
              <w:jc w:val="both"/>
              <w:rPr>
                <w:lang w:val="en-US"/>
              </w:rPr>
            </w:pPr>
            <w:r w:rsidRPr="00F143D1">
              <w:rPr>
                <w:lang w:val="en-US"/>
              </w:rPr>
              <w:t xml:space="preserve">The </w:t>
            </w:r>
            <w:proofErr w:type="spellStart"/>
            <w:r w:rsidRPr="00F143D1">
              <w:rPr>
                <w:lang w:val="en-US"/>
              </w:rPr>
              <w:t>epicardial</w:t>
            </w:r>
            <w:proofErr w:type="spellEnd"/>
            <w:r w:rsidRPr="00F143D1">
              <w:rPr>
                <w:lang w:val="en-US"/>
              </w:rPr>
              <w:t xml:space="preserve"> vessel, where atherosclerosis often takes place, has the capacity to dilate via </w:t>
            </w:r>
            <w:proofErr w:type="spellStart"/>
            <w:r w:rsidRPr="00F143D1">
              <w:rPr>
                <w:lang w:val="en-US"/>
              </w:rPr>
              <w:t>autoregulatory</w:t>
            </w:r>
            <w:proofErr w:type="spellEnd"/>
            <w:r w:rsidRPr="00F143D1">
              <w:rPr>
                <w:lang w:val="en-US"/>
              </w:rPr>
              <w:t xml:space="preserve"> mechanisms to respond to increased demand. Angina occurs as this compensatory mechanism is overwhelmed either by large plaques (typically considered 70% or greater obstruction) or by significantly increased myocardial demand.</w:t>
            </w:r>
          </w:p>
        </w:tc>
        <w:tc>
          <w:tcPr>
            <w:tcW w:w="4558" w:type="dxa"/>
            <w:tcBorders>
              <w:top w:val="single" w:sz="4" w:space="0" w:color="000000"/>
              <w:left w:val="single" w:sz="4" w:space="0" w:color="000000"/>
              <w:bottom w:val="single" w:sz="4" w:space="0" w:color="000000"/>
              <w:right w:val="single" w:sz="4" w:space="0" w:color="000000"/>
            </w:tcBorders>
          </w:tcPr>
          <w:p w:rsidR="00F82D4B" w:rsidRPr="00F143D1" w:rsidRDefault="00F82D4B" w:rsidP="00F143D1">
            <w:pPr>
              <w:snapToGrid w:val="0"/>
              <w:spacing w:line="276" w:lineRule="auto"/>
              <w:jc w:val="both"/>
              <w:rPr>
                <w:rFonts w:ascii="Times New Roman" w:hAnsi="Times New Roman"/>
                <w:bCs/>
                <w:sz w:val="24"/>
                <w:lang w:val="uk-UA"/>
              </w:rPr>
            </w:pPr>
            <w:r w:rsidRPr="00F143D1">
              <w:rPr>
                <w:rFonts w:ascii="Times New Roman" w:hAnsi="Times New Roman"/>
                <w:bCs/>
                <w:sz w:val="24"/>
                <w:lang w:val="uk-UA"/>
              </w:rPr>
              <w:t>Стенокардія має широке коло клінічних проявів. Найбільш поширеними симптомами, пов’язаними зі стенокардією, є наступні: відчуття тиску або стягування за грудиною, часто з іррадіацією болю в руки, плечі або щелепу. Симптоми також можуть супроводжуватися задишкою, нудотою або підвищеним потовиділенням. Обумовлює ці симптоми недостатнє надходження кисню до тканин міокарду. Чітко визначених діагностичних критеріїв, притаманних усім пацієнтам, хворим на стенокардію, немає. Ця обставина у поєднанні з різноманіттям клінічних проявів стенокардії робить значний клінічний виклик лікарю швидкої допомоги.</w:t>
            </w:r>
          </w:p>
          <w:p w:rsidR="00F82D4B" w:rsidRPr="00F143D1" w:rsidRDefault="00F82D4B" w:rsidP="00F143D1">
            <w:pPr>
              <w:snapToGrid w:val="0"/>
              <w:spacing w:line="276" w:lineRule="auto"/>
              <w:jc w:val="both"/>
              <w:rPr>
                <w:rFonts w:ascii="Times New Roman" w:hAnsi="Times New Roman"/>
                <w:bCs/>
                <w:sz w:val="24"/>
                <w:lang w:val="uk-UA"/>
              </w:rPr>
            </w:pPr>
          </w:p>
          <w:p w:rsidR="00F82D4B" w:rsidRPr="00F143D1" w:rsidRDefault="00F82D4B" w:rsidP="00F143D1">
            <w:pPr>
              <w:snapToGrid w:val="0"/>
              <w:spacing w:line="276" w:lineRule="auto"/>
              <w:jc w:val="both"/>
              <w:rPr>
                <w:rFonts w:ascii="Times New Roman" w:hAnsi="Times New Roman"/>
                <w:bCs/>
                <w:i/>
                <w:sz w:val="24"/>
                <w:lang w:val="uk-UA"/>
              </w:rPr>
            </w:pPr>
            <w:r w:rsidRPr="00F143D1">
              <w:rPr>
                <w:rFonts w:ascii="Times New Roman" w:hAnsi="Times New Roman"/>
                <w:bCs/>
                <w:i/>
                <w:sz w:val="24"/>
                <w:lang w:val="uk-UA"/>
              </w:rPr>
              <w:t>Патофізіологія. Звуження просвіту коронарних артерій.</w:t>
            </w:r>
          </w:p>
          <w:p w:rsidR="00F82D4B" w:rsidRPr="00F143D1" w:rsidRDefault="00F82D4B" w:rsidP="00F143D1">
            <w:pPr>
              <w:snapToGrid w:val="0"/>
              <w:spacing w:line="276" w:lineRule="auto"/>
              <w:jc w:val="both"/>
              <w:rPr>
                <w:rFonts w:ascii="Times New Roman" w:hAnsi="Times New Roman"/>
                <w:bCs/>
                <w:sz w:val="24"/>
                <w:lang w:val="uk-UA"/>
              </w:rPr>
            </w:pPr>
            <w:r w:rsidRPr="00F143D1">
              <w:rPr>
                <w:rFonts w:ascii="Times New Roman" w:hAnsi="Times New Roman"/>
                <w:bCs/>
                <w:sz w:val="24"/>
                <w:lang w:val="uk-UA"/>
              </w:rPr>
              <w:t xml:space="preserve">Звуження просвіту коронарних артерій є імовірною етіологічною причиною серцевої ішемії в переважній більшості випадків. Це має клінічне значення у випадках, коли атеросклеротична хвороба призводить до зменшення чи зупинки коронарного артеріального кровообігу, перешкоджаючи нормальному ламінарному потоку крові. Навіть невелика зміна діаметру кровоносної судини може мати істотне значення. Це значення відображає закон Пуазейля, згідно з яким швидкість потоку зменшується в експоненційній залежності від зміни радіусу просвіту. Те саме стосується менших за розміром дитячих дихальних шляхів, коли навіть хвилинні зміни діаметру можуть призвести до суттєвих змін у швидкості потоку. Отже, коли просвіт звужено на одну п’яту, швидкість потоку знижується приблизно наполовину. Це передбачає, що навіть незначна зміна розміру бляшки коронарної артерії може впливати на </w:t>
            </w:r>
            <w:r w:rsidRPr="00F143D1">
              <w:rPr>
                <w:rFonts w:ascii="Times New Roman" w:hAnsi="Times New Roman"/>
                <w:bCs/>
                <w:sz w:val="24"/>
                <w:lang w:val="uk-UA"/>
              </w:rPr>
              <w:lastRenderedPageBreak/>
              <w:t xml:space="preserve">рівень оксигенації ділянки, в якій вона забезпечує </w:t>
            </w:r>
            <w:bookmarkStart w:id="0" w:name="_GoBack"/>
            <w:bookmarkEnd w:id="0"/>
            <w:r w:rsidRPr="00F143D1">
              <w:rPr>
                <w:rFonts w:ascii="Times New Roman" w:hAnsi="Times New Roman"/>
                <w:bCs/>
                <w:sz w:val="24"/>
                <w:lang w:val="uk-UA"/>
              </w:rPr>
              <w:t>кровопостачання. Епікардіальні судини, в яких часто розвивається атеросклероз, мають здатність розширюватись у відповідь на збільшення кисневої потреби шляхом реалізації механізмів ауторегуляції. Стенокардія виникає у тому разі, коли компенсаторний механізм виявляється неспроможним через великий розмір бляшок (який зазвичай становить обструкцію в 70% і більше) або через значне підвищення кисневої потреби з боку міокарду.</w:t>
            </w:r>
          </w:p>
        </w:tc>
      </w:tr>
    </w:tbl>
    <w:p w:rsidR="00AA3884" w:rsidRPr="007A4F6F" w:rsidRDefault="00AA3884">
      <w:pPr>
        <w:rPr>
          <w:lang w:val="uk-UA"/>
        </w:rPr>
      </w:pPr>
    </w:p>
    <w:sectPr w:rsidR="00AA3884" w:rsidRPr="007A4F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F9B"/>
    <w:rsid w:val="005E0F9B"/>
    <w:rsid w:val="007A4F6F"/>
    <w:rsid w:val="00AA3884"/>
    <w:rsid w:val="00F143D1"/>
    <w:rsid w:val="00F82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6F"/>
    <w:pPr>
      <w:widowControl w:val="0"/>
      <w:suppressAutoHyphens/>
      <w:spacing w:after="0" w:line="240" w:lineRule="auto"/>
    </w:pPr>
    <w:rPr>
      <w:rFonts w:ascii="Arial" w:eastAsia="Lucida Sans Unicode" w:hAnsi="Arial" w:cs="Mangal"/>
      <w:kern w:val="2"/>
      <w:sz w:val="20"/>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A4F6F"/>
    <w:pPr>
      <w:widowControl/>
      <w:spacing w:before="280" w:after="280"/>
    </w:pPr>
    <w:rPr>
      <w:rFonts w:ascii="Times New Roman" w:eastAsia="Times New Roman" w:hAnsi="Times New Roman" w:cs="Calibri"/>
      <w:kern w:val="0"/>
      <w:sz w:val="24"/>
      <w:lang w:val="uk-UA"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6F"/>
    <w:pPr>
      <w:widowControl w:val="0"/>
      <w:suppressAutoHyphens/>
      <w:spacing w:after="0" w:line="240" w:lineRule="auto"/>
    </w:pPr>
    <w:rPr>
      <w:rFonts w:ascii="Arial" w:eastAsia="Lucida Sans Unicode" w:hAnsi="Arial" w:cs="Mangal"/>
      <w:kern w:val="2"/>
      <w:sz w:val="20"/>
      <w:szCs w:val="24"/>
      <w:lang w:val="ru-RU"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7A4F6F"/>
    <w:pPr>
      <w:widowControl/>
      <w:spacing w:before="280" w:after="280"/>
    </w:pPr>
    <w:rPr>
      <w:rFonts w:ascii="Times New Roman" w:eastAsia="Times New Roman" w:hAnsi="Times New Roman" w:cs="Calibri"/>
      <w:kern w:val="0"/>
      <w:sz w:val="24"/>
      <w:lang w:val="uk-UA"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04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2462</Words>
  <Characters>1404</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Галочка</dc:creator>
  <cp:keywords/>
  <dc:description/>
  <cp:lastModifiedBy>Галочка</cp:lastModifiedBy>
  <cp:revision>2</cp:revision>
  <dcterms:created xsi:type="dcterms:W3CDTF">2014-04-17T16:32:00Z</dcterms:created>
  <dcterms:modified xsi:type="dcterms:W3CDTF">2014-04-17T16:37:00Z</dcterms:modified>
</cp:coreProperties>
</file>