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9C" w:rsidRPr="00846F9C" w:rsidRDefault="00846F9C" w:rsidP="00846F9C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1. Теоретичні засади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функції фінансового менеджменту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 Сутність та основні завдання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1.2 Основні концепції фінансового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його основні види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 Інструменти та методи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 2. Оцінка стану</w:t>
      </w:r>
      <w:r w:rsidRPr="0084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ВАТ </w:t>
      </w: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 період санації за допомогою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контролінга</w:t>
      </w:r>
      <w:proofErr w:type="spellEnd"/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 Аналіз фінансового стану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 умовах санації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 </w:t>
      </w:r>
      <w:r w:rsidRPr="00846F9C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val="uk-UA" w:eastAsia="ru-RU"/>
        </w:rPr>
        <w:t>Аналіз ефективності роботи підприємства і ділової активності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Дискримінантні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моделі прогнозування банкрутства на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3 Шляхи вдосконалення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системі попередження банкрутства на прикладі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846F9C" w:rsidRPr="00846F9C" w:rsidRDefault="00846F9C" w:rsidP="00846F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3.1 Досвід іноземної компанії Microsoft щодо запровадження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</w:p>
    <w:p w:rsidR="00846F9C" w:rsidRPr="00846F9C" w:rsidRDefault="00846F9C" w:rsidP="00846F9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3.2 Пропозиції щодо втілення системи 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контролінгу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 метою попередження банкрутства</w:t>
      </w:r>
    </w:p>
    <w:p w:rsidR="00846F9C" w:rsidRPr="00846F9C" w:rsidRDefault="00846F9C" w:rsidP="00846F9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ВИСНОВКИ</w:t>
      </w:r>
    </w:p>
    <w:p w:rsidR="00846F9C" w:rsidRPr="00846F9C" w:rsidRDefault="00846F9C" w:rsidP="00846F9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СПИСОК ВИКОРИСТАНИХ ДЖЕРЕЛ</w:t>
      </w:r>
    </w:p>
    <w:p w:rsidR="00846F9C" w:rsidRPr="00846F9C" w:rsidRDefault="00846F9C" w:rsidP="00846F9C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ДОДАТКИ</w:t>
      </w:r>
    </w:p>
    <w:p w:rsidR="00846F9C" w:rsidRDefault="00846F9C">
      <w:pPr>
        <w:sectPr w:rsidR="00846F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РОЗДІЛ 2</w:t>
      </w: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ОЦІНКА СТАНУ ВАТ «ГОРЛІВСЬКИЙ ЗАВОД «РЕММАШ» В ПЕРІОД САНАЦІЇ ЗА ДОПОМОГОЮ КОНТРОЛІНГУ</w:t>
      </w: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Підрозділ 2.1 Аналіз фінансового стану ВАТ «</w:t>
      </w:r>
      <w:proofErr w:type="spellStart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 в умовах санації</w:t>
      </w: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ВАТ «</w:t>
      </w:r>
      <w:proofErr w:type="spellStart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підприємство, яке спеціалізується на виробництві та ремонті машин, обладнання для добувної промисловості та будівництва. З травня 2003 року на заводі введена процедура санації. </w:t>
      </w:r>
    </w:p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Низький рівень оборотних коштів підприємства змушує підприємство працювати за давальницькою схемою, що значною мірою знижує прибутковість підприємства. Завантаження виробничих потужностей становить 10 %. Передано в оренду: - ВАТ "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Рутченкiвський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"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Гiрмаш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 2 цеха; - НПП "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Спецвуглемаш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 1 цех. Істотні проблеми у діяльності - це відсутність комплектування портфеля замовлень у зв'язку з неплатоспроможністю підприємств вугільної промисловості, відсутність достатньої кількості кваліфікованих робітників основного виробництва у зв'язку з низьким рівнем заробітної плати за тяжких умов праці.</w:t>
      </w:r>
    </w:p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Фінансовий стан підприємства характеризується складом і розміщенням засобів, структурою їх джерел, швидкістю обороту капіталу, здатністю підприємства погашати свої зобов’язання в строк і в повному обсязі.</w:t>
      </w:r>
    </w:p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Даний аналіз необхідний для оцінки задовільності структури балансу, можливості віднесення підприємства до категорії банкрутів, а також для оцінки можливості відновлення платоспроможності за певний період. Результати аналізу багато в чому визначають доцільність процедур з відновлення, їх характер і спрямованість.</w:t>
      </w:r>
    </w:p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 аналізу майна підприємства (табл. 2.1) видно, що менеджмент компанії працює незадовільно, оскільки спостерігається щорічне зменшення активів підприємства: В 2008 – на 18,87%, а в 2009 аж на 26,33%. Також спостерігається поступова зміна структури майна підприємства – частка необоротних активів з року в рік збільшується: за підсумками 2007 року питома вага необоротних активів складала 32,08%, на кінець 2008 – 38,16%, а в 2009 – 49,91%. Також спостерігається значне зменшення оборотних активів в загальній структурі: на початок 2008 року їх питома вага становила 67,92%, а вже на кінець 2009 року – 50,09%. Сума товарної дебіторської заборгованості на кінець 2008 року становила </w:t>
      </w: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14022 тис. грн. або 28,18%, а на  кінець 2009 – 5921 тис. грн. або 16,15%. Це є досить позитивним результатом, оскільки підприємству вдалося отримати кошти за продану продукцію, внаслідок чого сума грошових коштів у національній валюті збільшилася до 50 тис. грн. порівняно з 8 тис. грн. у попередньому році. Підвищилась інше поточна дебіторська заборгованість з 120 тис. грн. у 2008 до 140 тис. грн. у 2009 році.</w:t>
      </w:r>
    </w:p>
    <w:p w:rsidR="00846F9C" w:rsidRPr="00846F9C" w:rsidRDefault="00846F9C" w:rsidP="00846F9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пасиву балансу (табл.2.2)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показав що структура пасиву за досліджуваний період не досить оптимальна. Оскільки відрахувань до резервного фонду не проводилося взагалі. На кінець 2007 року підприємство отримало непокритий збиток у розмірі 27231 тис. грн., на кінець 2008 року ця сума становила – 28900 тис. грн., на кінець 2009 – аж 42994 тис. грн. Збільшилися відстрочені податкові зобов’язання з 1235 тис. грн. до 1458 тис. грн., що ще раз підтверджує те, що підприємство не отримувало прибуток, тому щороку відкладає сплату до бюджету податку на прибуток.</w:t>
      </w:r>
    </w:p>
    <w:p w:rsidR="00846F9C" w:rsidRPr="00846F9C" w:rsidRDefault="00846F9C" w:rsidP="00846F9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Короткострокові кредити банку протягом 2007-2009 років не змінювалися і становили 171 тис. грн. Позитивним результатом є значне зменшення у 2 рази кредиторської заборгованості за товари, роботи, послуги з 14456 тис. грн. на кінець 2007 року до 7831 </w:t>
      </w:r>
      <w:proofErr w:type="spellStart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тис.грн</w:t>
      </w:r>
      <w:proofErr w:type="spellEnd"/>
      <w:r w:rsidRPr="00846F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на кінець 2009 року.</w:t>
      </w:r>
    </w:p>
    <w:p w:rsidR="00846F9C" w:rsidRPr="00846F9C" w:rsidRDefault="00846F9C" w:rsidP="00846F9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sectPr w:rsidR="00846F9C" w:rsidRPr="00846F9C" w:rsidSect="006D19DB">
          <w:pgSz w:w="11906" w:h="16838"/>
          <w:pgMar w:top="1134" w:right="567" w:bottom="1134" w:left="1701" w:header="709" w:footer="709" w:gutter="0"/>
          <w:cols w:space="708"/>
          <w:docGrid w:linePitch="435"/>
        </w:sectPr>
      </w:pPr>
    </w:p>
    <w:p w:rsidR="00846F9C" w:rsidRPr="00846F9C" w:rsidRDefault="00846F9C" w:rsidP="00846F9C">
      <w:pPr>
        <w:keepNext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Таблиця 2.1</w:t>
      </w:r>
    </w:p>
    <w:p w:rsidR="00846F9C" w:rsidRPr="00846F9C" w:rsidRDefault="00846F9C" w:rsidP="00846F9C">
      <w:pPr>
        <w:keepNext/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Аналіз майна ВАТ «</w:t>
      </w:r>
      <w:proofErr w:type="spellStart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Горлівський</w:t>
      </w:r>
      <w:proofErr w:type="spellEnd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завод «</w:t>
      </w:r>
      <w:proofErr w:type="spellStart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Реммаш</w:t>
      </w:r>
      <w:proofErr w:type="spellEnd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» за 2008-2009 </w:t>
      </w:r>
      <w:proofErr w:type="spellStart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рр</w:t>
      </w:r>
      <w:proofErr w:type="spellEnd"/>
      <w:r w:rsidRPr="00846F9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tbl>
      <w:tblPr>
        <w:tblW w:w="14897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423"/>
        <w:gridCol w:w="992"/>
        <w:gridCol w:w="993"/>
        <w:gridCol w:w="992"/>
        <w:gridCol w:w="992"/>
        <w:gridCol w:w="1134"/>
        <w:gridCol w:w="851"/>
        <w:gridCol w:w="1134"/>
        <w:gridCol w:w="992"/>
        <w:gridCol w:w="1134"/>
        <w:gridCol w:w="1134"/>
        <w:gridCol w:w="992"/>
        <w:gridCol w:w="1134"/>
      </w:tblGrid>
      <w:tr w:rsidR="00846F9C" w:rsidRPr="00846F9C" w:rsidTr="00A26BD9">
        <w:trPr>
          <w:trHeight w:val="315"/>
        </w:trPr>
        <w:tc>
          <w:tcPr>
            <w:tcW w:w="24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Актив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2008 року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кін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2008 року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Відхилення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кін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.</w:t>
            </w: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2009 року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Відхилення</w:t>
            </w:r>
            <w:proofErr w:type="spellEnd"/>
          </w:p>
        </w:tc>
      </w:tr>
      <w:tr w:rsidR="00846F9C" w:rsidRPr="00846F9C" w:rsidTr="00A26BD9">
        <w:trPr>
          <w:trHeight w:val="495"/>
        </w:trPr>
        <w:tc>
          <w:tcPr>
            <w:tcW w:w="24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абсолютне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Відносне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в. 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абсолютне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Відносне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в. п.</w:t>
            </w:r>
          </w:p>
        </w:tc>
      </w:tr>
      <w:tr w:rsidR="00846F9C" w:rsidRPr="00846F9C" w:rsidTr="00A26BD9">
        <w:trPr>
          <w:trHeight w:val="42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Нематеріальні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активи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залишкова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0</w:t>
            </w:r>
          </w:p>
        </w:tc>
      </w:tr>
      <w:tr w:rsidR="00846F9C" w:rsidRPr="00846F9C" w:rsidTr="00A26BD9">
        <w:trPr>
          <w:trHeight w:val="18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будівництво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5,74</w:t>
            </w:r>
          </w:p>
        </w:tc>
      </w:tr>
      <w:tr w:rsidR="00846F9C" w:rsidRPr="00846F9C" w:rsidTr="00A26BD9">
        <w:trPr>
          <w:trHeight w:val="41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засоби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залишкова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6,01</w:t>
            </w:r>
          </w:p>
        </w:tc>
      </w:tr>
      <w:tr w:rsidR="00846F9C" w:rsidRPr="00846F9C" w:rsidTr="00A26BD9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11,75</w:t>
            </w:r>
          </w:p>
        </w:tc>
      </w:tr>
      <w:tr w:rsidR="00846F9C" w:rsidRPr="00846F9C" w:rsidTr="00A26BD9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Виробничі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запаси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-3,51</w:t>
            </w:r>
          </w:p>
        </w:tc>
      </w:tr>
      <w:tr w:rsidR="00846F9C" w:rsidRPr="00846F9C" w:rsidTr="00A26BD9">
        <w:trPr>
          <w:trHeight w:val="317"/>
        </w:trPr>
        <w:tc>
          <w:tcPr>
            <w:tcW w:w="2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виробництво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</w:tr>
      <w:tr w:rsidR="00846F9C" w:rsidRPr="00846F9C" w:rsidTr="00A26BD9">
        <w:trPr>
          <w:trHeight w:val="137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Готова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продукція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0,53</w:t>
            </w:r>
          </w:p>
        </w:tc>
      </w:tr>
      <w:tr w:rsidR="00846F9C" w:rsidRPr="00846F9C" w:rsidTr="00A26BD9">
        <w:trPr>
          <w:trHeight w:val="28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Векселі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</w:tr>
      <w:tr w:rsidR="00846F9C" w:rsidRPr="00846F9C" w:rsidTr="00A26BD9">
        <w:trPr>
          <w:trHeight w:val="315"/>
        </w:trPr>
        <w:tc>
          <w:tcPr>
            <w:tcW w:w="148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Дебіторська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заборгованість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846F9C" w:rsidRPr="00846F9C" w:rsidTr="00A26BD9">
        <w:trPr>
          <w:trHeight w:val="264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чиста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реалізаційна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вартість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-12,03</w:t>
            </w:r>
          </w:p>
        </w:tc>
      </w:tr>
      <w:tr w:rsidR="00846F9C" w:rsidRPr="00846F9C" w:rsidTr="00A26BD9">
        <w:trPr>
          <w:trHeight w:val="315"/>
        </w:trPr>
        <w:tc>
          <w:tcPr>
            <w:tcW w:w="148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Дебіторська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заборгованість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рахунками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846F9C" w:rsidRPr="00846F9C" w:rsidTr="00A26BD9">
        <w:trPr>
          <w:trHeight w:val="216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 бюджетом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-0,01</w:t>
            </w:r>
          </w:p>
        </w:tc>
      </w:tr>
      <w:tr w:rsidR="00846F9C" w:rsidRPr="00846F9C" w:rsidTr="00A26BD9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виданими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авансами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-6077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1,30</w:t>
            </w:r>
          </w:p>
        </w:tc>
      </w:tr>
      <w:tr w:rsidR="00846F9C" w:rsidRPr="00846F9C" w:rsidTr="00A26BD9">
        <w:trPr>
          <w:trHeight w:val="351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Інша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поточна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дебіторська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</w:tr>
      <w:tr w:rsidR="00846F9C" w:rsidRPr="00846F9C" w:rsidTr="00A26BD9">
        <w:trPr>
          <w:trHeight w:val="210"/>
        </w:trPr>
        <w:tc>
          <w:tcPr>
            <w:tcW w:w="148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Грошові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кошти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їх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еквіваленти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</w:tr>
      <w:tr w:rsidR="00846F9C" w:rsidRPr="00846F9C" w:rsidTr="00A26BD9">
        <w:trPr>
          <w:trHeight w:val="303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в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національній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валюті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</w:t>
            </w:r>
          </w:p>
        </w:tc>
      </w:tr>
      <w:tr w:rsidR="00846F9C" w:rsidRPr="00846F9C" w:rsidTr="00A26BD9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оборотні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активи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</w:tr>
      <w:tr w:rsidR="00846F9C" w:rsidRPr="00846F9C" w:rsidTr="00A26BD9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-10894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-11,74</w:t>
            </w:r>
          </w:p>
        </w:tc>
      </w:tr>
      <w:tr w:rsidR="00846F9C" w:rsidRPr="00846F9C" w:rsidTr="00A26BD9">
        <w:trPr>
          <w:trHeight w:val="12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Витрати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майбутніх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періоді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-0,01</w:t>
            </w:r>
          </w:p>
        </w:tc>
      </w:tr>
      <w:tr w:rsidR="00846F9C" w:rsidRPr="00846F9C" w:rsidTr="00A26BD9">
        <w:trPr>
          <w:trHeight w:val="22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Баланс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846F9C" w:rsidRPr="00846F9C" w:rsidRDefault="00846F9C" w:rsidP="00846F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6F9C" w:rsidRPr="00846F9C" w:rsidRDefault="00846F9C" w:rsidP="00846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846F9C" w:rsidRPr="00846F9C" w:rsidRDefault="00846F9C" w:rsidP="00846F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Таблиця 2.2</w:t>
      </w:r>
    </w:p>
    <w:p w:rsidR="00846F9C" w:rsidRPr="00846F9C" w:rsidRDefault="00846F9C" w:rsidP="0084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джерел фінансування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 2008-2009 роки</w:t>
      </w:r>
    </w:p>
    <w:tbl>
      <w:tblPr>
        <w:tblW w:w="14589" w:type="dxa"/>
        <w:jc w:val="center"/>
        <w:tblInd w:w="95" w:type="dxa"/>
        <w:tblLayout w:type="fixed"/>
        <w:tblLook w:val="04A0" w:firstRow="1" w:lastRow="0" w:firstColumn="1" w:lastColumn="0" w:noHBand="0" w:noVBand="1"/>
      </w:tblPr>
      <w:tblGrid>
        <w:gridCol w:w="2278"/>
        <w:gridCol w:w="993"/>
        <w:gridCol w:w="992"/>
        <w:gridCol w:w="992"/>
        <w:gridCol w:w="851"/>
        <w:gridCol w:w="1134"/>
        <w:gridCol w:w="992"/>
        <w:gridCol w:w="992"/>
        <w:gridCol w:w="992"/>
        <w:gridCol w:w="993"/>
        <w:gridCol w:w="1134"/>
        <w:gridCol w:w="1134"/>
        <w:gridCol w:w="1112"/>
      </w:tblGrid>
      <w:tr w:rsidR="00846F9C" w:rsidRPr="00846F9C" w:rsidTr="00A26BD9">
        <w:trPr>
          <w:trHeight w:val="250"/>
          <w:jc w:val="center"/>
        </w:trPr>
        <w:tc>
          <w:tcPr>
            <w:tcW w:w="2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Пасив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початок 2008 року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кінець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2008 року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Відхилення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кінець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2009 року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Відхилення</w:t>
            </w:r>
            <w:proofErr w:type="spellEnd"/>
          </w:p>
        </w:tc>
      </w:tr>
      <w:tr w:rsidR="00846F9C" w:rsidRPr="00846F9C" w:rsidTr="00A26BD9">
        <w:trPr>
          <w:trHeight w:val="338"/>
          <w:jc w:val="center"/>
        </w:trPr>
        <w:tc>
          <w:tcPr>
            <w:tcW w:w="2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абсолютне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Відносне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в. 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сума,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вага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абсолютне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тис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Відносне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питом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вазі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в. п.</w:t>
            </w:r>
          </w:p>
        </w:tc>
      </w:tr>
      <w:tr w:rsidR="00846F9C" w:rsidRPr="00846F9C" w:rsidTr="00A26BD9">
        <w:trPr>
          <w:trHeight w:val="31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Статутний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капітал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</w:tr>
      <w:tr w:rsidR="00846F9C" w:rsidRPr="00846F9C" w:rsidTr="00A26BD9">
        <w:trPr>
          <w:trHeight w:val="338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Інший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додатковий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капітал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0,17</w:t>
            </w:r>
          </w:p>
        </w:tc>
      </w:tr>
      <w:tr w:rsidR="00846F9C" w:rsidRPr="00846F9C" w:rsidTr="00A26BD9">
        <w:trPr>
          <w:trHeight w:val="211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капітал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46F9C" w:rsidRPr="00846F9C" w:rsidTr="00A26BD9">
        <w:trPr>
          <w:trHeight w:val="489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Нерозподілений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прибуток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непокритий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збиток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-27231,00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-42994,00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148,77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-0,59</w:t>
            </w:r>
          </w:p>
        </w:tc>
      </w:tr>
      <w:tr w:rsidR="00846F9C" w:rsidRPr="00846F9C" w:rsidTr="00A26BD9">
        <w:trPr>
          <w:trHeight w:val="179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-1669,00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-10404,00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-14094,00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-281,95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-0,36</w:t>
            </w:r>
          </w:p>
        </w:tc>
      </w:tr>
      <w:tr w:rsidR="00846F9C" w:rsidRPr="00846F9C" w:rsidTr="00A26BD9">
        <w:trPr>
          <w:trHeight w:val="26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46F9C" w:rsidRPr="00846F9C" w:rsidTr="00A26BD9">
        <w:trPr>
          <w:trHeight w:val="31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Відстрочені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податкові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зобов’язання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118,06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846F9C" w:rsidRPr="00846F9C" w:rsidTr="00A26BD9">
        <w:trPr>
          <w:trHeight w:val="389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Інші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довгосторокові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зобов'язання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846F9C" w:rsidRPr="00846F9C" w:rsidTr="00A26BD9">
        <w:trPr>
          <w:trHeight w:val="247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111,11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</w:tr>
      <w:tr w:rsidR="00846F9C" w:rsidRPr="00846F9C" w:rsidTr="00A26BD9">
        <w:trPr>
          <w:trHeight w:val="317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Короткострокові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банкі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46F9C" w:rsidRPr="00846F9C" w:rsidTr="00A26BD9">
        <w:trPr>
          <w:trHeight w:val="258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Векселі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видан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846F9C" w:rsidRPr="00846F9C" w:rsidTr="00A26BD9">
        <w:trPr>
          <w:trHeight w:val="45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Кредиторська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заборгованість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товари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роботи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послуги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-14543,00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-0,24</w:t>
            </w:r>
          </w:p>
        </w:tc>
      </w:tr>
      <w:tr w:rsidR="00846F9C" w:rsidRPr="00846F9C" w:rsidTr="00A26BD9">
        <w:trPr>
          <w:trHeight w:val="157"/>
          <w:jc w:val="center"/>
        </w:trPr>
        <w:tc>
          <w:tcPr>
            <w:tcW w:w="145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Поточні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зобов'язання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розрахунками</w:t>
            </w:r>
            <w:proofErr w:type="spellEnd"/>
          </w:p>
        </w:tc>
      </w:tr>
      <w:tr w:rsidR="00846F9C" w:rsidRPr="00846F9C" w:rsidTr="00A26BD9">
        <w:trPr>
          <w:trHeight w:val="23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одержаних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авансі</w:t>
            </w:r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-19595,00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846F9C" w:rsidRPr="00846F9C" w:rsidTr="00A26BD9">
        <w:trPr>
          <w:trHeight w:val="178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4965,00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120,01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</w:tr>
      <w:tr w:rsidR="00846F9C" w:rsidRPr="00846F9C" w:rsidTr="00A26BD9">
        <w:trPr>
          <w:trHeight w:val="315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846F9C" w:rsidRPr="00846F9C" w:rsidTr="00A26BD9">
        <w:trPr>
          <w:trHeight w:val="236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з оплати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праці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104,96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0,01</w:t>
            </w:r>
          </w:p>
        </w:tc>
      </w:tr>
      <w:tr w:rsidR="00846F9C" w:rsidRPr="00846F9C" w:rsidTr="00A26BD9">
        <w:trPr>
          <w:trHeight w:val="894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Зобов'язання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пов'язан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і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необоротними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активами та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групами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вибуття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утримуваними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продажу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202,65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0,47</w:t>
            </w:r>
          </w:p>
        </w:tc>
      </w:tr>
      <w:tr w:rsidR="00846F9C" w:rsidRPr="00846F9C" w:rsidTr="00A26BD9">
        <w:trPr>
          <w:trHeight w:val="200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Усього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розділом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-11913,00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</w:tr>
      <w:tr w:rsidR="00846F9C" w:rsidRPr="00846F9C" w:rsidTr="00A26BD9">
        <w:trPr>
          <w:trHeight w:val="254"/>
          <w:jc w:val="center"/>
        </w:trPr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Баланс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61341,00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-11575,00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36661,00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-13105,00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</w:tbl>
    <w:p w:rsidR="00846F9C" w:rsidRPr="00846F9C" w:rsidRDefault="00846F9C" w:rsidP="00846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sectPr w:rsidR="00846F9C" w:rsidRPr="00846F9C" w:rsidSect="007854B0">
          <w:pgSz w:w="16838" w:h="11906" w:orient="landscape"/>
          <w:pgMar w:top="1701" w:right="1134" w:bottom="567" w:left="1134" w:header="709" w:footer="709" w:gutter="0"/>
          <w:cols w:space="708"/>
          <w:docGrid w:linePitch="435"/>
        </w:sectPr>
      </w:pPr>
    </w:p>
    <w:p w:rsidR="00846F9C" w:rsidRPr="00846F9C" w:rsidRDefault="00846F9C" w:rsidP="00846F9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sectPr w:rsidR="00846F9C" w:rsidRPr="00846F9C" w:rsidSect="007854B0">
          <w:type w:val="continuous"/>
          <w:pgSz w:w="16838" w:h="11906" w:orient="landscape"/>
          <w:pgMar w:top="1701" w:right="1134" w:bottom="567" w:left="1134" w:header="709" w:footer="709" w:gutter="0"/>
          <w:cols w:space="708"/>
          <w:docGrid w:linePitch="435"/>
        </w:sectPr>
      </w:pPr>
    </w:p>
    <w:p w:rsidR="00846F9C" w:rsidRPr="00846F9C" w:rsidRDefault="00846F9C" w:rsidP="00846F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Аналіз фінансового стану будемо проводити на основі даних річної звітності за 2005-2009 роки</w:t>
      </w:r>
    </w:p>
    <w:p w:rsidR="00846F9C" w:rsidRPr="00846F9C" w:rsidRDefault="00846F9C" w:rsidP="00846F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Зробити аналіз фінансового стану досліджуваного підприємства нам допоможуть коефіцієнти ліквідності, фінансової стійкості, рентабельності.</w:t>
      </w:r>
    </w:p>
    <w:p w:rsidR="00846F9C" w:rsidRPr="00846F9C" w:rsidRDefault="00846F9C" w:rsidP="00846F9C">
      <w:pPr>
        <w:spacing w:after="0" w:line="360" w:lineRule="auto"/>
        <w:ind w:firstLine="85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2.</w:t>
      </w:r>
      <w:r w:rsidRPr="00846F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46F9C" w:rsidRPr="00846F9C" w:rsidRDefault="00846F9C" w:rsidP="00846F9C">
      <w:pPr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фінансового стану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 допомогою коефіцієнтів ліквідності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128"/>
        <w:gridCol w:w="1701"/>
        <w:gridCol w:w="1134"/>
        <w:gridCol w:w="1134"/>
        <w:gridCol w:w="992"/>
        <w:gridCol w:w="992"/>
        <w:gridCol w:w="957"/>
      </w:tblGrid>
      <w:tr w:rsidR="00846F9C" w:rsidRPr="00846F9C" w:rsidTr="00A26BD9">
        <w:trPr>
          <w:jc w:val="center"/>
        </w:trPr>
        <w:tc>
          <w:tcPr>
            <w:tcW w:w="532" w:type="dxa"/>
            <w:vMerge w:val="restart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</w:t>
            </w:r>
          </w:p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8" w:type="dxa"/>
            <w:vMerge w:val="restart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Нормативне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</w:t>
            </w:r>
            <w:proofErr w:type="spellEnd"/>
          </w:p>
        </w:tc>
        <w:tc>
          <w:tcPr>
            <w:tcW w:w="5209" w:type="dxa"/>
            <w:gridSpan w:val="5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Роки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Merge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Абсолютної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іквідності</w:t>
            </w:r>
            <w:proofErr w:type="spellEnd"/>
          </w:p>
        </w:tc>
        <w:tc>
          <w:tcPr>
            <w:tcW w:w="1701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[0,2-0,25]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0,00018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Критичної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іквідності</w:t>
            </w:r>
            <w:proofErr w:type="spellEnd"/>
          </w:p>
        </w:tc>
        <w:tc>
          <w:tcPr>
            <w:tcW w:w="1701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[0,6-0,8]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0,265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0,316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0,352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0,187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Загальної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ліквідності</w:t>
            </w:r>
            <w:proofErr w:type="spellEnd"/>
          </w:p>
        </w:tc>
        <w:tc>
          <w:tcPr>
            <w:tcW w:w="1701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[1-2]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0,317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0,406</w:t>
            </w:r>
          </w:p>
        </w:tc>
      </w:tr>
    </w:tbl>
    <w:p w:rsidR="00846F9C" w:rsidRPr="00846F9C" w:rsidRDefault="00846F9C" w:rsidP="00846F9C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Аналізуючи коефіцієнти ліквідності можна сказати, що вони дуже відрізняються від нормативних значень. Показник абсолютної ліквідності становить у 2009 році 0,001, що свідчить про те, що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має зовнішні причини неплатоспроможності, які найвірогідніше призводять до банкрутства або ліквідації з подальшим продажем майна. Підприємство в змозі погасити лише 0,1% поточної заборгованості за рахунок наявних грошових коштів.</w:t>
      </w:r>
    </w:p>
    <w:p w:rsidR="00846F9C" w:rsidRPr="00846F9C" w:rsidRDefault="00846F9C" w:rsidP="00846F9C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Коефіцієнт критичної ліквідності, який у 2006 році підвищився до 0,316 порівняно з 0,265, зростав до 2008 року, але у 2009 році показник значно зменшився до 0,187. Дана тенденція говорить про те, що за рахунок власних грошових коштів та очікуваних фінансових надходжень (дебіторської заборгованості) може бути погашено лише близько 19% поточних зобов’язань.</w:t>
      </w:r>
    </w:p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Коефіцієнт загальної ліквідності був найвищим у 2007 році і становив 0,71. На кінець 2009 року він сягав 0,406. На кожну гривню поточних зобов’язань підприємства припадає в звітному періоді 0,4 грн. його майна.</w:t>
      </w:r>
    </w:p>
    <w:p w:rsidR="00846F9C" w:rsidRPr="00846F9C" w:rsidRDefault="00846F9C" w:rsidP="00846F9C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2.4</w:t>
      </w:r>
    </w:p>
    <w:p w:rsidR="00846F9C" w:rsidRPr="00846F9C" w:rsidRDefault="00846F9C" w:rsidP="00846F9C">
      <w:pPr>
        <w:widowControl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фінансової стійкості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 2005-2009 роки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2128"/>
        <w:gridCol w:w="1134"/>
        <w:gridCol w:w="1134"/>
        <w:gridCol w:w="992"/>
        <w:gridCol w:w="992"/>
        <w:gridCol w:w="957"/>
      </w:tblGrid>
      <w:tr w:rsidR="00846F9C" w:rsidRPr="00846F9C" w:rsidTr="00A26BD9">
        <w:trPr>
          <w:jc w:val="center"/>
        </w:trPr>
        <w:tc>
          <w:tcPr>
            <w:tcW w:w="532" w:type="dxa"/>
            <w:vMerge w:val="restart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</w:t>
            </w:r>
          </w:p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28" w:type="dxa"/>
            <w:vMerge w:val="restart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</w:t>
            </w:r>
            <w:proofErr w:type="spellEnd"/>
          </w:p>
        </w:tc>
        <w:tc>
          <w:tcPr>
            <w:tcW w:w="5209" w:type="dxa"/>
            <w:gridSpan w:val="5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Роки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Merge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Автономії</w:t>
            </w:r>
            <w:proofErr w:type="spellEnd"/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0,208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0,067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0,074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-0,28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заборгованості</w:t>
            </w:r>
            <w:proofErr w:type="spellEnd"/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0,837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</w:tr>
      <w:tr w:rsidR="00846F9C" w:rsidRPr="00846F9C" w:rsidTr="00A26BD9">
        <w:trPr>
          <w:jc w:val="center"/>
        </w:trPr>
        <w:tc>
          <w:tcPr>
            <w:tcW w:w="53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8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Фінансового</w:t>
            </w:r>
            <w:proofErr w:type="spellEnd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лівериджу</w:t>
            </w:r>
            <w:proofErr w:type="spellEnd"/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134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992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957" w:type="dxa"/>
            <w:vAlign w:val="center"/>
          </w:tcPr>
          <w:p w:rsidR="00846F9C" w:rsidRPr="00846F9C" w:rsidRDefault="00846F9C" w:rsidP="00846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6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-4,52</w:t>
            </w:r>
          </w:p>
        </w:tc>
      </w:tr>
    </w:tbl>
    <w:p w:rsidR="00846F9C" w:rsidRPr="00846F9C" w:rsidRDefault="00846F9C" w:rsidP="00846F9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Коефіцієнт автономії або незалежності ВАТ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Горлівський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завод «</w:t>
      </w:r>
      <w:proofErr w:type="spellStart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Реммаш</w:t>
      </w:r>
      <w:proofErr w:type="spellEnd"/>
      <w:r w:rsidRPr="00846F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щороку коливається, у 2009 році він взагалі від’ємний, це означає, що підприємство не здатне працювати самостійно без допомоги зовнішніх кредиторів. Коефіцієнт заборгованості сягає від 0,79 у 2005 році до 1,28 у 2009 році. За даним показником у 2009 році ситуація дещо покращилася, оскільки із вкладених в активи підприємства 1,28 грн. позиченими є лише 28 коп. Щодо показника фінансового левериджу, то можна сказати, що з 2005 по 2007 року він збільшувався з 3,81 до 13,9, що говорило про посилення залежності підприємства від зовнішніх кредиторів, проте починаючи з 2008 року він знижувався, а у 2009 році становив -4,52.</w:t>
      </w:r>
    </w:p>
    <w:p w:rsidR="0087523F" w:rsidRPr="00846F9C" w:rsidRDefault="0087523F">
      <w:pPr>
        <w:rPr>
          <w:lang w:val="uk-UA"/>
        </w:rPr>
      </w:pPr>
      <w:bookmarkStart w:id="0" w:name="_GoBack"/>
      <w:bookmarkEnd w:id="0"/>
    </w:p>
    <w:sectPr w:rsidR="0087523F" w:rsidRPr="0084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9C"/>
    <w:rsid w:val="00124C28"/>
    <w:rsid w:val="00846F9C"/>
    <w:rsid w:val="008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2017-03-24T11:47:00Z</dcterms:created>
  <dcterms:modified xsi:type="dcterms:W3CDTF">2017-03-24T11:49:00Z</dcterms:modified>
</cp:coreProperties>
</file>