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607.795275590551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ASSET PURCHASE AGREEMENT No_________</w:t>
      </w:r>
    </w:p>
    <w:p w:rsidR="00000000" w:rsidDel="00000000" w:rsidP="00000000" w:rsidRDefault="00000000" w:rsidRPr="00000000" w14:paraId="00000002">
      <w:pPr>
        <w:ind w:right="-607.795275590551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ind w:right="-6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t>
      </w:r>
      <w:r w:rsidDel="00000000" w:rsidR="00000000" w:rsidRPr="00000000">
        <w:rPr>
          <w:rFonts w:ascii="Times New Roman" w:cs="Times New Roman" w:eastAsia="Times New Roman" w:hAnsi="Times New Roman"/>
          <w:b w:val="1"/>
          <w:rtl w:val="0"/>
        </w:rPr>
        <w:t xml:space="preserve">ASSET PURCHASE AGREEMENT</w:t>
      </w:r>
      <w:r w:rsidDel="00000000" w:rsidR="00000000" w:rsidRPr="00000000">
        <w:rPr>
          <w:rFonts w:ascii="Times New Roman" w:cs="Times New Roman" w:eastAsia="Times New Roman" w:hAnsi="Times New Roman"/>
          <w:rtl w:val="0"/>
        </w:rPr>
        <w:t xml:space="preserve"> (the “</w:t>
      </w:r>
      <w:r w:rsidDel="00000000" w:rsidR="00000000" w:rsidRPr="00000000">
        <w:rPr>
          <w:rFonts w:ascii="Times New Roman" w:cs="Times New Roman" w:eastAsia="Times New Roman" w:hAnsi="Times New Roman"/>
          <w:b w:val="1"/>
          <w:rtl w:val="0"/>
        </w:rPr>
        <w:t xml:space="preserve">Agreement</w:t>
      </w:r>
      <w:r w:rsidDel="00000000" w:rsidR="00000000" w:rsidRPr="00000000">
        <w:rPr>
          <w:rFonts w:ascii="Times New Roman" w:cs="Times New Roman" w:eastAsia="Times New Roman" w:hAnsi="Times New Roman"/>
          <w:rtl w:val="0"/>
        </w:rPr>
        <w:t xml:space="preserve">”) is entered into as of _______ 2025 (the “</w:t>
      </w:r>
      <w:r w:rsidDel="00000000" w:rsidR="00000000" w:rsidRPr="00000000">
        <w:rPr>
          <w:rFonts w:ascii="Times New Roman" w:cs="Times New Roman" w:eastAsia="Times New Roman" w:hAnsi="Times New Roman"/>
          <w:b w:val="1"/>
          <w:rtl w:val="0"/>
        </w:rPr>
        <w:t xml:space="preserve">Effective Date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by and between: </w:t>
      </w:r>
    </w:p>
    <w:p w:rsidR="00000000" w:rsidDel="00000000" w:rsidP="00000000" w:rsidRDefault="00000000" w:rsidRPr="00000000" w14:paraId="00000004">
      <w:pPr>
        <w:ind w:right="-61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right="-61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ind w:right="-6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_____________________________________________________________________________</w:t>
      </w:r>
      <w:r w:rsidDel="00000000" w:rsidR="00000000" w:rsidRPr="00000000">
        <w:rPr>
          <w:rFonts w:ascii="Times New Roman" w:cs="Times New Roman" w:eastAsia="Times New Roman" w:hAnsi="Times New Roman"/>
          <w:rtl w:val="0"/>
        </w:rPr>
        <w:t xml:space="preserve"> (hereinafter referred to as "</w:t>
      </w:r>
      <w:r w:rsidDel="00000000" w:rsidR="00000000" w:rsidRPr="00000000">
        <w:rPr>
          <w:rFonts w:ascii="Times New Roman" w:cs="Times New Roman" w:eastAsia="Times New Roman" w:hAnsi="Times New Roman"/>
          <w:b w:val="1"/>
          <w:rtl w:val="0"/>
        </w:rPr>
        <w:t xml:space="preserve">Seller</w:t>
      </w:r>
      <w:r w:rsidDel="00000000" w:rsidR="00000000" w:rsidRPr="00000000">
        <w:rPr>
          <w:rFonts w:ascii="Times New Roman" w:cs="Times New Roman" w:eastAsia="Times New Roman" w:hAnsi="Times New Roman"/>
          <w:rtl w:val="0"/>
        </w:rPr>
        <w:t xml:space="preserve">”); and </w:t>
      </w:r>
    </w:p>
    <w:p w:rsidR="00000000" w:rsidDel="00000000" w:rsidP="00000000" w:rsidRDefault="00000000" w:rsidRPr="00000000" w14:paraId="00000007">
      <w:pPr>
        <w:ind w:right="-6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_____________________________________________________________________________________________________________________________________________</w:t>
      </w:r>
      <w:r w:rsidDel="00000000" w:rsidR="00000000" w:rsidRPr="00000000">
        <w:rPr>
          <w:rFonts w:ascii="Times New Roman" w:cs="Times New Roman" w:eastAsia="Times New Roman" w:hAnsi="Times New Roman"/>
          <w:rtl w:val="0"/>
        </w:rPr>
        <w:t xml:space="preserve"> (hereinafter referred to as the "</w:t>
      </w:r>
      <w:r w:rsidDel="00000000" w:rsidR="00000000" w:rsidRPr="00000000">
        <w:rPr>
          <w:rFonts w:ascii="Times New Roman" w:cs="Times New Roman" w:eastAsia="Times New Roman" w:hAnsi="Times New Roman"/>
          <w:b w:val="1"/>
          <w:rtl w:val="0"/>
        </w:rPr>
        <w:t xml:space="preserve">Buyer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8">
      <w:pPr>
        <w:ind w:right="-6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Seller and Buyer are hereinafter sometimes referred to individually as "Party" and together collectively as “Parties”.</w:t>
      </w:r>
    </w:p>
    <w:p w:rsidR="00000000" w:rsidDel="00000000" w:rsidP="00000000" w:rsidRDefault="00000000" w:rsidRPr="00000000" w14:paraId="00000009">
      <w:pPr>
        <w:ind w:right="-61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ind w:right="-6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w:t>
      </w:r>
      <w:r w:rsidDel="00000000" w:rsidR="00000000" w:rsidRPr="00000000">
        <w:rPr>
          <w:rFonts w:ascii="Times New Roman" w:cs="Times New Roman" w:eastAsia="Times New Roman" w:hAnsi="Times New Roman"/>
          <w:rtl w:val="0"/>
        </w:rPr>
        <w:t xml:space="preserve"> Buyer wishes to buy and Seller wishes to sell to Buyer the Assets (as hereinafter defined): and</w:t>
      </w:r>
    </w:p>
    <w:p w:rsidR="00000000" w:rsidDel="00000000" w:rsidP="00000000" w:rsidRDefault="00000000" w:rsidRPr="00000000" w14:paraId="0000000B">
      <w:pPr>
        <w:ind w:right="-61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right="-6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w:t>
      </w:r>
      <w:r w:rsidDel="00000000" w:rsidR="00000000" w:rsidRPr="00000000">
        <w:rPr>
          <w:rFonts w:ascii="Times New Roman" w:cs="Times New Roman" w:eastAsia="Times New Roman" w:hAnsi="Times New Roman"/>
          <w:rtl w:val="0"/>
        </w:rPr>
        <w:t xml:space="preserve">, the parties wish to memorialize the terms and conditions of the purchase and sale of the Assets in a written agreement.</w:t>
      </w:r>
    </w:p>
    <w:p w:rsidR="00000000" w:rsidDel="00000000" w:rsidP="00000000" w:rsidRDefault="00000000" w:rsidRPr="00000000" w14:paraId="0000000D">
      <w:pPr>
        <w:ind w:right="-61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ind w:right="-6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NOW, THEREFORE</w:t>
      </w:r>
      <w:r w:rsidDel="00000000" w:rsidR="00000000" w:rsidRPr="00000000">
        <w:rPr>
          <w:rFonts w:ascii="Times New Roman" w:cs="Times New Roman" w:eastAsia="Times New Roman" w:hAnsi="Times New Roman"/>
          <w:rtl w:val="0"/>
        </w:rPr>
        <w:t xml:space="preserve">, for and in consideration of the terms and conditions provided below and other good and valuable consideration, the receipt and sufficiency of which is hereby acknowledged, each of the parties hereto hereby agree as follows:</w:t>
      </w:r>
    </w:p>
    <w:p w:rsidR="00000000" w:rsidDel="00000000" w:rsidP="00000000" w:rsidRDefault="00000000" w:rsidRPr="00000000" w14:paraId="0000000F">
      <w:pPr>
        <w:ind w:right="-61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0"/>
          <w:numId w:val="1"/>
        </w:numPr>
        <w:ind w:left="570" w:right="-615"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DEFINITIONS</w:t>
      </w:r>
    </w:p>
    <w:p w:rsidR="00000000" w:rsidDel="00000000" w:rsidP="00000000" w:rsidRDefault="00000000" w:rsidRPr="00000000" w14:paraId="00000011">
      <w:pPr>
        <w:ind w:left="720" w:right="-615"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numPr>
          <w:ilvl w:val="1"/>
          <w:numId w:val="1"/>
        </w:numPr>
        <w:ind w:left="705"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Assets </w:t>
      </w:r>
      <w:r w:rsidDel="00000000" w:rsidR="00000000" w:rsidRPr="00000000">
        <w:rPr>
          <w:rFonts w:ascii="Times New Roman" w:cs="Times New Roman" w:eastAsia="Times New Roman" w:hAnsi="Times New Roman"/>
          <w:rtl w:val="0"/>
        </w:rPr>
        <w:t xml:space="preserve">means all source code, documentation, configuration files, CI/CD pipelines, workflow templates, integration tools, and other development artefacts owned by the Seller and contained within the GitHub organisation “Drafter AI”, including but not limited to the repositories drafter-workflows, drafter-js, drafter-webapp, drafter-api, and drafter-integrations, as well as any associated intellectual property created during the provision of services by the Seller.</w:t>
      </w:r>
    </w:p>
    <w:p w:rsidR="00000000" w:rsidDel="00000000" w:rsidP="00000000" w:rsidRDefault="00000000" w:rsidRPr="00000000" w14:paraId="00000013">
      <w:pPr>
        <w:ind w:left="1440"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numPr>
          <w:ilvl w:val="1"/>
          <w:numId w:val="1"/>
        </w:numPr>
        <w:ind w:left="705"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Intellectual Property Rights </w:t>
      </w:r>
      <w:r w:rsidDel="00000000" w:rsidR="00000000" w:rsidRPr="00000000">
        <w:rPr>
          <w:rFonts w:ascii="Times New Roman" w:cs="Times New Roman" w:eastAsia="Times New Roman" w:hAnsi="Times New Roman"/>
          <w:rtl w:val="0"/>
        </w:rPr>
        <w:t xml:space="preserve">means all rights, title and interest, whether registered or unregistered, and in any jurisdiction, in and to source code, technical documentation, workflow templates, configuration artefacts, integration tools, and any related materials or data created and owned by the Seller individually and not in connection with any legal entity.</w:t>
      </w:r>
    </w:p>
    <w:p w:rsidR="00000000" w:rsidDel="00000000" w:rsidP="00000000" w:rsidRDefault="00000000" w:rsidRPr="00000000" w14:paraId="00000015">
      <w:pPr>
        <w:ind w:left="2160"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numPr>
          <w:ilvl w:val="1"/>
          <w:numId w:val="1"/>
        </w:numPr>
        <w:ind w:left="705"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Drafter AI </w:t>
      </w:r>
      <w:r w:rsidDel="00000000" w:rsidR="00000000" w:rsidRPr="00000000">
        <w:rPr>
          <w:rFonts w:ascii="Times New Roman" w:cs="Times New Roman" w:eastAsia="Times New Roman" w:hAnsi="Times New Roman"/>
          <w:rtl w:val="0"/>
        </w:rPr>
        <w:t xml:space="preserve">means the collection of software repositories, development artefacts, templates, scripts, integrations, and technical materials created and maintained by the Seller under the Drafter AI GitHub organisation, as transferred to the Buyer under this Agreement.</w:t>
      </w:r>
    </w:p>
    <w:p w:rsidR="00000000" w:rsidDel="00000000" w:rsidP="00000000" w:rsidRDefault="00000000" w:rsidRPr="00000000" w14:paraId="00000017">
      <w:pPr>
        <w:ind w:left="1440"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numPr>
          <w:ilvl w:val="1"/>
          <w:numId w:val="1"/>
        </w:numPr>
        <w:ind w:left="705"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IP Assignment </w:t>
      </w:r>
      <w:r w:rsidDel="00000000" w:rsidR="00000000" w:rsidRPr="00000000">
        <w:rPr>
          <w:rFonts w:ascii="Times New Roman" w:cs="Times New Roman" w:eastAsia="Times New Roman" w:hAnsi="Times New Roman"/>
          <w:rtl w:val="0"/>
        </w:rPr>
        <w:t xml:space="preserve">means the intellectual property assignment agreement entered into between the Seller and the Buyer in connection with this Agreement, which documents and confirms the transfer of Intellectual Property Rights as defined herein, and forms an integral and inseparable part of this Agreement.</w:t>
      </w:r>
    </w:p>
    <w:p w:rsidR="00000000" w:rsidDel="00000000" w:rsidP="00000000" w:rsidRDefault="00000000" w:rsidRPr="00000000" w14:paraId="00000019">
      <w:pPr>
        <w:ind w:left="1440"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numPr>
          <w:ilvl w:val="1"/>
          <w:numId w:val="1"/>
        </w:numPr>
        <w:ind w:left="705"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Closing </w:t>
      </w:r>
      <w:r w:rsidDel="00000000" w:rsidR="00000000" w:rsidRPr="00000000">
        <w:rPr>
          <w:rFonts w:ascii="Times New Roman" w:cs="Times New Roman" w:eastAsia="Times New Roman" w:hAnsi="Times New Roman"/>
          <w:rtl w:val="0"/>
        </w:rPr>
        <w:t xml:space="preserve">means the completion of the transactions contemplated by this Agreement, including the execution of the IP Assignment and the SAFE Agreement, and the delivery by the Seller to the Buyer of all access credentials, documentation, and other materials necessary to enable full and effective use of the Assets.</w:t>
      </w:r>
    </w:p>
    <w:p w:rsidR="00000000" w:rsidDel="00000000" w:rsidP="00000000" w:rsidRDefault="00000000" w:rsidRPr="00000000" w14:paraId="0000001B">
      <w:pPr>
        <w:ind w:right="-61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1"/>
          <w:numId w:val="1"/>
        </w:numPr>
        <w:ind w:left="705"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SAFE Agreement</w:t>
      </w:r>
      <w:r w:rsidDel="00000000" w:rsidR="00000000" w:rsidRPr="00000000">
        <w:rPr>
          <w:rFonts w:ascii="Times New Roman" w:cs="Times New Roman" w:eastAsia="Times New Roman" w:hAnsi="Times New Roman"/>
          <w:rtl w:val="0"/>
        </w:rPr>
        <w:t xml:space="preserve"> means the Simple Agreement for Future Equity to be entered into between the Buyer and the Seller at Closing, under which the Seller shall be entitled to receive equity in the Buyer in accordance with the terms set out therein, as consideration for the transfer of the Assets.</w:t>
      </w:r>
    </w:p>
    <w:p w:rsidR="00000000" w:rsidDel="00000000" w:rsidP="00000000" w:rsidRDefault="00000000" w:rsidRPr="00000000" w14:paraId="0000001D">
      <w:pPr>
        <w:ind w:left="1440"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1"/>
          <w:numId w:val="1"/>
        </w:numPr>
        <w:ind w:left="705"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Future Equity</w:t>
      </w:r>
      <w:r w:rsidDel="00000000" w:rsidR="00000000" w:rsidRPr="00000000">
        <w:rPr>
          <w:rFonts w:ascii="Times New Roman" w:cs="Times New Roman" w:eastAsia="Times New Roman" w:hAnsi="Times New Roman"/>
          <w:rtl w:val="0"/>
        </w:rPr>
        <w:t xml:space="preserve"> means the equity interests in the Buyer that the Seller shall become entitled to receive pursuant to the SAFE Agreement, upon the occurrence of one or more trigger events as specified therein, including but not limited to an equity financing, change of control, or other qualifying event.</w:t>
      </w:r>
    </w:p>
    <w:p w:rsidR="00000000" w:rsidDel="00000000" w:rsidP="00000000" w:rsidRDefault="00000000" w:rsidRPr="00000000" w14:paraId="0000001F">
      <w:pPr>
        <w:ind w:left="1440"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1"/>
          <w:numId w:val="1"/>
        </w:numPr>
        <w:ind w:left="705"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agreement and the background and the schedules:</w:t>
      </w:r>
    </w:p>
    <w:p w:rsidR="00000000" w:rsidDel="00000000" w:rsidP="00000000" w:rsidRDefault="00000000" w:rsidRPr="00000000" w14:paraId="00000021">
      <w:pPr>
        <w:numPr>
          <w:ilvl w:val="2"/>
          <w:numId w:val="1"/>
        </w:numPr>
        <w:ind w:left="2160" w:right="-61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 to any statute or statutory provision includes a reference to that statute or statutory provision as amended, extended or re-enacted and to any regulation, order, instrument or subordinate legislation under the relevant statutory or statutory provision;</w:t>
      </w:r>
    </w:p>
    <w:p w:rsidR="00000000" w:rsidDel="00000000" w:rsidP="00000000" w:rsidRDefault="00000000" w:rsidRPr="00000000" w14:paraId="00000022">
      <w:pPr>
        <w:numPr>
          <w:ilvl w:val="2"/>
          <w:numId w:val="1"/>
        </w:numPr>
        <w:ind w:left="2160" w:right="-61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 to the singular includes a reference to the plural and vice versa; and</w:t>
      </w:r>
    </w:p>
    <w:p w:rsidR="00000000" w:rsidDel="00000000" w:rsidP="00000000" w:rsidRDefault="00000000" w:rsidRPr="00000000" w14:paraId="00000023">
      <w:pPr>
        <w:numPr>
          <w:ilvl w:val="2"/>
          <w:numId w:val="1"/>
        </w:numPr>
        <w:ind w:left="2160" w:right="-61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 to any clause, sub-clause or schedule is to a clause, sub-clause or schedule (as the case may be) of or to this agreement.</w:t>
      </w:r>
    </w:p>
    <w:p w:rsidR="00000000" w:rsidDel="00000000" w:rsidP="00000000" w:rsidRDefault="00000000" w:rsidRPr="00000000" w14:paraId="00000024">
      <w:pPr>
        <w:ind w:left="2160"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numPr>
          <w:ilvl w:val="0"/>
          <w:numId w:val="1"/>
        </w:numPr>
        <w:ind w:left="570" w:right="-615"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SUBJECT OF THE AGREEMENT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570" w:hanging="150"/>
      </w:pPr>
      <w:rPr>
        <w:u w:val="none"/>
      </w:rPr>
    </w:lvl>
    <w:lvl w:ilvl="1">
      <w:start w:val="1"/>
      <w:numFmt w:val="decimal"/>
      <w:lvlText w:val="%1.%2."/>
      <w:lvlJc w:val="right"/>
      <w:pPr>
        <w:ind w:left="705" w:hanging="165"/>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