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985"/>
        <w:gridCol w:w="2835"/>
        <w:gridCol w:w="2375"/>
      </w:tblGrid>
      <w:tr w:rsidR="00C83F8D" w:rsidRPr="00F80EFD" w:rsidTr="005B03F5">
        <w:trPr>
          <w:trHeight w:val="415"/>
        </w:trPr>
        <w:tc>
          <w:tcPr>
            <w:tcW w:w="9463" w:type="dxa"/>
            <w:gridSpan w:val="5"/>
          </w:tcPr>
          <w:p w:rsidR="00C83F8D" w:rsidRPr="000D4F6E" w:rsidRDefault="000D4F6E" w:rsidP="000D4F6E">
            <w:pPr>
              <w:spacing w:after="0" w:line="240" w:lineRule="auto"/>
              <w:jc w:val="center"/>
              <w:rPr>
                <w:caps/>
              </w:rPr>
            </w:pPr>
            <w:r w:rsidRPr="000D4F6E"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  <w:lang w:val="uk-UA"/>
              </w:rPr>
              <w:t>Law Enforcement</w:t>
            </w:r>
          </w:p>
        </w:tc>
      </w:tr>
      <w:tr w:rsidR="000D4F6E" w:rsidRPr="00F80EFD" w:rsidTr="000D4F6E">
        <w:trPr>
          <w:trHeight w:val="648"/>
        </w:trPr>
        <w:tc>
          <w:tcPr>
            <w:tcW w:w="993" w:type="dxa"/>
          </w:tcPr>
          <w:p w:rsidR="000D4F6E" w:rsidRPr="008443A6" w:rsidRDefault="000D4F6E" w:rsidP="00E64E56">
            <w:pPr>
              <w:pStyle w:val="TableParagraph"/>
              <w:kinsoku w:val="0"/>
              <w:overflowPunct w:val="0"/>
              <w:ind w:left="73"/>
              <w:rPr>
                <w:b/>
                <w:caps/>
                <w:lang w:val="en-US"/>
              </w:rPr>
            </w:pPr>
            <w:r>
              <w:rPr>
                <w:b/>
                <w:lang w:val="en-US"/>
              </w:rPr>
              <w:t>Term</w:t>
            </w:r>
          </w:p>
        </w:tc>
        <w:tc>
          <w:tcPr>
            <w:tcW w:w="1275" w:type="dxa"/>
          </w:tcPr>
          <w:p w:rsidR="000D4F6E" w:rsidRPr="004374D6" w:rsidRDefault="000D4F6E" w:rsidP="00E64E56">
            <w:pPr>
              <w:pStyle w:val="TableParagraph"/>
              <w:kinsoku w:val="0"/>
              <w:overflowPunct w:val="0"/>
              <w:ind w:left="73"/>
              <w:rPr>
                <w:caps/>
                <w:lang w:val="uk-UA"/>
              </w:rPr>
            </w:pPr>
            <w:r>
              <w:rPr>
                <w:b/>
                <w:bCs/>
                <w:cap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uration</w:t>
            </w:r>
          </w:p>
        </w:tc>
        <w:tc>
          <w:tcPr>
            <w:tcW w:w="1985" w:type="dxa"/>
          </w:tcPr>
          <w:p w:rsidR="000D4F6E" w:rsidRPr="008443A6" w:rsidRDefault="000D4F6E" w:rsidP="00E64E56">
            <w:pPr>
              <w:pStyle w:val="TableParagraph"/>
              <w:kinsoku w:val="0"/>
              <w:overflowPunct w:val="0"/>
              <w:ind w:left="73" w:right="99"/>
              <w:jc w:val="center"/>
              <w:rPr>
                <w:caps/>
                <w:lang w:val="uk-UA"/>
              </w:rPr>
            </w:pPr>
            <w:r w:rsidRPr="008443A6">
              <w:rPr>
                <w:b/>
                <w:bCs/>
                <w:lang w:val="en-GB"/>
              </w:rPr>
              <w:t xml:space="preserve">Type </w:t>
            </w:r>
            <w:r>
              <w:rPr>
                <w:b/>
                <w:bCs/>
                <w:lang w:val="en-GB"/>
              </w:rPr>
              <w:t>of course (mandatory, elective)</w:t>
            </w:r>
          </w:p>
        </w:tc>
        <w:tc>
          <w:tcPr>
            <w:tcW w:w="2835" w:type="dxa"/>
          </w:tcPr>
          <w:p w:rsidR="000D4F6E" w:rsidRPr="008443A6" w:rsidRDefault="000D4F6E" w:rsidP="00E64E56">
            <w:pPr>
              <w:pStyle w:val="TableParagraph"/>
              <w:kinsoku w:val="0"/>
              <w:overflowPunct w:val="0"/>
              <w:ind w:left="102"/>
              <w:jc w:val="center"/>
              <w:rPr>
                <w:caps/>
                <w:lang w:val="uk-UA"/>
              </w:rPr>
            </w:pPr>
            <w:r w:rsidRPr="008443A6">
              <w:rPr>
                <w:b/>
                <w:bCs/>
                <w:lang w:val="uk-UA"/>
              </w:rPr>
              <w:t>E</w:t>
            </w:r>
            <w:r>
              <w:rPr>
                <w:b/>
                <w:bCs/>
                <w:lang w:val="en-US"/>
              </w:rPr>
              <w:t>CTS</w:t>
            </w:r>
            <w:r w:rsidRPr="008443A6">
              <w:rPr>
                <w:b/>
                <w:bCs/>
                <w:caps/>
                <w:lang w:val="en-US"/>
              </w:rPr>
              <w:t xml:space="preserve"> </w:t>
            </w:r>
            <w:r w:rsidRPr="008443A6">
              <w:rPr>
                <w:b/>
                <w:bCs/>
                <w:lang w:val="en-US"/>
              </w:rPr>
              <w:t>credits</w:t>
            </w:r>
            <w:r w:rsidRPr="008443A6">
              <w:rPr>
                <w:b/>
                <w:bCs/>
                <w:caps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0D4F6E" w:rsidRPr="008443A6" w:rsidRDefault="000D4F6E" w:rsidP="00E64E56">
            <w:pPr>
              <w:pStyle w:val="TableParagraph"/>
              <w:kinsoku w:val="0"/>
              <w:overflowPunct w:val="0"/>
              <w:ind w:left="73"/>
              <w:rPr>
                <w:caps/>
                <w:lang w:val="uk-UA"/>
              </w:rPr>
            </w:pPr>
            <w:r w:rsidRPr="008443A6">
              <w:rPr>
                <w:b/>
                <w:bCs/>
                <w:caps/>
                <w:lang w:val="en-US"/>
              </w:rPr>
              <w:t>S</w:t>
            </w:r>
            <w:proofErr w:type="spellStart"/>
            <w:r>
              <w:rPr>
                <w:b/>
                <w:bCs/>
                <w:lang w:val="uk-UA"/>
              </w:rPr>
              <w:t>tud</w:t>
            </w:r>
            <w:r>
              <w:rPr>
                <w:b/>
                <w:bCs/>
                <w:lang w:val="en-US"/>
              </w:rPr>
              <w:t>ent</w:t>
            </w:r>
            <w:proofErr w:type="spellEnd"/>
            <w:r>
              <w:rPr>
                <w:b/>
                <w:bCs/>
                <w:lang w:val="en-US"/>
              </w:rPr>
              <w:t xml:space="preserve"> work</w:t>
            </w:r>
            <w:proofErr w:type="spellStart"/>
            <w:r w:rsidRPr="008443A6">
              <w:rPr>
                <w:b/>
                <w:bCs/>
                <w:lang w:val="uk-UA"/>
              </w:rPr>
              <w:t>load</w:t>
            </w:r>
            <w:proofErr w:type="spellEnd"/>
          </w:p>
        </w:tc>
      </w:tr>
      <w:tr w:rsidR="00C83F8D" w:rsidRPr="00D86DC5" w:rsidTr="000D4F6E">
        <w:trPr>
          <w:trHeight w:val="1254"/>
        </w:trPr>
        <w:tc>
          <w:tcPr>
            <w:tcW w:w="993" w:type="dxa"/>
          </w:tcPr>
          <w:p w:rsidR="00C83F8D" w:rsidRPr="00F80EFD" w:rsidRDefault="00C83F8D" w:rsidP="005B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275" w:type="dxa"/>
          </w:tcPr>
          <w:p w:rsidR="00C83F8D" w:rsidRDefault="00C83F8D" w:rsidP="005B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weeks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83F8D" w:rsidRPr="000D4F6E" w:rsidRDefault="00C83F8D" w:rsidP="000D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51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hours in class</w:t>
            </w:r>
          </w:p>
        </w:tc>
        <w:tc>
          <w:tcPr>
            <w:tcW w:w="1985" w:type="dxa"/>
          </w:tcPr>
          <w:p w:rsidR="00C83F8D" w:rsidRPr="000D4F6E" w:rsidRDefault="000D4F6E" w:rsidP="005B03F5">
            <w:pPr>
              <w:pStyle w:val="TableParagraph"/>
              <w:kinsoku w:val="0"/>
              <w:overflowPunct w:val="0"/>
              <w:ind w:left="142" w:right="-43"/>
              <w:jc w:val="center"/>
              <w:rPr>
                <w:lang w:val="en-US"/>
              </w:rPr>
            </w:pPr>
            <w:r>
              <w:rPr>
                <w:lang w:val="en-US"/>
              </w:rPr>
              <w:t>Normative</w:t>
            </w:r>
          </w:p>
        </w:tc>
        <w:tc>
          <w:tcPr>
            <w:tcW w:w="2835" w:type="dxa"/>
          </w:tcPr>
          <w:p w:rsidR="00C83F8D" w:rsidRPr="00F80EFD" w:rsidRDefault="00C83F8D" w:rsidP="005B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5" w:type="dxa"/>
          </w:tcPr>
          <w:p w:rsidR="00C83F8D" w:rsidRPr="00F80EFD" w:rsidRDefault="00C83F8D" w:rsidP="000D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144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(30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lectures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seminars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D4F6E">
              <w:rPr>
                <w:rFonts w:ascii="Times New Roman" w:hAnsi="Times New Roman"/>
                <w:sz w:val="24"/>
                <w:szCs w:val="24"/>
                <w:lang w:val="en-US"/>
              </w:rPr>
              <w:t>individual work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D4F6E" w:rsidRPr="00D86DC5" w:rsidTr="000D4F6E">
        <w:trPr>
          <w:trHeight w:val="1032"/>
        </w:trPr>
        <w:tc>
          <w:tcPr>
            <w:tcW w:w="2268" w:type="dxa"/>
            <w:gridSpan w:val="2"/>
          </w:tcPr>
          <w:p w:rsidR="000D4F6E" w:rsidRPr="008443A6" w:rsidRDefault="000D4F6E" w:rsidP="00E64E5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Requirements for participation</w:t>
            </w:r>
          </w:p>
        </w:tc>
        <w:tc>
          <w:tcPr>
            <w:tcW w:w="1985" w:type="dxa"/>
          </w:tcPr>
          <w:p w:rsidR="000D4F6E" w:rsidRPr="008443A6" w:rsidRDefault="000D4F6E" w:rsidP="00E64E56">
            <w:pPr>
              <w:pStyle w:val="TableParagraph"/>
              <w:kinsoku w:val="0"/>
              <w:overflowPunct w:val="0"/>
              <w:jc w:val="center"/>
              <w:rPr>
                <w:caps/>
                <w:lang w:val="uk-UA"/>
              </w:rPr>
            </w:pPr>
            <w:r w:rsidRPr="008443A6">
              <w:rPr>
                <w:b/>
                <w:bCs/>
                <w:lang w:val="en-US"/>
              </w:rPr>
              <w:t>Type</w:t>
            </w:r>
            <w:r w:rsidRPr="008443A6">
              <w:rPr>
                <w:b/>
                <w:bCs/>
                <w:cap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of </w:t>
            </w:r>
            <w:r w:rsidRPr="008443A6">
              <w:rPr>
                <w:b/>
                <w:lang w:val="en-GB"/>
              </w:rPr>
              <w:t>exam</w:t>
            </w:r>
            <w:r w:rsidRPr="008443A6">
              <w:rPr>
                <w:b/>
                <w:bCs/>
                <w:cap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oral</w:t>
            </w:r>
            <w:r w:rsidRPr="001C112D">
              <w:rPr>
                <w:b/>
                <w:bCs/>
                <w:lang w:val="uk-UA"/>
              </w:rPr>
              <w:t xml:space="preserve">, </w:t>
            </w:r>
            <w:r w:rsidRPr="001C112D">
              <w:rPr>
                <w:b/>
                <w:bCs/>
                <w:lang w:val="en-US"/>
              </w:rPr>
              <w:t>w</w:t>
            </w:r>
            <w:proofErr w:type="spellStart"/>
            <w:r>
              <w:rPr>
                <w:b/>
                <w:bCs/>
                <w:lang w:val="uk-UA"/>
              </w:rPr>
              <w:t>rit</w:t>
            </w:r>
            <w:proofErr w:type="spellEnd"/>
            <w:r>
              <w:rPr>
                <w:b/>
                <w:bCs/>
                <w:lang w:val="en-US"/>
              </w:rPr>
              <w:t>ten</w:t>
            </w:r>
            <w:r w:rsidRPr="001C112D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term</w:t>
            </w:r>
            <w:r w:rsidRPr="001C112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1C112D">
              <w:rPr>
                <w:b/>
                <w:bCs/>
                <w:lang w:val="uk-UA"/>
              </w:rPr>
              <w:t>paper</w:t>
            </w:r>
            <w:proofErr w:type="spellEnd"/>
            <w:r w:rsidRPr="001C112D">
              <w:rPr>
                <w:b/>
                <w:bCs/>
                <w:lang w:val="uk-UA"/>
              </w:rPr>
              <w:t xml:space="preserve"> </w:t>
            </w:r>
            <w:r w:rsidRPr="001C112D">
              <w:rPr>
                <w:b/>
                <w:bCs/>
                <w:lang w:val="en-US"/>
              </w:rPr>
              <w:t>etc.</w:t>
            </w:r>
            <w:r w:rsidRPr="001C112D">
              <w:rPr>
                <w:b/>
                <w:bCs/>
                <w:lang w:val="uk-UA"/>
              </w:rPr>
              <w:t>)</w:t>
            </w:r>
          </w:p>
        </w:tc>
        <w:tc>
          <w:tcPr>
            <w:tcW w:w="2835" w:type="dxa"/>
          </w:tcPr>
          <w:p w:rsidR="000D4F6E" w:rsidRPr="008443A6" w:rsidRDefault="000D4F6E" w:rsidP="00E64E5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8443A6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M</w:t>
            </w:r>
            <w:proofErr w:type="spellStart"/>
            <w:r w:rsidRPr="008443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ethods</w:t>
            </w:r>
            <w:proofErr w:type="spellEnd"/>
            <w:r w:rsidRPr="008443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43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8443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teaching and learning </w:t>
            </w:r>
            <w:r w:rsidRPr="001C11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</w:t>
            </w:r>
            <w:r w:rsidRPr="001C112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1C112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seminars</w:t>
            </w:r>
            <w:r w:rsidRPr="001C11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C112D">
              <w:rPr>
                <w:b/>
                <w:bCs/>
                <w:lang w:val="en-US"/>
              </w:rPr>
              <w:t>etc.</w:t>
            </w:r>
            <w:r w:rsidRPr="001C11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375" w:type="dxa"/>
          </w:tcPr>
          <w:p w:rsidR="000D4F6E" w:rsidRPr="008443A6" w:rsidRDefault="000D4F6E" w:rsidP="00E64E5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Course </w:t>
            </w:r>
            <w:r w:rsidRPr="008443A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Coordinator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004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BA0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n </w:t>
            </w:r>
            <w:proofErr w:type="spellStart"/>
            <w:r w:rsidRPr="00BA0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academic</w:t>
            </w:r>
            <w:proofErr w:type="spellEnd"/>
            <w:r w:rsidRPr="00BA0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degree</w:t>
            </w:r>
            <w:proofErr w:type="spellEnd"/>
            <w:r w:rsidRPr="000004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grade</w:t>
            </w:r>
            <w:r w:rsidRPr="000004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position</w:t>
            </w:r>
            <w:r w:rsidRPr="000004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</w:tr>
      <w:tr w:rsidR="000D4F6E" w:rsidRPr="00D86DC5" w:rsidTr="000D4F6E">
        <w:trPr>
          <w:trHeight w:val="1254"/>
        </w:trPr>
        <w:tc>
          <w:tcPr>
            <w:tcW w:w="2268" w:type="dxa"/>
            <w:gridSpan w:val="2"/>
          </w:tcPr>
          <w:p w:rsidR="000D4F6E" w:rsidRPr="000D4F6E" w:rsidRDefault="000D4F6E" w:rsidP="000D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Lectures</w:t>
            </w:r>
            <w:r w:rsidRPr="00800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once a week</w:t>
            </w:r>
            <w:r w:rsidRPr="00800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</w:t>
            </w:r>
            <w:r w:rsidRPr="008000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discussion</w:t>
            </w:r>
            <w:r w:rsidRPr="00800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once</w:t>
            </w:r>
            <w:r w:rsidRPr="00F80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two weeks</w:t>
            </w:r>
            <w:r w:rsidRPr="008000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0D4F6E" w:rsidRPr="000D4F6E" w:rsidRDefault="000D4F6E" w:rsidP="005B03F5">
            <w:pPr>
              <w:pStyle w:val="TableParagraph"/>
              <w:kinsoku w:val="0"/>
              <w:overflowPunct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Written</w:t>
            </w:r>
          </w:p>
          <w:p w:rsidR="000D4F6E" w:rsidRPr="00F80EFD" w:rsidRDefault="000D4F6E" w:rsidP="005B03F5">
            <w:pPr>
              <w:pStyle w:val="TableParagraph"/>
              <w:kinsoku w:val="0"/>
              <w:overflowPunct w:val="0"/>
              <w:jc w:val="center"/>
              <w:rPr>
                <w:bCs/>
                <w:lang w:val="uk-UA"/>
              </w:rPr>
            </w:pPr>
          </w:p>
        </w:tc>
        <w:tc>
          <w:tcPr>
            <w:tcW w:w="2835" w:type="dxa"/>
          </w:tcPr>
          <w:p w:rsidR="000D4F6E" w:rsidRPr="00F80EFD" w:rsidRDefault="000D4F6E" w:rsidP="00E64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C4AC3">
              <w:rPr>
                <w:rFonts w:ascii="Times New Roman" w:hAnsi="Times New Roman"/>
                <w:sz w:val="24"/>
                <w:szCs w:val="24"/>
                <w:lang w:val="en-GB"/>
              </w:rPr>
              <w:t>Lectures, seminars, discussion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 on the basis of lecture materials and students’ reading, presentations, project work</w:t>
            </w:r>
            <w:r w:rsidRPr="004C4A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Internet search, </w:t>
            </w:r>
            <w:r w:rsidRPr="004C4A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self-study practice,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tests, </w:t>
            </w:r>
            <w:proofErr w:type="gramStart"/>
            <w:r w:rsidRPr="004C4AC3">
              <w:rPr>
                <w:rFonts w:ascii="Times New Roman" w:hAnsi="Times New Roman"/>
                <w:sz w:val="24"/>
                <w:szCs w:val="24"/>
                <w:lang w:val="en-GB"/>
              </w:rPr>
              <w:t>case</w:t>
            </w:r>
            <w:proofErr w:type="gramEnd"/>
            <w:r w:rsidRPr="004C4A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studies.</w:t>
            </w:r>
          </w:p>
        </w:tc>
        <w:tc>
          <w:tcPr>
            <w:tcW w:w="2375" w:type="dxa"/>
          </w:tcPr>
          <w:p w:rsidR="000D4F6E" w:rsidRPr="00D86DC5" w:rsidRDefault="00D86DC5" w:rsidP="00E64E56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0D4F6E" w:rsidRPr="008000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bookmarkStart w:id="0" w:name="_GoBack"/>
            <w:bookmarkEnd w:id="0"/>
            <w:proofErr w:type="spellStart"/>
            <w:r w:rsidR="000D4F6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PhD</w:t>
            </w:r>
            <w:proofErr w:type="spellEnd"/>
            <w:r w:rsidR="000D4F6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D4F6E" w:rsidRPr="00383F0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lecturer</w:t>
            </w:r>
            <w:proofErr w:type="spellEnd"/>
          </w:p>
          <w:p w:rsidR="000D4F6E" w:rsidRPr="00800099" w:rsidRDefault="000D4F6E" w:rsidP="00E64E5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F6E" w:rsidRPr="00F80EFD" w:rsidRDefault="000D4F6E" w:rsidP="00E64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83F8D" w:rsidRPr="00D86DC5" w:rsidTr="005B03F5">
        <w:trPr>
          <w:trHeight w:val="346"/>
        </w:trPr>
        <w:tc>
          <w:tcPr>
            <w:tcW w:w="9463" w:type="dxa"/>
            <w:gridSpan w:val="5"/>
          </w:tcPr>
          <w:p w:rsidR="00C83F8D" w:rsidRPr="00F80EFD" w:rsidRDefault="000D4F6E" w:rsidP="005B03F5">
            <w:pPr>
              <w:pStyle w:val="TableParagraph"/>
              <w:kinsoku w:val="0"/>
              <w:overflowPunct w:val="0"/>
              <w:jc w:val="center"/>
              <w:rPr>
                <w:b/>
                <w:bCs/>
                <w:lang w:val="uk-UA"/>
              </w:rPr>
            </w:pPr>
            <w:r w:rsidRPr="004C4AC3">
              <w:rPr>
                <w:b/>
                <w:lang w:val="en-GB"/>
              </w:rPr>
              <w:t>Learning outcomes</w:t>
            </w:r>
          </w:p>
        </w:tc>
      </w:tr>
      <w:tr w:rsidR="00C83F8D" w:rsidRPr="00D86DC5" w:rsidTr="005B03F5">
        <w:trPr>
          <w:trHeight w:val="2406"/>
        </w:trPr>
        <w:tc>
          <w:tcPr>
            <w:tcW w:w="9463" w:type="dxa"/>
            <w:gridSpan w:val="5"/>
          </w:tcPr>
          <w:p w:rsidR="00DD1439" w:rsidRDefault="00DD1439" w:rsidP="005B03F5">
            <w:pPr>
              <w:tabs>
                <w:tab w:val="left" w:pos="1440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must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comprehensively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master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skills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relevant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enforcement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field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regulation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implementation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various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criminal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penalties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that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are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necessary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qualified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lawyer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through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various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forms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process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lectures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seminars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independent</w:t>
            </w:r>
            <w:proofErr w:type="spellEnd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individua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l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lessons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trainin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D1439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83F8D" w:rsidRPr="00C20B17" w:rsidRDefault="00C83F8D" w:rsidP="005B03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0F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Після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закінчення курсу</w:t>
            </w:r>
            <w:r w:rsidRPr="00420F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студент повинен </w:t>
            </w:r>
            <w:r w:rsidRPr="00C20B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вміти :</w:t>
            </w:r>
          </w:p>
          <w:p w:rsidR="00DD1439" w:rsidRDefault="00C83F8D" w:rsidP="005B03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B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79665F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understanding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explaining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79665F">
              <w:rPr>
                <w:rFonts w:ascii="Times New Roman" w:hAnsi="Times New Roman"/>
                <w:sz w:val="24"/>
                <w:szCs w:val="24"/>
                <w:lang w:val="uk-UA"/>
              </w:rPr>
              <w:t>riminal</w:t>
            </w:r>
            <w:proofErr w:type="spellEnd"/>
            <w:r w:rsid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xecutive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policy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implementing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79665F">
              <w:rPr>
                <w:rFonts w:ascii="Times New Roman" w:hAnsi="Times New Roman"/>
                <w:sz w:val="24"/>
                <w:szCs w:val="24"/>
                <w:lang w:val="uk-UA"/>
              </w:rPr>
              <w:t>riminal</w:t>
            </w:r>
            <w:proofErr w:type="spellEnd"/>
            <w:r w:rsid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xecutive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practices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identify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issues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concerning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formation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implementation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79665F">
              <w:rPr>
                <w:rFonts w:ascii="Times New Roman" w:hAnsi="Times New Roman"/>
                <w:sz w:val="24"/>
                <w:szCs w:val="24"/>
                <w:lang w:val="uk-UA"/>
              </w:rPr>
              <w:t>riminal</w:t>
            </w:r>
            <w:proofErr w:type="spellEnd"/>
            <w:r w:rsid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xecutive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policy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its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definition</w:t>
            </w:r>
            <w:proofErr w:type="spellEnd"/>
            <w:r w:rsidR="00DD1439" w:rsidRPr="00DD143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83F8D" w:rsidRPr="00C20B17" w:rsidRDefault="00C83F8D" w:rsidP="005B03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0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provide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characterization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current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normative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acts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legislative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regulatory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levels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governing</w:t>
            </w:r>
            <w:proofErr w:type="spellEnd"/>
            <w:r w:rsid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79665F">
              <w:rPr>
                <w:rFonts w:ascii="Times New Roman" w:hAnsi="Times New Roman"/>
                <w:sz w:val="24"/>
                <w:szCs w:val="24"/>
                <w:lang w:val="uk-UA"/>
              </w:rPr>
              <w:t>riminal</w:t>
            </w:r>
            <w:proofErr w:type="spellEnd"/>
            <w:r w:rsid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xecutive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activities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83F8D" w:rsidRPr="0079665F" w:rsidRDefault="00C83F8D" w:rsidP="005B03F5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C20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analyze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determine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system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acts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regulating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activities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social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assistance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administrative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control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supervision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persons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released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from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penal</w:t>
            </w:r>
            <w:proofErr w:type="spellEnd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665F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institutions</w:t>
            </w:r>
            <w:proofErr w:type="spellEnd"/>
            <w:r w:rsidR="007966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83F8D" w:rsidRPr="00F80EFD" w:rsidTr="005B03F5">
        <w:trPr>
          <w:trHeight w:val="415"/>
        </w:trPr>
        <w:tc>
          <w:tcPr>
            <w:tcW w:w="9463" w:type="dxa"/>
            <w:gridSpan w:val="5"/>
          </w:tcPr>
          <w:p w:rsidR="00C83F8D" w:rsidRPr="000D4F6E" w:rsidRDefault="000D4F6E" w:rsidP="005B03F5">
            <w:pPr>
              <w:tabs>
                <w:tab w:val="left" w:pos="144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Contents</w:t>
            </w:r>
          </w:p>
        </w:tc>
      </w:tr>
      <w:tr w:rsidR="00C83F8D" w:rsidRPr="00D86DC5" w:rsidTr="005B03F5">
        <w:trPr>
          <w:trHeight w:val="273"/>
        </w:trPr>
        <w:tc>
          <w:tcPr>
            <w:tcW w:w="9463" w:type="dxa"/>
            <w:gridSpan w:val="5"/>
          </w:tcPr>
          <w:p w:rsidR="00C83F8D" w:rsidRPr="0079665F" w:rsidRDefault="000D4F6E" w:rsidP="005B03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="00C83F8D" w:rsidRPr="00F80E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1. </w:t>
            </w:r>
            <w:r w:rsidR="0079665F" w:rsidRPr="0079665F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General part </w:t>
            </w:r>
            <w:r w:rsidR="00DD7455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of</w:t>
            </w:r>
            <w:r w:rsidR="0079665F" w:rsidRPr="00DD745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DD7455" w:rsidRPr="00DD745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Law </w:t>
            </w:r>
            <w:proofErr w:type="spellStart"/>
            <w:r w:rsidR="0079665F" w:rsidRPr="00DD7455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Enforcement</w:t>
            </w:r>
            <w:proofErr w:type="spellEnd"/>
            <w:r w:rsidR="0079665F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of </w:t>
            </w:r>
            <w:r w:rsidR="0079665F" w:rsidRPr="0079665F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Ukraine</w:t>
            </w:r>
          </w:p>
          <w:p w:rsidR="00DD7455" w:rsidRDefault="004610E5" w:rsidP="005B03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Ukraine’</w:t>
            </w:r>
            <w:r w:rsidR="00DD7455" w:rsidRP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policy regarding </w:t>
            </w:r>
            <w:r w:rsidR="00DD745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DD7455">
              <w:rPr>
                <w:rFonts w:ascii="Times New Roman" w:hAnsi="Times New Roman"/>
                <w:sz w:val="24"/>
                <w:szCs w:val="24"/>
                <w:lang w:val="uk-UA"/>
              </w:rPr>
              <w:t>riminal</w:t>
            </w:r>
            <w:proofErr w:type="spellEnd"/>
            <w:r w:rsid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  <w:proofErr w:type="spellStart"/>
            <w:r w:rsidR="00DD7455" w:rsidRPr="0079665F">
              <w:rPr>
                <w:rFonts w:ascii="Times New Roman" w:hAnsi="Times New Roman"/>
                <w:sz w:val="24"/>
                <w:szCs w:val="24"/>
                <w:lang w:val="uk-UA"/>
              </w:rPr>
              <w:t>xecutive</w:t>
            </w:r>
            <w:proofErr w:type="spellEnd"/>
            <w:r w:rsidR="00DD7455" w:rsidRP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</w:t>
            </w:r>
          </w:p>
          <w:p w:rsidR="00DD7455" w:rsidRDefault="00DD7455" w:rsidP="005B03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The history of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penitentiary system of Ukraine and</w:t>
            </w: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its legislation</w:t>
            </w:r>
          </w:p>
          <w:p w:rsidR="00DD7455" w:rsidRDefault="00DD7455" w:rsidP="005B03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The institutions and bodies of criminal penalties</w:t>
            </w:r>
          </w:p>
          <w:p w:rsidR="00DD7455" w:rsidRPr="00DD7455" w:rsidRDefault="00DD7455" w:rsidP="00DD74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The legal status of prisoners in Ukraine</w:t>
            </w:r>
          </w:p>
          <w:p w:rsidR="00DD7455" w:rsidRPr="00DD7455" w:rsidRDefault="00DD7455" w:rsidP="00DD74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control of the institutions and bodies </w:t>
            </w:r>
            <w:r w:rsidR="004610E5">
              <w:rPr>
                <w:rFonts w:ascii="Times New Roman" w:hAnsi="Times New Roman"/>
                <w:sz w:val="24"/>
                <w:szCs w:val="24"/>
                <w:lang w:val="en-US"/>
              </w:rPr>
              <w:t>of an execution of s</w:t>
            </w: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entences</w:t>
            </w:r>
          </w:p>
          <w:p w:rsidR="00DD7455" w:rsidRDefault="00DD7455" w:rsidP="00DD74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impact of society on the activities of </w:t>
            </w:r>
            <w:r w:rsidR="004610E5" w:rsidRPr="00461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penitentiary </w:t>
            </w: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institutions</w:t>
            </w:r>
          </w:p>
          <w:p w:rsidR="00C83F8D" w:rsidRPr="004610E5" w:rsidRDefault="004610E5" w:rsidP="00DD74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1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cooperation 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execution of s</w:t>
            </w:r>
            <w:r w:rsidRPr="004610E5">
              <w:rPr>
                <w:rFonts w:ascii="Times New Roman" w:hAnsi="Times New Roman"/>
                <w:sz w:val="24"/>
                <w:szCs w:val="24"/>
                <w:lang w:val="en-US"/>
              </w:rPr>
              <w:t>entences</w:t>
            </w:r>
          </w:p>
          <w:p w:rsidR="00DD7455" w:rsidRDefault="00DD7455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Social and legal description of imprisonment for committing a crime</w:t>
            </w:r>
          </w:p>
          <w:p w:rsidR="00DD7455" w:rsidRDefault="000D4F6E" w:rsidP="005B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="00C83F8D" w:rsidRP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  <w:r w:rsidRP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C83F8D" w:rsidRP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DD7455" w:rsidRP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pecial part</w:t>
            </w:r>
            <w:r w:rsid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D7455" w:rsidRP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="00DD7455" w:rsidRPr="00DD745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DD7455" w:rsidRPr="00DD745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Law </w:t>
            </w:r>
            <w:r w:rsidR="00DD7455" w:rsidRPr="00DD7455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Enforcement</w:t>
            </w:r>
            <w:r w:rsidR="00DD7455" w:rsidRPr="00DD7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Ukraine</w:t>
            </w:r>
            <w:r w:rsidR="00DD7455" w:rsidRPr="00DD74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610E5" w:rsidRDefault="004610E5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Performing</w:t>
            </w:r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preliminary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detention</w:t>
            </w:r>
            <w:proofErr w:type="spellEnd"/>
          </w:p>
          <w:p w:rsidR="004610E5" w:rsidRDefault="004610E5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Classification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review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acceptance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registration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convicts</w:t>
            </w:r>
            <w:proofErr w:type="spellEnd"/>
          </w:p>
          <w:p w:rsidR="004610E5" w:rsidRDefault="004610E5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Means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convicts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resocialization</w:t>
            </w:r>
            <w:proofErr w:type="spellEnd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10E5">
              <w:rPr>
                <w:rFonts w:ascii="Times New Roman" w:hAnsi="Times New Roman"/>
                <w:sz w:val="24"/>
                <w:szCs w:val="24"/>
                <w:lang w:val="uk-UA"/>
              </w:rPr>
              <w:t>effectiveness</w:t>
            </w:r>
            <w:proofErr w:type="spellEnd"/>
          </w:p>
          <w:p w:rsidR="00C83F8D" w:rsidRPr="0022314C" w:rsidRDefault="004F7B50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="004610E5" w:rsidRPr="004F7B50">
              <w:rPr>
                <w:rFonts w:ascii="Times New Roman" w:hAnsi="Times New Roman"/>
                <w:sz w:val="24"/>
                <w:szCs w:val="24"/>
                <w:lang w:val="uk-UA"/>
              </w:rPr>
              <w:t>omestic</w:t>
            </w:r>
            <w:proofErr w:type="spellEnd"/>
            <w:r w:rsidR="004610E5"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10E5" w:rsidRPr="004F7B50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4610E5"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10E5" w:rsidRPr="004F7B50">
              <w:rPr>
                <w:rFonts w:ascii="Times New Roman" w:hAnsi="Times New Roman"/>
                <w:sz w:val="24"/>
                <w:szCs w:val="24"/>
                <w:lang w:val="uk-UA"/>
              </w:rPr>
              <w:t>medical-sanitary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convicts</w:t>
            </w:r>
            <w:proofErr w:type="spellEnd"/>
          </w:p>
          <w:p w:rsidR="004F7B50" w:rsidRDefault="004F7B50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Exemption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prisoners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from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places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confinement</w:t>
            </w:r>
            <w:proofErr w:type="spellEnd"/>
          </w:p>
          <w:p w:rsidR="004F7B50" w:rsidRDefault="004F7B50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Conditions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life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imprisonment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material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welfare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</w:p>
          <w:p w:rsidR="004F7B50" w:rsidRPr="000A75D7" w:rsidRDefault="004F7B50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>order</w:t>
            </w:r>
            <w:proofErr w:type="spellEnd"/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>conditions</w:t>
            </w:r>
            <w:proofErr w:type="spellEnd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>punishment</w:t>
            </w:r>
            <w:proofErr w:type="spellEnd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75D7" w:rsidRPr="000A75D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>f</w:t>
            </w:r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75D7">
              <w:rPr>
                <w:rFonts w:ascii="Times New Roman" w:hAnsi="Times New Roman"/>
                <w:sz w:val="24"/>
                <w:szCs w:val="24"/>
                <w:lang w:val="en-US"/>
              </w:rPr>
              <w:t>individuals</w:t>
            </w:r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75D7">
              <w:rPr>
                <w:rFonts w:ascii="Times New Roman" w:hAnsi="Times New Roman"/>
                <w:sz w:val="24"/>
                <w:szCs w:val="24"/>
                <w:lang w:val="en-US"/>
              </w:rPr>
              <w:t>for whom</w:t>
            </w:r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>insulation</w:t>
            </w:r>
            <w:proofErr w:type="spellEnd"/>
            <w:r w:rsidRPr="000A7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</w:t>
            </w:r>
            <w:proofErr w:type="spellStart"/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>no</w:t>
            </w:r>
            <w:proofErr w:type="spellEnd"/>
            <w:r w:rsidRPr="000A75D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75D7" w:rsidRPr="000A75D7">
              <w:rPr>
                <w:rFonts w:ascii="Times New Roman" w:hAnsi="Times New Roman"/>
                <w:sz w:val="24"/>
                <w:szCs w:val="24"/>
                <w:lang w:val="uk-UA"/>
              </w:rPr>
              <w:t>applicable</w:t>
            </w:r>
            <w:proofErr w:type="spellEnd"/>
            <w:r w:rsidRPr="000A75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7B50" w:rsidRDefault="004F7B50" w:rsidP="005B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execution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punishment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regarding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military</w:t>
            </w:r>
            <w:proofErr w:type="spellEnd"/>
          </w:p>
          <w:p w:rsidR="00C83F8D" w:rsidRPr="00F80EFD" w:rsidRDefault="004F7B50" w:rsidP="0081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Working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prisoners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payment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4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their </w:t>
            </w:r>
            <w:proofErr w:type="spellStart"/>
            <w:r w:rsidRPr="004F7B50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</w:p>
        </w:tc>
      </w:tr>
      <w:tr w:rsidR="00C83F8D" w:rsidRPr="00F80EFD" w:rsidTr="005B03F5">
        <w:trPr>
          <w:trHeight w:val="273"/>
        </w:trPr>
        <w:tc>
          <w:tcPr>
            <w:tcW w:w="9463" w:type="dxa"/>
            <w:gridSpan w:val="5"/>
          </w:tcPr>
          <w:p w:rsidR="00C83F8D" w:rsidRPr="00F80EFD" w:rsidRDefault="000D4F6E" w:rsidP="005B03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Literature</w:t>
            </w:r>
            <w:r w:rsidR="00C83F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**</w:t>
            </w:r>
          </w:p>
        </w:tc>
      </w:tr>
      <w:tr w:rsidR="00C83F8D" w:rsidRPr="00D86DC5" w:rsidTr="005B03F5">
        <w:trPr>
          <w:trHeight w:val="273"/>
        </w:trPr>
        <w:tc>
          <w:tcPr>
            <w:tcW w:w="9463" w:type="dxa"/>
            <w:gridSpan w:val="5"/>
          </w:tcPr>
          <w:p w:rsidR="000D4F6E" w:rsidRPr="002252F9" w:rsidRDefault="000D4F6E" w:rsidP="000D4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Compulsory</w:t>
            </w:r>
            <w:r w:rsidRPr="00225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reading</w:t>
            </w:r>
          </w:p>
          <w:p w:rsidR="00C83F8D" w:rsidRPr="00780821" w:rsidRDefault="00814A8D" w:rsidP="005B03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 w:rsidRPr="00814A8D">
              <w:rPr>
                <w:rFonts w:ascii="Times New Roman" w:hAnsi="Times New Roman"/>
              </w:rPr>
              <w:t xml:space="preserve">. </w:t>
            </w:r>
            <w:r w:rsidR="00C83F8D" w:rsidRPr="00871C1D">
              <w:rPr>
                <w:rFonts w:ascii="Times New Roman" w:hAnsi="Times New Roman"/>
                <w:lang w:val="uk-UA"/>
              </w:rPr>
              <w:t xml:space="preserve">Кримінально-виконавче право України: Підручник / О.М. </w:t>
            </w:r>
            <w:proofErr w:type="spellStart"/>
            <w:r w:rsidR="00C83F8D" w:rsidRPr="00871C1D">
              <w:rPr>
                <w:rFonts w:ascii="Times New Roman" w:hAnsi="Times New Roman"/>
                <w:lang w:val="uk-UA"/>
              </w:rPr>
              <w:t>Джужа</w:t>
            </w:r>
            <w:proofErr w:type="spellEnd"/>
            <w:r w:rsidR="00C83F8D" w:rsidRPr="00871C1D">
              <w:rPr>
                <w:rFonts w:ascii="Times New Roman" w:hAnsi="Times New Roman"/>
                <w:lang w:val="uk-UA"/>
              </w:rPr>
              <w:t xml:space="preserve">, І.Г. Богатирьов, О.Г. Колб, В.В. </w:t>
            </w:r>
            <w:proofErr w:type="spellStart"/>
            <w:r w:rsidR="00C83F8D" w:rsidRPr="00871C1D">
              <w:rPr>
                <w:rFonts w:ascii="Times New Roman" w:hAnsi="Times New Roman"/>
                <w:lang w:val="uk-UA"/>
              </w:rPr>
              <w:t>Василевич</w:t>
            </w:r>
            <w:proofErr w:type="spellEnd"/>
            <w:r w:rsidR="00C83F8D" w:rsidRPr="00871C1D">
              <w:rPr>
                <w:rFonts w:ascii="Times New Roman" w:hAnsi="Times New Roman"/>
                <w:lang w:val="uk-UA"/>
              </w:rPr>
              <w:t xml:space="preserve"> та ін.; За </w:t>
            </w:r>
            <w:proofErr w:type="spellStart"/>
            <w:r w:rsidR="00C83F8D" w:rsidRPr="00871C1D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="00C83F8D" w:rsidRPr="00871C1D">
              <w:rPr>
                <w:rFonts w:ascii="Times New Roman" w:hAnsi="Times New Roman"/>
                <w:lang w:val="uk-UA"/>
              </w:rPr>
              <w:t xml:space="preserve">. ред. </w:t>
            </w:r>
            <w:proofErr w:type="spellStart"/>
            <w:r w:rsidR="00C83F8D" w:rsidRPr="00871C1D">
              <w:rPr>
                <w:rFonts w:ascii="Times New Roman" w:hAnsi="Times New Roman"/>
                <w:lang w:val="uk-UA"/>
              </w:rPr>
              <w:t>докт</w:t>
            </w:r>
            <w:proofErr w:type="spellEnd"/>
            <w:r w:rsidR="00C83F8D" w:rsidRPr="00871C1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C83F8D" w:rsidRPr="00871C1D">
              <w:rPr>
                <w:rFonts w:ascii="Times New Roman" w:hAnsi="Times New Roman"/>
                <w:lang w:val="uk-UA"/>
              </w:rPr>
              <w:t>юрид</w:t>
            </w:r>
            <w:proofErr w:type="spellEnd"/>
            <w:r w:rsidR="00C83F8D" w:rsidRPr="00871C1D">
              <w:rPr>
                <w:rFonts w:ascii="Times New Roman" w:hAnsi="Times New Roman"/>
                <w:lang w:val="uk-UA"/>
              </w:rPr>
              <w:t xml:space="preserve">. наук, проф. О.М. </w:t>
            </w:r>
            <w:proofErr w:type="spellStart"/>
            <w:r w:rsidR="00C83F8D" w:rsidRPr="00871C1D">
              <w:rPr>
                <w:rFonts w:ascii="Times New Roman" w:hAnsi="Times New Roman"/>
                <w:lang w:val="uk-UA"/>
              </w:rPr>
              <w:t>Джужи</w:t>
            </w:r>
            <w:proofErr w:type="spellEnd"/>
            <w:r w:rsidR="00C83F8D" w:rsidRPr="00871C1D">
              <w:rPr>
                <w:rFonts w:ascii="Times New Roman" w:hAnsi="Times New Roman"/>
                <w:lang w:val="uk-UA"/>
              </w:rPr>
              <w:t xml:space="preserve">.– К.: </w:t>
            </w:r>
            <w:proofErr w:type="spellStart"/>
            <w:r w:rsidR="00C83F8D" w:rsidRPr="00871C1D">
              <w:rPr>
                <w:rFonts w:ascii="Times New Roman" w:hAnsi="Times New Roman"/>
                <w:lang w:val="uk-UA"/>
              </w:rPr>
              <w:t>Атіка</w:t>
            </w:r>
            <w:proofErr w:type="spellEnd"/>
            <w:r w:rsidR="00C83F8D" w:rsidRPr="00871C1D">
              <w:rPr>
                <w:rFonts w:ascii="Times New Roman" w:hAnsi="Times New Roman"/>
                <w:lang w:val="uk-UA"/>
              </w:rPr>
              <w:t>, 2010.– 752 с.</w:t>
            </w:r>
          </w:p>
          <w:p w:rsidR="00C83F8D" w:rsidRPr="00814A8D" w:rsidRDefault="000D4F6E" w:rsidP="005B03F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0099">
              <w:rPr>
                <w:rFonts w:ascii="Times New Roman" w:hAnsi="Times New Roman" w:cs="Times New Roman"/>
                <w:b/>
                <w:bCs/>
                <w:lang w:val="en-GB"/>
              </w:rPr>
              <w:t>Recommended</w:t>
            </w:r>
            <w:r w:rsidRPr="00814A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800099">
              <w:rPr>
                <w:rFonts w:ascii="Times New Roman" w:hAnsi="Times New Roman" w:cs="Times New Roman"/>
                <w:b/>
                <w:bCs/>
                <w:lang w:val="en-GB"/>
              </w:rPr>
              <w:t>reading</w:t>
            </w:r>
            <w:r w:rsidRPr="00814A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83F8D" w:rsidRPr="00814A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C83F8D" w:rsidRPr="00814A8D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4A8D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Гель А.П.,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Семаков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 Г.С.,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Яковец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 І.С.  Кримінально-виконавче право України: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Навч.посібник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 /За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ред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..проф.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А.Х.Степанюка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. – К.: Юрінком Інтер, 2008. – 624с. </w:t>
            </w:r>
          </w:p>
          <w:p w:rsidR="00C83F8D" w:rsidRPr="00814A8D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4A8D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Історико-правові засади кримінально-виконавчої політики України: монографія / М.М.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Яцишин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. – Луцьк: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Волин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>. нац. ун-т ім. Лесі Українки, 2010. – 448 с.</w:t>
            </w:r>
          </w:p>
          <w:p w:rsidR="00C83F8D" w:rsidRPr="00814A8D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4A8D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C83F8D" w:rsidRPr="00BA2761">
              <w:rPr>
                <w:rFonts w:ascii="Times New Roman" w:hAnsi="Times New Roman" w:cs="Times New Roman"/>
                <w:lang w:val="uk-UA"/>
              </w:rPr>
              <w:t xml:space="preserve">Кримінально-виконавче право України: Підручник / О.М. </w:t>
            </w:r>
            <w:proofErr w:type="spellStart"/>
            <w:r w:rsidR="00C83F8D" w:rsidRPr="00BA2761">
              <w:rPr>
                <w:rFonts w:ascii="Times New Roman" w:hAnsi="Times New Roman" w:cs="Times New Roman"/>
                <w:lang w:val="uk-UA"/>
              </w:rPr>
              <w:t>Джужа</w:t>
            </w:r>
            <w:proofErr w:type="spellEnd"/>
            <w:r w:rsidR="00C83F8D" w:rsidRPr="00BA2761">
              <w:rPr>
                <w:rFonts w:ascii="Times New Roman" w:hAnsi="Times New Roman" w:cs="Times New Roman"/>
                <w:lang w:val="uk-UA"/>
              </w:rPr>
              <w:t xml:space="preserve">, І.Г. Богатирьов, О.Г. Колб, В.В. </w:t>
            </w:r>
            <w:proofErr w:type="spellStart"/>
            <w:r w:rsidR="00C83F8D" w:rsidRPr="00BA2761">
              <w:rPr>
                <w:rFonts w:ascii="Times New Roman" w:hAnsi="Times New Roman" w:cs="Times New Roman"/>
                <w:lang w:val="uk-UA"/>
              </w:rPr>
              <w:t>Василевич</w:t>
            </w:r>
            <w:proofErr w:type="spellEnd"/>
            <w:r w:rsidR="00C83F8D" w:rsidRPr="00BA2761">
              <w:rPr>
                <w:rFonts w:ascii="Times New Roman" w:hAnsi="Times New Roman" w:cs="Times New Roman"/>
                <w:lang w:val="uk-UA"/>
              </w:rPr>
              <w:t xml:space="preserve"> та ін.; За </w:t>
            </w:r>
            <w:proofErr w:type="spellStart"/>
            <w:r w:rsidR="00C83F8D" w:rsidRPr="00BA2761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="00C83F8D" w:rsidRPr="00BA2761">
              <w:rPr>
                <w:rFonts w:ascii="Times New Roman" w:hAnsi="Times New Roman" w:cs="Times New Roman"/>
                <w:lang w:val="uk-UA"/>
              </w:rPr>
              <w:t xml:space="preserve">. ред. </w:t>
            </w:r>
            <w:proofErr w:type="spellStart"/>
            <w:r w:rsidR="00C83F8D" w:rsidRPr="00BA2761">
              <w:rPr>
                <w:rFonts w:ascii="Times New Roman" w:hAnsi="Times New Roman" w:cs="Times New Roman"/>
                <w:lang w:val="uk-UA"/>
              </w:rPr>
              <w:t>докт</w:t>
            </w:r>
            <w:proofErr w:type="spellEnd"/>
            <w:r w:rsidR="00C83F8D" w:rsidRPr="00BA276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C83F8D" w:rsidRPr="00BA2761">
              <w:rPr>
                <w:rFonts w:ascii="Times New Roman" w:hAnsi="Times New Roman" w:cs="Times New Roman"/>
                <w:lang w:val="uk-UA"/>
              </w:rPr>
              <w:t>юрид</w:t>
            </w:r>
            <w:proofErr w:type="spellEnd"/>
            <w:r w:rsidR="00C83F8D" w:rsidRPr="00BA2761">
              <w:rPr>
                <w:rFonts w:ascii="Times New Roman" w:hAnsi="Times New Roman" w:cs="Times New Roman"/>
                <w:lang w:val="uk-UA"/>
              </w:rPr>
              <w:t xml:space="preserve">. наук, проф. </w:t>
            </w:r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О.М.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Джужи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.– К.: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Атіка</w:t>
            </w:r>
            <w:proofErr w:type="spellEnd"/>
            <w:r w:rsidR="00C83F8D" w:rsidRPr="00814A8D">
              <w:rPr>
                <w:rFonts w:ascii="Times New Roman" w:hAnsi="Times New Roman" w:cs="Times New Roman"/>
                <w:lang w:val="uk-UA"/>
              </w:rPr>
              <w:t>, 2010.– 752 с.</w:t>
            </w:r>
          </w:p>
          <w:p w:rsidR="00C83F8D" w:rsidRPr="00780821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 xml:space="preserve">5. </w:t>
            </w:r>
            <w:r w:rsidR="00C83F8D" w:rsidRPr="00814A8D">
              <w:rPr>
                <w:rFonts w:ascii="Times New Roman" w:hAnsi="Times New Roman" w:cs="Times New Roman"/>
                <w:lang w:val="uk-UA"/>
              </w:rPr>
              <w:t xml:space="preserve">Кримінально-виконавче право України. Підручник для студентів юридичних спеціальностей вищих навчальних закладів / За ред. </w:t>
            </w:r>
            <w:proofErr w:type="spellStart"/>
            <w:r w:rsidR="00C83F8D" w:rsidRPr="00814A8D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. А.Х.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Степанюка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>.-Х.: Право,2005.-256с.</w:t>
            </w:r>
          </w:p>
          <w:p w:rsidR="00C83F8D" w:rsidRPr="000D4F6E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4A8D">
              <w:rPr>
                <w:rFonts w:ascii="Times New Roman" w:hAnsi="Times New Roman" w:cs="Times New Roman"/>
              </w:rPr>
              <w:t xml:space="preserve">6. </w:t>
            </w:r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Кримінально-виконавче право України: (Загальна та Особлива частини):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посіб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. / О.М.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Джужа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, С.Я.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Фаренюк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, В.О.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Корчинський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 та ін.; За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ред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Джужи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 xml:space="preserve">. – 2-е вид., перероб. та </w:t>
            </w:r>
            <w:proofErr w:type="spellStart"/>
            <w:r w:rsidR="00C83F8D" w:rsidRPr="000D4F6E">
              <w:rPr>
                <w:rFonts w:ascii="Times New Roman" w:hAnsi="Times New Roman" w:cs="Times New Roman"/>
                <w:lang w:val="uk-UA"/>
              </w:rPr>
              <w:t>допов</w:t>
            </w:r>
            <w:proofErr w:type="spellEnd"/>
            <w:r w:rsidR="00C83F8D" w:rsidRPr="000D4F6E">
              <w:rPr>
                <w:rFonts w:ascii="Times New Roman" w:hAnsi="Times New Roman" w:cs="Times New Roman"/>
                <w:lang w:val="uk-UA"/>
              </w:rPr>
              <w:t>. – К.: Юрінком-Інтер, 2002. – 448 с.</w:t>
            </w:r>
          </w:p>
          <w:p w:rsidR="00C83F8D" w:rsidRPr="00780821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4A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Кримінально-виконавче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="00C83F8D" w:rsidRPr="00780821">
              <w:rPr>
                <w:rFonts w:ascii="Times New Roman" w:hAnsi="Times New Roman" w:cs="Times New Roman"/>
              </w:rPr>
              <w:t>П</w:t>
            </w:r>
            <w:proofErr w:type="gramEnd"/>
            <w:r w:rsidR="00C83F8D" w:rsidRPr="00780821">
              <w:rPr>
                <w:rFonts w:ascii="Times New Roman" w:hAnsi="Times New Roman" w:cs="Times New Roman"/>
              </w:rPr>
              <w:t>ідручник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 / В.М. Трубников,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В.М.Харченко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ін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.// За ред. В.М.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Харків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>: Право, 2001. – 384 с.</w:t>
            </w:r>
          </w:p>
          <w:p w:rsidR="00C83F8D" w:rsidRPr="00780821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4A8D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Пташинський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 О.Б.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Пенітенціарна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 система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>. – К.,2004. – 204 с.</w:t>
            </w:r>
          </w:p>
          <w:p w:rsidR="00C83F8D" w:rsidRPr="00C83F8D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4A8D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="00C83F8D" w:rsidRPr="00C83F8D">
              <w:rPr>
                <w:rFonts w:ascii="Times New Roman" w:hAnsi="Times New Roman" w:cs="Times New Roman"/>
                <w:lang w:val="uk-UA"/>
              </w:rPr>
              <w:t>Хрестомат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>i</w:t>
            </w:r>
            <w:r w:rsidR="00C83F8D" w:rsidRPr="00C83F8D">
              <w:rPr>
                <w:rFonts w:ascii="Times New Roman" w:hAnsi="Times New Roman" w:cs="Times New Roman"/>
                <w:lang w:val="uk-UA"/>
              </w:rPr>
              <w:t xml:space="preserve">я з </w:t>
            </w:r>
            <w:r w:rsidR="00C83F8D" w:rsidRPr="00780821">
              <w:rPr>
                <w:rFonts w:ascii="Times New Roman" w:hAnsi="Times New Roman" w:cs="Times New Roman"/>
              </w:rPr>
              <w:t>i</w:t>
            </w:r>
            <w:r w:rsidR="00C83F8D" w:rsidRPr="00C83F8D">
              <w:rPr>
                <w:rFonts w:ascii="Times New Roman" w:hAnsi="Times New Roman" w:cs="Times New Roman"/>
                <w:lang w:val="uk-UA"/>
              </w:rPr>
              <w:t>стор</w:t>
            </w:r>
            <w:r w:rsidR="00C83F8D" w:rsidRPr="00780821">
              <w:rPr>
                <w:rFonts w:ascii="Times New Roman" w:hAnsi="Times New Roman" w:cs="Times New Roman"/>
              </w:rPr>
              <w:t>i</w:t>
            </w:r>
            <w:r w:rsidR="00C83F8D" w:rsidRPr="00C83F8D">
              <w:rPr>
                <w:rFonts w:ascii="Times New Roman" w:hAnsi="Times New Roman" w:cs="Times New Roman"/>
                <w:lang w:val="uk-UA"/>
              </w:rPr>
              <w:t>ї пен</w:t>
            </w:r>
            <w:r w:rsidR="00C83F8D" w:rsidRPr="00780821">
              <w:rPr>
                <w:rFonts w:ascii="Times New Roman" w:hAnsi="Times New Roman" w:cs="Times New Roman"/>
              </w:rPr>
              <w:t>i</w:t>
            </w:r>
            <w:r w:rsidR="00C83F8D" w:rsidRPr="00C83F8D">
              <w:rPr>
                <w:rFonts w:ascii="Times New Roman" w:hAnsi="Times New Roman" w:cs="Times New Roman"/>
                <w:lang w:val="uk-UA"/>
              </w:rPr>
              <w:t>тенц</w:t>
            </w:r>
            <w:r w:rsidR="00C83F8D" w:rsidRPr="00780821">
              <w:rPr>
                <w:rFonts w:ascii="Times New Roman" w:hAnsi="Times New Roman" w:cs="Times New Roman"/>
              </w:rPr>
              <w:t>i</w:t>
            </w:r>
            <w:r w:rsidR="00C83F8D" w:rsidRPr="00C83F8D">
              <w:rPr>
                <w:rFonts w:ascii="Times New Roman" w:hAnsi="Times New Roman" w:cs="Times New Roman"/>
                <w:lang w:val="uk-UA"/>
              </w:rPr>
              <w:t xml:space="preserve">арної системи України / Упор. Г.О. Радов, </w:t>
            </w:r>
            <w:r w:rsidR="00C83F8D" w:rsidRPr="00780821">
              <w:rPr>
                <w:rFonts w:ascii="Times New Roman" w:hAnsi="Times New Roman" w:cs="Times New Roman"/>
              </w:rPr>
              <w:t>I</w:t>
            </w:r>
            <w:r w:rsidR="00C83F8D" w:rsidRPr="00C83F8D">
              <w:rPr>
                <w:rFonts w:ascii="Times New Roman" w:hAnsi="Times New Roman" w:cs="Times New Roman"/>
                <w:lang w:val="uk-UA"/>
              </w:rPr>
              <w:t>.</w:t>
            </w:r>
            <w:r w:rsidR="00C83F8D" w:rsidRPr="00780821">
              <w:rPr>
                <w:rFonts w:ascii="Times New Roman" w:hAnsi="Times New Roman" w:cs="Times New Roman"/>
              </w:rPr>
              <w:t>I</w:t>
            </w:r>
            <w:r w:rsidR="00C83F8D" w:rsidRPr="00C83F8D">
              <w:rPr>
                <w:rFonts w:ascii="Times New Roman" w:hAnsi="Times New Roman" w:cs="Times New Roman"/>
                <w:lang w:val="uk-UA"/>
              </w:rPr>
              <w:t>. Резник. – К., 1998.</w:t>
            </w:r>
          </w:p>
          <w:p w:rsidR="00C83F8D" w:rsidRPr="000D4F6E" w:rsidRDefault="00814A8D" w:rsidP="005B0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4A8D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="00C83F8D" w:rsidRPr="00780821">
              <w:rPr>
                <w:rFonts w:ascii="Times New Roman" w:hAnsi="Times New Roman" w:cs="Times New Roman"/>
              </w:rPr>
              <w:t>Бандурка</w:t>
            </w:r>
            <w:proofErr w:type="spellEnd"/>
            <w:r w:rsidR="00C83F8D" w:rsidRPr="00780821">
              <w:rPr>
                <w:rFonts w:ascii="Times New Roman" w:hAnsi="Times New Roman" w:cs="Times New Roman"/>
              </w:rPr>
              <w:t xml:space="preserve"> А.М., Денисова Т.А., Трубников В.М. Общая теория социальной адаптации освобожденных от отбывания наказания (правовой и </w:t>
            </w:r>
            <w:proofErr w:type="gramStart"/>
            <w:r w:rsidR="00C83F8D" w:rsidRPr="00780821">
              <w:rPr>
                <w:rFonts w:ascii="Times New Roman" w:hAnsi="Times New Roman" w:cs="Times New Roman"/>
              </w:rPr>
              <w:t>социальной-психологический</w:t>
            </w:r>
            <w:proofErr w:type="gramEnd"/>
            <w:r w:rsidR="00C83F8D" w:rsidRPr="00780821">
              <w:rPr>
                <w:rFonts w:ascii="Times New Roman" w:hAnsi="Times New Roman" w:cs="Times New Roman"/>
              </w:rPr>
              <w:t xml:space="preserve"> анализ уголовно-исправительной политики по реабилитации осужденных). – Харьков–Запорожье: НУВД ЗГУ, 2002. – 440 с.</w:t>
            </w:r>
          </w:p>
          <w:p w:rsidR="00C83F8D" w:rsidRPr="000D4F6E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08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4F6E" w:rsidRPr="00A00491">
              <w:rPr>
                <w:rFonts w:ascii="Times New Roman" w:hAnsi="Times New Roman" w:cs="Times New Roman"/>
                <w:b/>
                <w:bCs/>
                <w:lang w:val="uk-UA"/>
              </w:rPr>
              <w:t>Web</w:t>
            </w:r>
            <w:proofErr w:type="spellEnd"/>
            <w:r w:rsidR="000D4F6E" w:rsidRPr="00A0049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0D4F6E" w:rsidRPr="00A00491">
              <w:rPr>
                <w:rFonts w:ascii="Times New Roman" w:hAnsi="Times New Roman" w:cs="Times New Roman"/>
                <w:b/>
                <w:bCs/>
                <w:lang w:val="uk-UA"/>
              </w:rPr>
              <w:t>Resources</w:t>
            </w:r>
            <w:proofErr w:type="spellEnd"/>
          </w:p>
          <w:p w:rsidR="00C83F8D" w:rsidRPr="00814A8D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4A8D">
              <w:rPr>
                <w:rFonts w:ascii="Times New Roman" w:hAnsi="Times New Roman" w:cs="Times New Roman"/>
                <w:lang w:val="en-US"/>
              </w:rPr>
              <w:t>1.</w:t>
            </w:r>
            <w:r w:rsidRPr="00814A8D">
              <w:rPr>
                <w:rFonts w:ascii="Times New Roman" w:hAnsi="Times New Roman" w:cs="Times New Roman"/>
                <w:lang w:val="en-US"/>
              </w:rPr>
              <w:tab/>
            </w:r>
            <w:r w:rsidR="00814A8D">
              <w:rPr>
                <w:rFonts w:ascii="Times New Roman" w:hAnsi="Times New Roman" w:cs="Times New Roman"/>
                <w:lang w:val="en-US"/>
              </w:rPr>
              <w:t xml:space="preserve">http://portal.rada.gov.ua           </w:t>
            </w:r>
            <w:r w:rsidRPr="00814A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Official website of the </w:t>
            </w:r>
            <w:proofErr w:type="spellStart"/>
            <w:r w:rsidR="00814A8D" w:rsidRPr="00814A8D">
              <w:rPr>
                <w:rFonts w:ascii="Times New Roman" w:hAnsi="Times New Roman" w:cs="Times New Roman"/>
                <w:lang w:val="en-US"/>
              </w:rPr>
              <w:t>Verkhovna</w:t>
            </w:r>
            <w:proofErr w:type="spellEnd"/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4A8D" w:rsidRPr="00814A8D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 of Ukraine</w:t>
            </w:r>
            <w:r w:rsidRPr="00814A8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C83F8D" w:rsidRPr="00814A8D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4A8D">
              <w:rPr>
                <w:rFonts w:ascii="Times New Roman" w:hAnsi="Times New Roman" w:cs="Times New Roman"/>
                <w:lang w:val="en-US"/>
              </w:rPr>
              <w:t>2.</w:t>
            </w:r>
            <w:r w:rsidRPr="00814A8D">
              <w:rPr>
                <w:rFonts w:ascii="Times New Roman" w:hAnsi="Times New Roman" w:cs="Times New Roman"/>
                <w:lang w:val="en-US"/>
              </w:rPr>
              <w:tab/>
              <w:t xml:space="preserve">http://kmu.gov.ua  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814A8D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814A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14A8D">
              <w:rPr>
                <w:rFonts w:ascii="Times New Roman" w:hAnsi="Times New Roman" w:cs="Times New Roman"/>
                <w:lang w:val="en-US"/>
              </w:rPr>
              <w:t>O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>fficial website of the Cabinet of Ministers of Ukraine</w:t>
            </w:r>
            <w:r w:rsidRPr="00814A8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83F8D" w:rsidRPr="00814A8D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4A8D">
              <w:rPr>
                <w:rFonts w:ascii="Times New Roman" w:hAnsi="Times New Roman" w:cs="Times New Roman"/>
                <w:lang w:val="en-US"/>
              </w:rPr>
              <w:t>3.</w:t>
            </w:r>
            <w:r w:rsidRPr="00814A8D">
              <w:rPr>
                <w:rFonts w:ascii="Times New Roman" w:hAnsi="Times New Roman" w:cs="Times New Roman"/>
                <w:lang w:val="en-US"/>
              </w:rPr>
              <w:tab/>
              <w:t>http://cc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u.gov.ua               </w:t>
            </w:r>
            <w:r w:rsidR="00814A8D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814A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14A8D">
              <w:rPr>
                <w:rFonts w:ascii="Times New Roman" w:hAnsi="Times New Roman" w:cs="Times New Roman"/>
                <w:lang w:val="en-US"/>
              </w:rPr>
              <w:t>O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>fficial website of the Constitutional Court of Ukraine.</w:t>
            </w:r>
          </w:p>
          <w:p w:rsidR="00C83F8D" w:rsidRPr="00814A8D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4A8D">
              <w:rPr>
                <w:rFonts w:ascii="Times New Roman" w:hAnsi="Times New Roman" w:cs="Times New Roman"/>
                <w:lang w:val="en-US"/>
              </w:rPr>
              <w:t>4.</w:t>
            </w:r>
            <w:r w:rsidRPr="00814A8D">
              <w:rPr>
                <w:rFonts w:ascii="Times New Roman" w:hAnsi="Times New Roman" w:cs="Times New Roman"/>
                <w:lang w:val="en-US"/>
              </w:rPr>
              <w:tab/>
              <w:t>http://presi</w:t>
            </w:r>
            <w:r w:rsidR="00814A8D">
              <w:rPr>
                <w:rFonts w:ascii="Times New Roman" w:hAnsi="Times New Roman" w:cs="Times New Roman"/>
                <w:lang w:val="en-US"/>
              </w:rPr>
              <w:t xml:space="preserve">dent.gov.ua             </w:t>
            </w:r>
            <w:r w:rsidRPr="00814A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>Official website of the President of Ukraine</w:t>
            </w:r>
            <w:r w:rsidRPr="00814A8D">
              <w:rPr>
                <w:rFonts w:ascii="Times New Roman" w:hAnsi="Times New Roman" w:cs="Times New Roman"/>
                <w:lang w:val="en-US"/>
              </w:rPr>
              <w:t xml:space="preserve">.             </w:t>
            </w:r>
          </w:p>
          <w:p w:rsidR="00C83F8D" w:rsidRPr="00814A8D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4A8D">
              <w:rPr>
                <w:rFonts w:ascii="Times New Roman" w:hAnsi="Times New Roman" w:cs="Times New Roman"/>
                <w:lang w:val="en-US"/>
              </w:rPr>
              <w:t>5.</w:t>
            </w:r>
            <w:r w:rsidRPr="00814A8D">
              <w:rPr>
                <w:rFonts w:ascii="Times New Roman" w:hAnsi="Times New Roman" w:cs="Times New Roman"/>
                <w:lang w:val="en-US"/>
              </w:rPr>
              <w:tab/>
              <w:t>http://ww</w:t>
            </w:r>
            <w:r w:rsidR="00814A8D">
              <w:rPr>
                <w:rFonts w:ascii="Times New Roman" w:hAnsi="Times New Roman" w:cs="Times New Roman"/>
                <w:lang w:val="en-US"/>
              </w:rPr>
              <w:t xml:space="preserve">w.nau.ua          - </w:t>
            </w:r>
            <w:r w:rsidR="00814A8D" w:rsidRPr="00814A8D">
              <w:rPr>
                <w:rFonts w:ascii="Times New Roman" w:hAnsi="Times New Roman" w:cs="Times New Roman"/>
                <w:lang w:val="en-US"/>
              </w:rPr>
              <w:t xml:space="preserve">Information retrieval legal system </w:t>
            </w:r>
            <w:r w:rsidRPr="00814A8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780821">
              <w:rPr>
                <w:rFonts w:ascii="Times New Roman" w:hAnsi="Times New Roman" w:cs="Times New Roman"/>
              </w:rPr>
              <w:t>Нормативні</w:t>
            </w:r>
            <w:proofErr w:type="spellEnd"/>
            <w:r w:rsidRPr="00814A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0821">
              <w:rPr>
                <w:rFonts w:ascii="Times New Roman" w:hAnsi="Times New Roman" w:cs="Times New Roman"/>
              </w:rPr>
              <w:t>акти</w:t>
            </w:r>
            <w:proofErr w:type="spellEnd"/>
            <w:r w:rsidRPr="00814A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082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14A8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80821">
              <w:rPr>
                <w:rFonts w:ascii="Times New Roman" w:hAnsi="Times New Roman" w:cs="Times New Roman"/>
              </w:rPr>
              <w:t>НАУ</w:t>
            </w:r>
            <w:proofErr w:type="gramStart"/>
            <w:r w:rsidRPr="00814A8D">
              <w:rPr>
                <w:rFonts w:ascii="Times New Roman" w:hAnsi="Times New Roman" w:cs="Times New Roman"/>
                <w:lang w:val="en-US"/>
              </w:rPr>
              <w:t>)»</w:t>
            </w:r>
            <w:proofErr w:type="gramEnd"/>
            <w:r w:rsidRPr="00814A8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83F8D" w:rsidRPr="00A9328C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28C">
              <w:rPr>
                <w:rFonts w:ascii="Times New Roman" w:hAnsi="Times New Roman" w:cs="Times New Roman"/>
                <w:lang w:val="en-US"/>
              </w:rPr>
              <w:t>6.</w:t>
            </w:r>
            <w:r w:rsidRPr="00A9328C">
              <w:rPr>
                <w:rFonts w:ascii="Times New Roman" w:hAnsi="Times New Roman" w:cs="Times New Roman"/>
                <w:lang w:val="en-US"/>
              </w:rPr>
              <w:tab/>
              <w:t xml:space="preserve">http://www.konspect.com   </w:t>
            </w:r>
            <w:r w:rsidR="00A9328C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A9328C">
              <w:rPr>
                <w:rFonts w:ascii="Times New Roman" w:hAnsi="Times New Roman" w:cs="Times New Roman"/>
                <w:lang w:val="en-US"/>
              </w:rPr>
              <w:t xml:space="preserve">     - </w:t>
            </w:r>
            <w:r w:rsidR="00A9328C">
              <w:rPr>
                <w:rFonts w:ascii="Times New Roman" w:hAnsi="Times New Roman" w:cs="Times New Roman"/>
                <w:lang w:val="en-US"/>
              </w:rPr>
              <w:t>Learning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 xml:space="preserve"> portal </w:t>
            </w:r>
            <w:r w:rsidRPr="00A9328C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780821">
              <w:rPr>
                <w:rFonts w:ascii="Times New Roman" w:hAnsi="Times New Roman" w:cs="Times New Roman"/>
              </w:rPr>
              <w:t>Готуємось</w:t>
            </w:r>
            <w:proofErr w:type="spellEnd"/>
            <w:r w:rsidRPr="00A932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0821">
              <w:rPr>
                <w:rFonts w:ascii="Times New Roman" w:hAnsi="Times New Roman" w:cs="Times New Roman"/>
              </w:rPr>
              <w:t>до</w:t>
            </w:r>
            <w:r w:rsidRPr="00A932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0821">
              <w:rPr>
                <w:rFonts w:ascii="Times New Roman" w:hAnsi="Times New Roman" w:cs="Times New Roman"/>
              </w:rPr>
              <w:t>занять</w:t>
            </w:r>
            <w:r w:rsidRPr="00A9328C">
              <w:rPr>
                <w:rFonts w:ascii="Times New Roman" w:hAnsi="Times New Roman" w:cs="Times New Roman"/>
                <w:lang w:val="en-US"/>
              </w:rPr>
              <w:t>»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83F8D" w:rsidRPr="00A9328C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28C">
              <w:rPr>
                <w:rFonts w:ascii="Times New Roman" w:hAnsi="Times New Roman" w:cs="Times New Roman"/>
                <w:lang w:val="en-US"/>
              </w:rPr>
              <w:t>7.</w:t>
            </w:r>
            <w:r w:rsidRPr="00A9328C">
              <w:rPr>
                <w:rFonts w:ascii="Times New Roman" w:hAnsi="Times New Roman" w:cs="Times New Roman"/>
                <w:lang w:val="en-US"/>
              </w:rPr>
              <w:tab/>
              <w:t xml:space="preserve">http://www.osvita.org.ua/  </w:t>
            </w:r>
            <w:r w:rsidR="00A9328C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A9328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A9328C">
              <w:rPr>
                <w:rFonts w:ascii="Times New Roman" w:hAnsi="Times New Roman" w:cs="Times New Roman"/>
                <w:lang w:val="en-US"/>
              </w:rPr>
              <w:t>Educational p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>ortal</w:t>
            </w:r>
            <w:r w:rsidR="00A9328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83F8D" w:rsidRPr="00A9328C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28C">
              <w:rPr>
                <w:rFonts w:ascii="Times New Roman" w:hAnsi="Times New Roman" w:cs="Times New Roman"/>
                <w:lang w:val="en-US"/>
              </w:rPr>
              <w:t>8.</w:t>
            </w:r>
            <w:r w:rsidRPr="00A9328C">
              <w:rPr>
                <w:rFonts w:ascii="Times New Roman" w:hAnsi="Times New Roman" w:cs="Times New Roman"/>
                <w:lang w:val="en-US"/>
              </w:rPr>
              <w:tab/>
              <w:t>http://st</w:t>
            </w:r>
            <w:r w:rsidR="00A9328C">
              <w:rPr>
                <w:rFonts w:ascii="Times New Roman" w:hAnsi="Times New Roman" w:cs="Times New Roman"/>
                <w:lang w:val="en-US"/>
              </w:rPr>
              <w:t xml:space="preserve">udent.pp.ua/load                </w:t>
            </w:r>
            <w:r w:rsidRPr="00A9328C">
              <w:rPr>
                <w:rFonts w:ascii="Times New Roman" w:hAnsi="Times New Roman" w:cs="Times New Roman"/>
                <w:lang w:val="en-US"/>
              </w:rPr>
              <w:t xml:space="preserve">  - 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>Student</w:t>
            </w:r>
            <w:r w:rsidR="00A9328C">
              <w:rPr>
                <w:rFonts w:ascii="Times New Roman" w:hAnsi="Times New Roman" w:cs="Times New Roman"/>
                <w:lang w:val="en-US"/>
              </w:rPr>
              <w:t>’s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 xml:space="preserve"> portal </w:t>
            </w:r>
            <w:r w:rsidR="00A9328C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C83F8D" w:rsidRPr="00A9328C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28C">
              <w:rPr>
                <w:rFonts w:ascii="Times New Roman" w:hAnsi="Times New Roman" w:cs="Times New Roman"/>
                <w:lang w:val="en-US"/>
              </w:rPr>
              <w:t>9.</w:t>
            </w:r>
            <w:r w:rsidRPr="00A9328C">
              <w:rPr>
                <w:rFonts w:ascii="Times New Roman" w:hAnsi="Times New Roman" w:cs="Times New Roman"/>
                <w:lang w:val="en-US"/>
              </w:rPr>
              <w:tab/>
              <w:t xml:space="preserve">http://studrada.com.ua/libonline      - </w:t>
            </w:r>
            <w:r w:rsidR="00A9328C">
              <w:rPr>
                <w:rFonts w:ascii="Times New Roman" w:hAnsi="Times New Roman" w:cs="Times New Roman"/>
                <w:lang w:val="en-US"/>
              </w:rPr>
              <w:t>Central legal portal of Ukraine</w:t>
            </w:r>
          </w:p>
          <w:p w:rsidR="00C83F8D" w:rsidRPr="00A9328C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28C">
              <w:rPr>
                <w:rFonts w:ascii="Times New Roman" w:hAnsi="Times New Roman" w:cs="Times New Roman"/>
                <w:lang w:val="en-US"/>
              </w:rPr>
              <w:t>10.</w:t>
            </w:r>
            <w:r w:rsidRPr="00A9328C">
              <w:rPr>
                <w:rFonts w:ascii="Times New Roman" w:hAnsi="Times New Roman" w:cs="Times New Roman"/>
                <w:lang w:val="en-US"/>
              </w:rPr>
              <w:tab/>
              <w:t xml:space="preserve">http://www.kvs.gov.ua/peniten/control/main/uk/index - 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>State Penitentiary Service of Ukraine</w:t>
            </w:r>
          </w:p>
          <w:p w:rsidR="00C83F8D" w:rsidRPr="00A9328C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28C">
              <w:rPr>
                <w:rFonts w:ascii="Times New Roman" w:hAnsi="Times New Roman" w:cs="Times New Roman"/>
                <w:lang w:val="en-US"/>
              </w:rPr>
              <w:t>11.</w:t>
            </w:r>
            <w:r w:rsidRPr="00A9328C">
              <w:rPr>
                <w:rFonts w:ascii="Times New Roman" w:hAnsi="Times New Roman" w:cs="Times New Roman"/>
                <w:lang w:val="en-US"/>
              </w:rPr>
              <w:tab/>
              <w:t xml:space="preserve">http://pen.div.co.ua/                          - </w:t>
            </w:r>
            <w:r w:rsidR="00A9328C" w:rsidRPr="00A9328C">
              <w:rPr>
                <w:rFonts w:ascii="Times New Roman" w:hAnsi="Times New Roman" w:cs="Times New Roman"/>
                <w:lang w:val="en-US"/>
              </w:rPr>
              <w:t>Institute of Penitentiary Service</w:t>
            </w:r>
          </w:p>
          <w:p w:rsidR="00C83F8D" w:rsidRPr="00A9328C" w:rsidRDefault="00C83F8D" w:rsidP="005B03F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D4F6E" w:rsidRPr="00742DF3" w:rsidRDefault="000D4F6E" w:rsidP="000D4F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004FF">
        <w:rPr>
          <w:rFonts w:ascii="Times New Roman" w:hAnsi="Times New Roman"/>
          <w:sz w:val="24"/>
          <w:szCs w:val="24"/>
          <w:lang w:val="uk-UA"/>
        </w:rPr>
        <w:t>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If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there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scientific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rank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professor -</w:t>
      </w:r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it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not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necessary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specify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position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there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rank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should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indicate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position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Senior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Lecturer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Lecturer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24A0D" w:rsidRPr="00814A8D" w:rsidRDefault="000D4F6E" w:rsidP="00814A8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F5505">
        <w:rPr>
          <w:rFonts w:ascii="Times New Roman" w:hAnsi="Times New Roman"/>
          <w:sz w:val="24"/>
          <w:szCs w:val="24"/>
          <w:lang w:val="uk-UA"/>
        </w:rPr>
        <w:t xml:space="preserve">** </w:t>
      </w:r>
      <w:proofErr w:type="spellStart"/>
      <w:r w:rsidRPr="00742DF3">
        <w:rPr>
          <w:i/>
          <w:lang w:val="uk-UA"/>
        </w:rPr>
        <w:t>References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should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be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given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in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the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original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language</w:t>
      </w:r>
      <w:proofErr w:type="spellEnd"/>
      <w:r w:rsidRPr="00742DF3">
        <w:rPr>
          <w:i/>
          <w:lang w:val="uk-UA"/>
        </w:rPr>
        <w:t xml:space="preserve"> </w:t>
      </w:r>
      <w:proofErr w:type="spellStart"/>
      <w:r w:rsidRPr="00742DF3">
        <w:rPr>
          <w:i/>
          <w:lang w:val="uk-UA"/>
        </w:rPr>
        <w:t>Ukr</w:t>
      </w:r>
      <w:proofErr w:type="spellEnd"/>
      <w:r w:rsidRPr="00742DF3">
        <w:rPr>
          <w:i/>
          <w:lang w:val="uk-UA"/>
        </w:rPr>
        <w:t xml:space="preserve">., </w:t>
      </w:r>
      <w:proofErr w:type="spellStart"/>
      <w:r w:rsidRPr="00742DF3">
        <w:rPr>
          <w:i/>
          <w:lang w:val="uk-UA"/>
        </w:rPr>
        <w:t>Rus</w:t>
      </w:r>
      <w:proofErr w:type="spellEnd"/>
      <w:r w:rsidRPr="00742DF3">
        <w:rPr>
          <w:i/>
          <w:lang w:val="uk-UA"/>
        </w:rPr>
        <w:t xml:space="preserve">., </w:t>
      </w:r>
      <w:proofErr w:type="spellStart"/>
      <w:r w:rsidRPr="00742DF3">
        <w:rPr>
          <w:i/>
          <w:lang w:val="uk-UA"/>
        </w:rPr>
        <w:t>Eng</w:t>
      </w:r>
      <w:proofErr w:type="spellEnd"/>
      <w:r w:rsidRPr="00742DF3">
        <w:rPr>
          <w:i/>
          <w:lang w:val="uk-UA"/>
        </w:rPr>
        <w:t xml:space="preserve">., </w:t>
      </w:r>
      <w:r>
        <w:rPr>
          <w:i/>
          <w:lang w:val="uk-UA"/>
        </w:rPr>
        <w:t xml:space="preserve">5-7 </w:t>
      </w:r>
      <w:proofErr w:type="spellStart"/>
      <w:r>
        <w:rPr>
          <w:i/>
          <w:lang w:val="uk-UA"/>
        </w:rPr>
        <w:t>position</w:t>
      </w:r>
      <w:proofErr w:type="spellEnd"/>
      <w:r>
        <w:rPr>
          <w:i/>
          <w:lang w:val="uk-UA"/>
        </w:rPr>
        <w:t xml:space="preserve"> (</w:t>
      </w:r>
      <w:proofErr w:type="spellStart"/>
      <w:r>
        <w:rPr>
          <w:i/>
          <w:lang w:val="uk-UA"/>
        </w:rPr>
        <w:t>basic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additional</w:t>
      </w:r>
      <w:proofErr w:type="spellEnd"/>
      <w:r w:rsidRPr="00BF5505">
        <w:rPr>
          <w:i/>
          <w:lang w:val="uk-UA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f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necessary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include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electronic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sources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 the</w:t>
      </w:r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additional</w:t>
      </w:r>
      <w:proofErr w:type="spellEnd"/>
      <w:r w:rsidRPr="00742D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2DF3">
        <w:rPr>
          <w:rFonts w:ascii="Times New Roman" w:hAnsi="Times New Roman"/>
          <w:sz w:val="24"/>
          <w:szCs w:val="24"/>
          <w:lang w:val="uk-UA"/>
        </w:rPr>
        <w:t>literature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924A0D" w:rsidRPr="00814A8D" w:rsidSect="000A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4C"/>
    <w:rsid w:val="000A75D7"/>
    <w:rsid w:val="000D4F6E"/>
    <w:rsid w:val="00354CEB"/>
    <w:rsid w:val="004610E5"/>
    <w:rsid w:val="004F7B50"/>
    <w:rsid w:val="00753290"/>
    <w:rsid w:val="0079665F"/>
    <w:rsid w:val="007F34ED"/>
    <w:rsid w:val="00814A8D"/>
    <w:rsid w:val="00924A0D"/>
    <w:rsid w:val="00A9328C"/>
    <w:rsid w:val="00AC3B35"/>
    <w:rsid w:val="00C83F8D"/>
    <w:rsid w:val="00D6704C"/>
    <w:rsid w:val="00D86DC5"/>
    <w:rsid w:val="00DD1439"/>
    <w:rsid w:val="00D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83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C83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C83F8D"/>
  </w:style>
  <w:style w:type="paragraph" w:styleId="a3">
    <w:name w:val="List Paragraph"/>
    <w:basedOn w:val="a"/>
    <w:uiPriority w:val="34"/>
    <w:qFormat/>
    <w:rsid w:val="00814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83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C83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C83F8D"/>
  </w:style>
  <w:style w:type="paragraph" w:styleId="a3">
    <w:name w:val="List Paragraph"/>
    <w:basedOn w:val="a"/>
    <w:uiPriority w:val="34"/>
    <w:qFormat/>
    <w:rsid w:val="00814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4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0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6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5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24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2015-05-19T18:09:00Z</dcterms:created>
  <dcterms:modified xsi:type="dcterms:W3CDTF">2015-08-03T18:58:00Z</dcterms:modified>
</cp:coreProperties>
</file>