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1A5EB" w14:textId="77777777" w:rsidR="00B11A76" w:rsidRPr="00422F94" w:rsidRDefault="004B320F" w:rsidP="006E1749">
      <w:pPr>
        <w:keepNext/>
        <w:keepLines/>
        <w:widowControl w:val="0"/>
        <w:wordWrap w:val="0"/>
        <w:autoSpaceDE w:val="0"/>
        <w:autoSpaceDN w:val="0"/>
        <w:spacing w:before="40" w:after="0" w:line="240" w:lineRule="auto"/>
        <w:jc w:val="both"/>
        <w:outlineLvl w:val="2"/>
        <w:rPr>
          <w:rFonts w:ascii="Book Antiqua" w:eastAsia="Malgun Gothic" w:hAnsi="Book Antiqua" w:cs="Microsoft Uighur"/>
          <w:b/>
          <w:bCs/>
          <w:iCs/>
          <w:color w:val="000000"/>
          <w:kern w:val="1"/>
          <w:sz w:val="24"/>
          <w:szCs w:val="24"/>
          <w:shd w:val="clear" w:color="000000" w:fill="auto"/>
          <w:lang w:val="ru-RU"/>
        </w:rPr>
      </w:pPr>
      <w:bookmarkStart w:id="0" w:name="_Toc99986845"/>
      <w:bookmarkStart w:id="1" w:name="_Toc100677656"/>
      <w:r w:rsidRPr="00B11A76">
        <w:rPr>
          <w:rFonts w:ascii="Book Antiqua" w:eastAsia="Malgun Gothic" w:hAnsi="Book Antiqua" w:cs="Microsoft Uighur"/>
          <w:b/>
          <w:bCs/>
          <w:iCs/>
          <w:color w:val="000000"/>
          <w:kern w:val="1"/>
          <w:sz w:val="24"/>
          <w:szCs w:val="24"/>
          <w:shd w:val="clear" w:color="000000" w:fill="auto"/>
          <w:lang w:val="ru-RU"/>
        </w:rPr>
        <w:t>Планы действий по внедрению инноваций в области цифрового правительства</w:t>
      </w:r>
      <w:bookmarkEnd w:id="0"/>
      <w:bookmarkEnd w:id="1"/>
    </w:p>
    <w:p w14:paraId="1FE70522" w14:textId="77777777" w:rsidR="00B11A76" w:rsidRPr="00422F94" w:rsidRDefault="00B11A76" w:rsidP="00B11A76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Arial" w:eastAsia="Malgun Gothic" w:hAnsi="Arial" w:cs="Arial"/>
          <w:kern w:val="1"/>
          <w:shd w:val="clear" w:color="000000" w:fill="auto"/>
          <w:lang w:val="ru-RU"/>
        </w:rPr>
      </w:pPr>
    </w:p>
    <w:p w14:paraId="7CBCBE3E" w14:textId="2D684B59" w:rsidR="00B11A76" w:rsidRPr="00A73259" w:rsidRDefault="004B320F" w:rsidP="00A73259">
      <w:pPr>
        <w:pStyle w:val="a4"/>
        <w:keepNext/>
        <w:keepLines/>
        <w:widowControl w:val="0"/>
        <w:numPr>
          <w:ilvl w:val="3"/>
          <w:numId w:val="11"/>
        </w:numPr>
        <w:wordWrap w:val="0"/>
        <w:autoSpaceDE w:val="0"/>
        <w:autoSpaceDN w:val="0"/>
        <w:spacing w:before="40" w:after="0" w:line="240" w:lineRule="auto"/>
        <w:jc w:val="both"/>
        <w:outlineLvl w:val="3"/>
        <w:rPr>
          <w:rFonts w:ascii="Book Antiqua" w:eastAsia="Malgun Gothic" w:hAnsi="Book Antiqua" w:cs="Microsoft Uighur"/>
          <w:b/>
          <w:bCs/>
          <w:color w:val="000000"/>
          <w:kern w:val="1"/>
          <w:sz w:val="21"/>
          <w:szCs w:val="21"/>
          <w:shd w:val="clear" w:color="000000" w:fill="auto"/>
          <w:lang w:val="en-US"/>
        </w:rPr>
      </w:pPr>
      <w:bookmarkStart w:id="2" w:name="_Toc100677657"/>
      <w:r w:rsidRPr="00A73259">
        <w:rPr>
          <w:rFonts w:ascii="Book Antiqua" w:eastAsia="Malgun Gothic" w:hAnsi="Book Antiqua" w:cs="Microsoft Uighur"/>
          <w:b/>
          <w:bCs/>
          <w:color w:val="000000"/>
          <w:kern w:val="1"/>
          <w:sz w:val="21"/>
          <w:szCs w:val="21"/>
          <w:shd w:val="clear" w:color="000000" w:fill="auto"/>
          <w:lang w:val="ru-RU"/>
        </w:rPr>
        <w:t>Схема</w:t>
      </w:r>
      <w:bookmarkEnd w:id="2"/>
    </w:p>
    <w:p w14:paraId="6FDB4901" w14:textId="77777777" w:rsidR="00B11A76" w:rsidRPr="00B11A76" w:rsidRDefault="00B11A76" w:rsidP="00B11A76">
      <w:pPr>
        <w:widowControl w:val="0"/>
        <w:wordWrap w:val="0"/>
        <w:autoSpaceDE w:val="0"/>
        <w:autoSpaceDN w:val="0"/>
        <w:spacing w:after="0" w:line="360" w:lineRule="auto"/>
        <w:ind w:left="1198"/>
        <w:contextualSpacing/>
        <w:jc w:val="both"/>
        <w:rPr>
          <w:rFonts w:ascii="Arial" w:eastAsia="Malgun Gothic" w:hAnsi="Arial" w:cs="Arial"/>
          <w:bCs/>
          <w:iCs/>
          <w:kern w:val="1"/>
          <w:shd w:val="clear" w:color="000000" w:fill="auto"/>
          <w:lang w:val="en-US"/>
        </w:rPr>
      </w:pPr>
    </w:p>
    <w:p w14:paraId="4A8CAE90" w14:textId="67F6A501" w:rsidR="00B11A76" w:rsidRPr="00422F94" w:rsidRDefault="004B320F" w:rsidP="00B11A76">
      <w:pPr>
        <w:widowControl w:val="0"/>
        <w:pBdr>
          <w:top w:val="nil"/>
          <w:left w:val="nil"/>
          <w:bottom w:val="nil"/>
          <w:right w:val="nil"/>
        </w:pBdr>
        <w:wordWrap w:val="0"/>
        <w:autoSpaceDE w:val="0"/>
        <w:autoSpaceDN w:val="0"/>
        <w:spacing w:after="240" w:line="240" w:lineRule="auto"/>
        <w:jc w:val="both"/>
        <w:textAlignment w:val="baseline"/>
        <w:rPr>
          <w:rFonts w:ascii="Book Antiqua" w:eastAsia="Malgun Gothic" w:hAnsi="Book Antiqua" w:cs="Arial"/>
          <w:kern w:val="2"/>
          <w:sz w:val="20"/>
          <w:szCs w:val="20"/>
          <w:shd w:val="clear" w:color="999999" w:fill="auto"/>
          <w:lang w:val="ru-RU" w:eastAsia="ko-KR"/>
        </w:rPr>
      </w:pP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Корея, которая в течение многих лет инвестировала в национальную сеть сверхскоростных данных и связи</w:t>
      </w:r>
      <w:r w:rsidR="005F2A3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,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 и активно осуществляла проекты в области публичных данных, имеет одно из самых совершенных электронных правительств в мире. Она занимала первое место в течение трех лет (2010, 2012 и 2014) и третье место в 2016 и 2018 годах в Обзоре электронного правительства ООН и 13 раз была </w:t>
      </w:r>
      <w:r w:rsidR="005F2A3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награждена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 Премией ООН за</w:t>
      </w:r>
      <w:r w:rsidR="005F2A3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 вклад в развитие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 государственн</w:t>
      </w:r>
      <w:r w:rsidR="005F2A3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ой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 служб</w:t>
      </w:r>
      <w:r w:rsidR="005F2A3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ы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 (межминистерское сотрудничество, 2019).</w:t>
      </w:r>
    </w:p>
    <w:p w14:paraId="1211A641" w14:textId="43E8D37A" w:rsidR="00B11A76" w:rsidRPr="00422F94" w:rsidRDefault="004B320F" w:rsidP="00B11A76">
      <w:pPr>
        <w:widowControl w:val="0"/>
        <w:pBdr>
          <w:top w:val="nil"/>
          <w:left w:val="nil"/>
          <w:bottom w:val="nil"/>
          <w:right w:val="nil"/>
        </w:pBdr>
        <w:wordWrap w:val="0"/>
        <w:autoSpaceDE w:val="0"/>
        <w:autoSpaceDN w:val="0"/>
        <w:spacing w:after="240" w:line="240" w:lineRule="auto"/>
        <w:jc w:val="both"/>
        <w:textAlignment w:val="baseline"/>
        <w:rPr>
          <w:rFonts w:ascii="Book Antiqua" w:eastAsia="Malgun Gothic" w:hAnsi="Book Antiqua" w:cs="Arial"/>
          <w:kern w:val="2"/>
          <w:sz w:val="20"/>
          <w:szCs w:val="20"/>
          <w:shd w:val="clear" w:color="999999" w:fill="auto"/>
          <w:lang w:val="ru-RU" w:eastAsia="ko-KR"/>
        </w:rPr>
      </w:pP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Одной из давних проблем является тот факт, что некоторые </w:t>
      </w:r>
      <w:r w:rsidR="0041277C"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граждане несмотря на </w:t>
      </w:r>
      <w:r w:rsidR="0041277C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то, что имеют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 право на получение той или иной государственной услуги, не смогли воспользоваться этой услугой из-за </w:t>
      </w:r>
      <w:r w:rsidR="0041277C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незнания своего права на нее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.  Еще одной проблемой является ограниченная онлайн-доступность государственных услуг. </w:t>
      </w:r>
      <w:r w:rsidR="0028716E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Таким образом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, правительство с целью повышения качества государственных услуг приступило к внедрению инноваций в цифровое правительство в партнерстве с гражданами</w:t>
      </w:r>
      <w:r w:rsidR="00C406E9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, 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использ</w:t>
      </w:r>
      <w:r w:rsidR="00C406E9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уя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 метод</w:t>
      </w:r>
      <w:r w:rsidR="00C406E9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ы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, способствующ</w:t>
      </w:r>
      <w:r w:rsidR="00C406E9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ие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 инновациям, и </w:t>
      </w:r>
      <w:r w:rsidR="00C406E9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ставящие во главу угла потребности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 пользователей. </w:t>
      </w:r>
    </w:p>
    <w:p w14:paraId="4A23BA38" w14:textId="12EC139C" w:rsidR="00B11A76" w:rsidRPr="00422F94" w:rsidRDefault="004B320F" w:rsidP="00B11A76">
      <w:pPr>
        <w:widowControl w:val="0"/>
        <w:pBdr>
          <w:top w:val="nil"/>
          <w:left w:val="nil"/>
          <w:bottom w:val="nil"/>
          <w:right w:val="nil"/>
        </w:pBdr>
        <w:wordWrap w:val="0"/>
        <w:autoSpaceDE w:val="0"/>
        <w:autoSpaceDN w:val="0"/>
        <w:spacing w:after="240" w:line="240" w:lineRule="auto"/>
        <w:jc w:val="both"/>
        <w:textAlignment w:val="baseline"/>
        <w:rPr>
          <w:rFonts w:ascii="Book Antiqua" w:eastAsia="Malgun Gothic" w:hAnsi="Book Antiqua" w:cs="Arial"/>
          <w:kern w:val="2"/>
          <w:sz w:val="20"/>
          <w:szCs w:val="20"/>
          <w:shd w:val="clear" w:color="999999" w:fill="auto"/>
          <w:lang w:val="ru-RU" w:eastAsia="ko-KR"/>
        </w:rPr>
      </w:pP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Ключевые проекты по цифровым правительственным инновациям можно сгруппировать в три категории: инновации в области упреждающих/комплексных услуг для граждан, активизация MyData в государственном секторе и усовершенствование платформ для поощрения участия граждан. Цель проектов первой категории </w:t>
      </w:r>
      <w:r w:rsidR="00E565EE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–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 добиться смены парадигмы</w:t>
      </w:r>
      <w:r w:rsidR="00E565EE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,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 а именно переложить бремя обращения за услугами с граждан на правительство, заставив правительство искать граждан, имеющих право на </w:t>
      </w:r>
      <w:r w:rsidR="00E565EE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получение 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услуг.</w:t>
      </w:r>
    </w:p>
    <w:p w14:paraId="57ABCF6F" w14:textId="30E38378" w:rsidR="00B11A76" w:rsidRPr="00422F94" w:rsidRDefault="004B320F" w:rsidP="00B11A76">
      <w:pPr>
        <w:widowControl w:val="0"/>
        <w:pBdr>
          <w:top w:val="nil"/>
          <w:left w:val="nil"/>
          <w:bottom w:val="nil"/>
          <w:right w:val="nil"/>
        </w:pBdr>
        <w:wordWrap w:val="0"/>
        <w:autoSpaceDE w:val="0"/>
        <w:autoSpaceDN w:val="0"/>
        <w:spacing w:after="240" w:line="240" w:lineRule="auto"/>
        <w:jc w:val="both"/>
        <w:textAlignment w:val="baseline"/>
        <w:rPr>
          <w:rFonts w:ascii="Book Antiqua" w:eastAsia="Malgun Gothic" w:hAnsi="Book Antiqua" w:cs="Arial"/>
          <w:kern w:val="2"/>
          <w:sz w:val="20"/>
          <w:szCs w:val="20"/>
          <w:shd w:val="clear" w:color="999999" w:fill="auto"/>
          <w:lang w:val="ru-RU" w:eastAsia="ko-KR"/>
        </w:rPr>
      </w:pP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Вторая категория состоит из четырех подкатегорий: индивидуальное оповещение о государственных услугах, расширение услуг на жизненном этапе, упреждающее предоставление услуг, препятствующих возможности возникновения </w:t>
      </w:r>
      <w:r w:rsidR="008B4790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«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серых зон</w:t>
      </w:r>
      <w:r w:rsidR="008B4790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»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, и инновационное развитие существующих государственных услуг.</w:t>
      </w:r>
    </w:p>
    <w:p w14:paraId="7541AE09" w14:textId="741B018D" w:rsidR="00B11A76" w:rsidRPr="00422F94" w:rsidRDefault="004B320F" w:rsidP="00B11A76">
      <w:pPr>
        <w:widowControl w:val="0"/>
        <w:pBdr>
          <w:top w:val="nil"/>
          <w:left w:val="nil"/>
          <w:bottom w:val="nil"/>
          <w:right w:val="nil"/>
        </w:pBdr>
        <w:wordWrap w:val="0"/>
        <w:autoSpaceDE w:val="0"/>
        <w:autoSpaceDN w:val="0"/>
        <w:spacing w:after="240" w:line="240" w:lineRule="auto"/>
        <w:jc w:val="both"/>
        <w:textAlignment w:val="baseline"/>
        <w:rPr>
          <w:rFonts w:ascii="Book Antiqua" w:eastAsia="Malgun Gothic" w:hAnsi="Book Antiqua" w:cs="Arial"/>
          <w:kern w:val="2"/>
          <w:sz w:val="20"/>
          <w:szCs w:val="20"/>
          <w:shd w:val="clear" w:color="999999" w:fill="auto"/>
          <w:lang w:val="ru-RU" w:eastAsia="ko-KR"/>
        </w:rPr>
      </w:pP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Индивидуальное оповещение о государственных услугах включает в себя две части: 1) определение, категоризацию и создание базы данных услуг, предлагаемых каждым государственным учреждением, и 2) создание комплексной платформы услуг, которая обеспечивает возможность уведомления, рекомендации, применения и проверки результатов в одном месте. В настоящее время система связана с 27</w:t>
      </w:r>
      <w:r w:rsidR="001D2E8E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>-ю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shd w:val="clear" w:color="000000" w:fill="auto"/>
          <w:lang w:val="ru-RU" w:eastAsia="ko-KR"/>
        </w:rPr>
        <w:t xml:space="preserve"> системами проверки (медицинское страхование, семейные отношения и т.д.) и позволяет гражданам легко искать услуги, на которые они могут претендовать (с минимумом ввода данных). </w:t>
      </w:r>
    </w:p>
    <w:p w14:paraId="73BE91DE" w14:textId="6625A88D" w:rsidR="00B11A76" w:rsidRPr="00422F94" w:rsidRDefault="004B320F" w:rsidP="00B11A76">
      <w:pPr>
        <w:widowControl w:val="0"/>
        <w:pBdr>
          <w:top w:val="nil"/>
          <w:left w:val="nil"/>
          <w:bottom w:val="nil"/>
          <w:right w:val="nil"/>
        </w:pBdr>
        <w:wordWrap w:val="0"/>
        <w:autoSpaceDE w:val="0"/>
        <w:autoSpaceDN w:val="0"/>
        <w:spacing w:after="240" w:line="240" w:lineRule="auto"/>
        <w:jc w:val="both"/>
        <w:textAlignment w:val="baseline"/>
        <w:rPr>
          <w:rFonts w:ascii="Book Antiqua" w:eastAsia="Malgun Gothic" w:hAnsi="Book Antiqua" w:cs="Arial"/>
          <w:kern w:val="2"/>
          <w:sz w:val="20"/>
          <w:szCs w:val="20"/>
          <w:lang w:val="ru-RU" w:eastAsia="ko-KR"/>
        </w:rPr>
      </w:pPr>
      <w:r w:rsidRPr="00B11A76">
        <w:rPr>
          <w:rFonts w:ascii="Book Antiqua" w:eastAsia="Malgun Gothic" w:hAnsi="Book Antiqua" w:cs="Arial"/>
          <w:kern w:val="1"/>
          <w:sz w:val="20"/>
          <w:szCs w:val="20"/>
          <w:lang w:val="ru-RU" w:eastAsia="ko-KR"/>
        </w:rPr>
        <w:t xml:space="preserve">Служба жизненного этапа </w:t>
      </w:r>
      <w:r w:rsidR="001D2E8E">
        <w:rPr>
          <w:rFonts w:ascii="Book Antiqua" w:eastAsia="Malgun Gothic" w:hAnsi="Book Antiqua" w:cs="Arial"/>
          <w:kern w:val="1"/>
          <w:sz w:val="20"/>
          <w:szCs w:val="20"/>
          <w:lang w:val="ru-RU" w:eastAsia="ko-KR"/>
        </w:rPr>
        <w:t>–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lang w:val="ru-RU" w:eastAsia="ko-KR"/>
        </w:rPr>
        <w:t xml:space="preserve"> это система «единого окна», позволяющая гражданам находить информацию и обращаться за услугами, связанными с различными этапами жизни (рождением ребенка, вступлением в брак, смертью и т. д.). В настоящее время действуют две такие службы («Счастливые роды» и «Безопасное наследство»), </w:t>
      </w:r>
      <w:r w:rsidR="001D2E8E">
        <w:rPr>
          <w:rFonts w:ascii="Book Antiqua" w:eastAsia="Malgun Gothic" w:hAnsi="Book Antiqua" w:cs="Arial"/>
          <w:kern w:val="1"/>
          <w:sz w:val="20"/>
          <w:szCs w:val="20"/>
          <w:lang w:val="ru-RU" w:eastAsia="ko-KR"/>
        </w:rPr>
        <w:t>а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lang w:val="ru-RU" w:eastAsia="ko-KR"/>
        </w:rPr>
        <w:t xml:space="preserve"> к 2022 году планируется увеличить их число до более чем 10 (например, «Счастливая беременность», «Уход за детьми в течение всего дня» и т.д.).  В ближайшие годы система внедрения услуг на жизненном этапе будет у</w:t>
      </w:r>
      <w:r w:rsidR="00D416DE">
        <w:rPr>
          <w:rFonts w:ascii="Book Antiqua" w:eastAsia="Malgun Gothic" w:hAnsi="Book Antiqua" w:cs="Arial"/>
          <w:kern w:val="1"/>
          <w:sz w:val="20"/>
          <w:szCs w:val="20"/>
          <w:lang w:val="ru-RU" w:eastAsia="ko-KR"/>
        </w:rPr>
        <w:t>совершенствована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lang w:val="ru-RU" w:eastAsia="ko-KR"/>
        </w:rPr>
        <w:t xml:space="preserve"> благодаря усилиям министерства по разработке комплексных услуг, внедрению инновационных процессов и установлению связей с другими системами.</w:t>
      </w:r>
    </w:p>
    <w:p w14:paraId="0BF5F13D" w14:textId="22225127" w:rsidR="00A30A4A" w:rsidRPr="006E1749" w:rsidRDefault="004B320F" w:rsidP="006E1749">
      <w:pPr>
        <w:widowControl w:val="0"/>
        <w:pBdr>
          <w:top w:val="nil"/>
          <w:left w:val="nil"/>
          <w:bottom w:val="nil"/>
          <w:right w:val="nil"/>
        </w:pBdr>
        <w:wordWrap w:val="0"/>
        <w:autoSpaceDE w:val="0"/>
        <w:autoSpaceDN w:val="0"/>
        <w:spacing w:after="240" w:line="240" w:lineRule="auto"/>
        <w:jc w:val="both"/>
        <w:textAlignment w:val="baseline"/>
        <w:rPr>
          <w:rFonts w:ascii="Book Antiqua" w:eastAsia="Malgun Gothic" w:hAnsi="Book Antiqua" w:cs="Arial"/>
          <w:kern w:val="2"/>
          <w:sz w:val="20"/>
          <w:szCs w:val="20"/>
          <w:lang w:val="ru-RU" w:eastAsia="ko-KR"/>
        </w:rPr>
      </w:pPr>
      <w:r w:rsidRPr="00B11A76">
        <w:rPr>
          <w:rFonts w:ascii="Book Antiqua" w:eastAsia="Malgun Gothic" w:hAnsi="Book Antiqua" w:cs="Arial"/>
          <w:kern w:val="1"/>
          <w:sz w:val="20"/>
          <w:szCs w:val="20"/>
          <w:lang w:val="ru-RU" w:eastAsia="ko-KR"/>
        </w:rPr>
        <w:t>Инновации существующих государственных услуг в первую очередь предполага</w:t>
      </w:r>
      <w:r w:rsidR="003240CF">
        <w:rPr>
          <w:rFonts w:ascii="Book Antiqua" w:eastAsia="Malgun Gothic" w:hAnsi="Book Antiqua" w:cs="Arial"/>
          <w:kern w:val="1"/>
          <w:sz w:val="20"/>
          <w:szCs w:val="20"/>
          <w:lang w:val="ru-RU" w:eastAsia="ko-KR"/>
        </w:rPr>
        <w:t>ю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lang w:val="ru-RU" w:eastAsia="ko-KR"/>
        </w:rPr>
        <w:t xml:space="preserve">т развитие и внедрение инноваций в сфере цифровых государственных услуг (инновации существующих процессов, повышение качества государственных услуг и т.д.) для смягчения существующих ограничений. Среди основных примеров можно назвать блокчейн-платформу операций с недвижимостью (будет завершена к 2023 году) и создание иммиграционной системы </w:t>
      </w:r>
      <w:r w:rsidR="00AB3D00">
        <w:rPr>
          <w:rFonts w:ascii="Book Antiqua" w:eastAsia="Malgun Gothic" w:hAnsi="Book Antiqua" w:cs="Arial"/>
          <w:kern w:val="1"/>
          <w:sz w:val="20"/>
          <w:szCs w:val="20"/>
          <w:lang w:val="ru-RU" w:eastAsia="ko-KR"/>
        </w:rPr>
        <w:t>на базе технологий</w:t>
      </w:r>
      <w:r w:rsidRPr="00B11A76">
        <w:rPr>
          <w:rFonts w:ascii="Book Antiqua" w:eastAsia="Malgun Gothic" w:hAnsi="Book Antiqua" w:cs="Arial"/>
          <w:kern w:val="1"/>
          <w:sz w:val="20"/>
          <w:szCs w:val="20"/>
          <w:lang w:val="ru-RU" w:eastAsia="ko-KR"/>
        </w:rPr>
        <w:t xml:space="preserve"> ИИ (будет завершена к 2022 году).</w:t>
      </w:r>
      <w:bookmarkStart w:id="3" w:name="_GoBack"/>
      <w:bookmarkEnd w:id="3"/>
    </w:p>
    <w:sectPr w:rsidR="00A30A4A" w:rsidRPr="006E1749" w:rsidSect="002F7B58">
      <w:pgSz w:w="11906" w:h="16838"/>
      <w:pgMar w:top="851" w:right="170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A70B5" w14:textId="77777777" w:rsidR="00CC533E" w:rsidRDefault="00CC533E">
      <w:pPr>
        <w:spacing w:after="0" w:line="240" w:lineRule="auto"/>
      </w:pPr>
      <w:r>
        <w:separator/>
      </w:r>
    </w:p>
  </w:endnote>
  <w:endnote w:type="continuationSeparator" w:id="0">
    <w:p w14:paraId="541AA6D0" w14:textId="77777777" w:rsidR="00CC533E" w:rsidRDefault="00CC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07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1C3E5" w14:textId="77777777" w:rsidR="00CC533E" w:rsidRDefault="00CC533E" w:rsidP="00B11A76">
      <w:pPr>
        <w:spacing w:after="0" w:line="240" w:lineRule="auto"/>
      </w:pPr>
      <w:r>
        <w:separator/>
      </w:r>
    </w:p>
  </w:footnote>
  <w:footnote w:type="continuationSeparator" w:id="0">
    <w:p w14:paraId="78CAA075" w14:textId="77777777" w:rsidR="00CC533E" w:rsidRDefault="00CC533E" w:rsidP="00B11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5657C"/>
    <w:multiLevelType w:val="multilevel"/>
    <w:tmpl w:val="DC6A63E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8" w:hanging="1800"/>
      </w:pPr>
      <w:rPr>
        <w:rFonts w:hint="default"/>
      </w:rPr>
    </w:lvl>
  </w:abstractNum>
  <w:abstractNum w:abstractNumId="1" w15:restartNumberingAfterBreak="0">
    <w:nsid w:val="151F6E32"/>
    <w:multiLevelType w:val="multilevel"/>
    <w:tmpl w:val="63FC577E"/>
    <w:lvl w:ilvl="0">
      <w:start w:val="3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8" w:hanging="61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8" w:hanging="1800"/>
      </w:pPr>
      <w:rPr>
        <w:rFonts w:hint="default"/>
      </w:rPr>
    </w:lvl>
  </w:abstractNum>
  <w:abstractNum w:abstractNumId="2" w15:restartNumberingAfterBreak="0">
    <w:nsid w:val="1D2E2D2D"/>
    <w:multiLevelType w:val="multilevel"/>
    <w:tmpl w:val="85104F6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6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6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8" w:hanging="1800"/>
      </w:pPr>
      <w:rPr>
        <w:rFonts w:hint="default"/>
      </w:rPr>
    </w:lvl>
  </w:abstractNum>
  <w:abstractNum w:abstractNumId="3" w15:restartNumberingAfterBreak="0">
    <w:nsid w:val="21183B29"/>
    <w:multiLevelType w:val="multilevel"/>
    <w:tmpl w:val="8A3A703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6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8" w:hanging="1800"/>
      </w:pPr>
      <w:rPr>
        <w:rFonts w:hint="default"/>
      </w:rPr>
    </w:lvl>
  </w:abstractNum>
  <w:abstractNum w:abstractNumId="4" w15:restartNumberingAfterBreak="0">
    <w:nsid w:val="226B10AC"/>
    <w:multiLevelType w:val="multilevel"/>
    <w:tmpl w:val="B05C3A10"/>
    <w:lvl w:ilvl="0">
      <w:start w:val="3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62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8" w:hanging="1800"/>
      </w:pPr>
      <w:rPr>
        <w:rFonts w:hint="default"/>
      </w:rPr>
    </w:lvl>
  </w:abstractNum>
  <w:abstractNum w:abstractNumId="5" w15:restartNumberingAfterBreak="0">
    <w:nsid w:val="25155698"/>
    <w:multiLevelType w:val="multilevel"/>
    <w:tmpl w:val="B96CF7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D4E45AC"/>
    <w:multiLevelType w:val="multilevel"/>
    <w:tmpl w:val="200A8BD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9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7" w15:restartNumberingAfterBreak="0">
    <w:nsid w:val="2D9B5D76"/>
    <w:multiLevelType w:val="multilevel"/>
    <w:tmpl w:val="0784AFAC"/>
    <w:lvl w:ilvl="0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8" w15:restartNumberingAfterBreak="0">
    <w:nsid w:val="39B62DC3"/>
    <w:multiLevelType w:val="multilevel"/>
    <w:tmpl w:val="8AB84144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2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8" w:hanging="1800"/>
      </w:pPr>
      <w:rPr>
        <w:rFonts w:hint="default"/>
      </w:rPr>
    </w:lvl>
  </w:abstractNum>
  <w:abstractNum w:abstractNumId="9" w15:restartNumberingAfterBreak="0">
    <w:nsid w:val="3BE32E94"/>
    <w:multiLevelType w:val="multilevel"/>
    <w:tmpl w:val="2CCA9A94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4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8" w:hanging="1800"/>
      </w:pPr>
      <w:rPr>
        <w:rFonts w:hint="default"/>
      </w:rPr>
    </w:lvl>
  </w:abstractNum>
  <w:abstractNum w:abstractNumId="10" w15:restartNumberingAfterBreak="0">
    <w:nsid w:val="3EEA574A"/>
    <w:multiLevelType w:val="multilevel"/>
    <w:tmpl w:val="EBA483BC"/>
    <w:lvl w:ilvl="0">
      <w:start w:val="3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1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8" w:hanging="1800"/>
      </w:pPr>
      <w:rPr>
        <w:rFonts w:hint="default"/>
      </w:rPr>
    </w:lvl>
  </w:abstractNum>
  <w:abstractNum w:abstractNumId="11" w15:restartNumberingAfterBreak="0">
    <w:nsid w:val="40F533B6"/>
    <w:multiLevelType w:val="multilevel"/>
    <w:tmpl w:val="09822846"/>
    <w:lvl w:ilvl="0">
      <w:start w:val="3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61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12" w15:restartNumberingAfterBreak="0">
    <w:nsid w:val="4FB93F14"/>
    <w:multiLevelType w:val="multilevel"/>
    <w:tmpl w:val="292CFD5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9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3" w15:restartNumberingAfterBreak="0">
    <w:nsid w:val="6FA00E97"/>
    <w:multiLevelType w:val="multilevel"/>
    <w:tmpl w:val="EFFE9CA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1"/>
  </w:num>
  <w:num w:numId="5">
    <w:abstractNumId w:val="6"/>
  </w:num>
  <w:num w:numId="6">
    <w:abstractNumId w:val="12"/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76"/>
    <w:rsid w:val="00014A7A"/>
    <w:rsid w:val="00015993"/>
    <w:rsid w:val="000339B8"/>
    <w:rsid w:val="00071117"/>
    <w:rsid w:val="000C3E55"/>
    <w:rsid w:val="000E37B8"/>
    <w:rsid w:val="00102581"/>
    <w:rsid w:val="00104B11"/>
    <w:rsid w:val="00111AC1"/>
    <w:rsid w:val="001133C2"/>
    <w:rsid w:val="00135070"/>
    <w:rsid w:val="00141724"/>
    <w:rsid w:val="00162CEE"/>
    <w:rsid w:val="00180486"/>
    <w:rsid w:val="00184740"/>
    <w:rsid w:val="00192648"/>
    <w:rsid w:val="001C54FB"/>
    <w:rsid w:val="001C6466"/>
    <w:rsid w:val="001D2E8E"/>
    <w:rsid w:val="00205907"/>
    <w:rsid w:val="00210D07"/>
    <w:rsid w:val="00223BE5"/>
    <w:rsid w:val="00223D68"/>
    <w:rsid w:val="0026571C"/>
    <w:rsid w:val="00273738"/>
    <w:rsid w:val="0028716E"/>
    <w:rsid w:val="00296FD6"/>
    <w:rsid w:val="002A0772"/>
    <w:rsid w:val="002C0BDC"/>
    <w:rsid w:val="002F3431"/>
    <w:rsid w:val="002F7B58"/>
    <w:rsid w:val="003058C6"/>
    <w:rsid w:val="003125AB"/>
    <w:rsid w:val="0031399D"/>
    <w:rsid w:val="00322920"/>
    <w:rsid w:val="003240CF"/>
    <w:rsid w:val="00341DAC"/>
    <w:rsid w:val="00342A96"/>
    <w:rsid w:val="00355B60"/>
    <w:rsid w:val="00364BFD"/>
    <w:rsid w:val="0037044D"/>
    <w:rsid w:val="00371B3D"/>
    <w:rsid w:val="003916C4"/>
    <w:rsid w:val="003937E7"/>
    <w:rsid w:val="00396E7A"/>
    <w:rsid w:val="003E52F6"/>
    <w:rsid w:val="003F7220"/>
    <w:rsid w:val="0041277C"/>
    <w:rsid w:val="00422F94"/>
    <w:rsid w:val="00425E09"/>
    <w:rsid w:val="0044349D"/>
    <w:rsid w:val="00457B9E"/>
    <w:rsid w:val="00464DCF"/>
    <w:rsid w:val="0049427C"/>
    <w:rsid w:val="00494AEC"/>
    <w:rsid w:val="004A3D42"/>
    <w:rsid w:val="004A675D"/>
    <w:rsid w:val="004A7ED1"/>
    <w:rsid w:val="004B1EA4"/>
    <w:rsid w:val="004B320F"/>
    <w:rsid w:val="004C40D2"/>
    <w:rsid w:val="004D0C91"/>
    <w:rsid w:val="004D30BE"/>
    <w:rsid w:val="005042D6"/>
    <w:rsid w:val="00536650"/>
    <w:rsid w:val="00542E46"/>
    <w:rsid w:val="0055744C"/>
    <w:rsid w:val="00592E3D"/>
    <w:rsid w:val="005A18CD"/>
    <w:rsid w:val="005F2A36"/>
    <w:rsid w:val="005F63D4"/>
    <w:rsid w:val="00601E33"/>
    <w:rsid w:val="00624111"/>
    <w:rsid w:val="006255F6"/>
    <w:rsid w:val="006300A3"/>
    <w:rsid w:val="00630924"/>
    <w:rsid w:val="00630BD6"/>
    <w:rsid w:val="00631118"/>
    <w:rsid w:val="006360D8"/>
    <w:rsid w:val="00660F90"/>
    <w:rsid w:val="00661763"/>
    <w:rsid w:val="0066398D"/>
    <w:rsid w:val="006802FC"/>
    <w:rsid w:val="00681CE0"/>
    <w:rsid w:val="0068262A"/>
    <w:rsid w:val="00685B28"/>
    <w:rsid w:val="00687BC7"/>
    <w:rsid w:val="006E1749"/>
    <w:rsid w:val="006E45FE"/>
    <w:rsid w:val="006F36BD"/>
    <w:rsid w:val="006F5193"/>
    <w:rsid w:val="00711D19"/>
    <w:rsid w:val="007160BA"/>
    <w:rsid w:val="00731543"/>
    <w:rsid w:val="00755BA7"/>
    <w:rsid w:val="00756B78"/>
    <w:rsid w:val="00761E23"/>
    <w:rsid w:val="007A76C9"/>
    <w:rsid w:val="007B6484"/>
    <w:rsid w:val="007B69E4"/>
    <w:rsid w:val="007D6EBC"/>
    <w:rsid w:val="007E0B1C"/>
    <w:rsid w:val="007F1A84"/>
    <w:rsid w:val="007F3BA7"/>
    <w:rsid w:val="008067CD"/>
    <w:rsid w:val="008154FE"/>
    <w:rsid w:val="0082155F"/>
    <w:rsid w:val="00826E47"/>
    <w:rsid w:val="00830F8A"/>
    <w:rsid w:val="00842074"/>
    <w:rsid w:val="0085473D"/>
    <w:rsid w:val="00867F9E"/>
    <w:rsid w:val="008B4790"/>
    <w:rsid w:val="008D7903"/>
    <w:rsid w:val="008E23FB"/>
    <w:rsid w:val="00914846"/>
    <w:rsid w:val="009204F9"/>
    <w:rsid w:val="009368AA"/>
    <w:rsid w:val="00963D5B"/>
    <w:rsid w:val="009663A1"/>
    <w:rsid w:val="009735F3"/>
    <w:rsid w:val="00977A49"/>
    <w:rsid w:val="009B3F7F"/>
    <w:rsid w:val="009C1967"/>
    <w:rsid w:val="009C200E"/>
    <w:rsid w:val="009F35DF"/>
    <w:rsid w:val="009F46C3"/>
    <w:rsid w:val="00A203B0"/>
    <w:rsid w:val="00A27B42"/>
    <w:rsid w:val="00A30A4A"/>
    <w:rsid w:val="00A41601"/>
    <w:rsid w:val="00A50E2E"/>
    <w:rsid w:val="00A51EED"/>
    <w:rsid w:val="00A572B8"/>
    <w:rsid w:val="00A613F6"/>
    <w:rsid w:val="00A65A8B"/>
    <w:rsid w:val="00A70BD1"/>
    <w:rsid w:val="00A72B23"/>
    <w:rsid w:val="00A73259"/>
    <w:rsid w:val="00A73939"/>
    <w:rsid w:val="00A7608E"/>
    <w:rsid w:val="00A83C3E"/>
    <w:rsid w:val="00A85227"/>
    <w:rsid w:val="00AA2C80"/>
    <w:rsid w:val="00AB3D00"/>
    <w:rsid w:val="00AB703C"/>
    <w:rsid w:val="00AD36F7"/>
    <w:rsid w:val="00AD5912"/>
    <w:rsid w:val="00AE3083"/>
    <w:rsid w:val="00AF34DD"/>
    <w:rsid w:val="00B06A94"/>
    <w:rsid w:val="00B11A76"/>
    <w:rsid w:val="00B14C14"/>
    <w:rsid w:val="00B20A0C"/>
    <w:rsid w:val="00B22787"/>
    <w:rsid w:val="00B233E7"/>
    <w:rsid w:val="00B67C7F"/>
    <w:rsid w:val="00B73FC3"/>
    <w:rsid w:val="00B907E1"/>
    <w:rsid w:val="00B9265A"/>
    <w:rsid w:val="00BD5273"/>
    <w:rsid w:val="00BE0480"/>
    <w:rsid w:val="00BE6D45"/>
    <w:rsid w:val="00BF634C"/>
    <w:rsid w:val="00C0701B"/>
    <w:rsid w:val="00C16D9F"/>
    <w:rsid w:val="00C32BF8"/>
    <w:rsid w:val="00C406E9"/>
    <w:rsid w:val="00C535B7"/>
    <w:rsid w:val="00C93B96"/>
    <w:rsid w:val="00C940F2"/>
    <w:rsid w:val="00CA36A0"/>
    <w:rsid w:val="00CA4036"/>
    <w:rsid w:val="00CA697F"/>
    <w:rsid w:val="00CC533E"/>
    <w:rsid w:val="00CD0C3D"/>
    <w:rsid w:val="00CD19CF"/>
    <w:rsid w:val="00CE1925"/>
    <w:rsid w:val="00CF094A"/>
    <w:rsid w:val="00D01241"/>
    <w:rsid w:val="00D037F8"/>
    <w:rsid w:val="00D0400E"/>
    <w:rsid w:val="00D102D2"/>
    <w:rsid w:val="00D26F3C"/>
    <w:rsid w:val="00D400AC"/>
    <w:rsid w:val="00D400D4"/>
    <w:rsid w:val="00D416DE"/>
    <w:rsid w:val="00D4250E"/>
    <w:rsid w:val="00D548E2"/>
    <w:rsid w:val="00D70ABD"/>
    <w:rsid w:val="00D76824"/>
    <w:rsid w:val="00DA27F6"/>
    <w:rsid w:val="00DB27E4"/>
    <w:rsid w:val="00DB2C59"/>
    <w:rsid w:val="00DB4B69"/>
    <w:rsid w:val="00DE0805"/>
    <w:rsid w:val="00DF63C3"/>
    <w:rsid w:val="00E1214D"/>
    <w:rsid w:val="00E1484F"/>
    <w:rsid w:val="00E14EA0"/>
    <w:rsid w:val="00E27CB5"/>
    <w:rsid w:val="00E547B3"/>
    <w:rsid w:val="00E565EE"/>
    <w:rsid w:val="00E56C32"/>
    <w:rsid w:val="00E61A81"/>
    <w:rsid w:val="00E61CB4"/>
    <w:rsid w:val="00E774C4"/>
    <w:rsid w:val="00E81715"/>
    <w:rsid w:val="00E81DC0"/>
    <w:rsid w:val="00E81FCB"/>
    <w:rsid w:val="00E9095B"/>
    <w:rsid w:val="00EA4EAB"/>
    <w:rsid w:val="00EB020C"/>
    <w:rsid w:val="00EB7003"/>
    <w:rsid w:val="00EC14D6"/>
    <w:rsid w:val="00EE6C39"/>
    <w:rsid w:val="00F119A4"/>
    <w:rsid w:val="00F2320E"/>
    <w:rsid w:val="00F72E21"/>
    <w:rsid w:val="00F90B3E"/>
    <w:rsid w:val="00FA4DB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03E2"/>
  <w15:chartTrackingRefBased/>
  <w15:docId w15:val="{81E86C21-968C-4518-B4D8-CAB29C7D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D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각주"/>
    <w:uiPriority w:val="14"/>
    <w:rsid w:val="00B11A76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 w:hAnsi="Malgun Gothic" w:cs="Times New Roman"/>
      <w:color w:val="000000"/>
      <w:kern w:val="2"/>
      <w:sz w:val="18"/>
      <w:shd w:val="clear" w:color="999999" w:fill="auto"/>
      <w:lang w:val="en-US" w:eastAsia="ko-KR"/>
    </w:rPr>
  </w:style>
  <w:style w:type="paragraph" w:styleId="a4">
    <w:name w:val="List Paragraph"/>
    <w:basedOn w:val="a"/>
    <w:uiPriority w:val="34"/>
    <w:qFormat/>
    <w:rsid w:val="00B11A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1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711D19"/>
    <w:pPr>
      <w:outlineLvl w:val="9"/>
    </w:pPr>
    <w:rPr>
      <w:lang w:eastAsia="ru-UA"/>
    </w:rPr>
  </w:style>
  <w:style w:type="paragraph" w:styleId="3">
    <w:name w:val="toc 3"/>
    <w:basedOn w:val="a"/>
    <w:next w:val="a"/>
    <w:autoRedefine/>
    <w:uiPriority w:val="39"/>
    <w:unhideWhenUsed/>
    <w:rsid w:val="00711D19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711D19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711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E582B-4D6C-41D6-B20B-64592555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2022-08-31T19:14:00Z</dcterms:created>
  <dcterms:modified xsi:type="dcterms:W3CDTF">2022-08-31T19:15:00Z</dcterms:modified>
</cp:coreProperties>
</file>