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61" w:rsidRDefault="000D5F61" w:rsidP="000D5F61">
      <w:r>
        <w:rPr>
          <w:noProof/>
          <w:lang w:eastAsia="uk-UA"/>
        </w:rPr>
        <w:pict>
          <v:roundrect id="_x0000_s1039" style="position:absolute;margin-left:-7.85pt;margin-top:569.5pt;width:729pt;height:69pt;z-index:25167360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515869" w:rsidRPr="00515869" w:rsidRDefault="00515869" w:rsidP="00515869">
                  <w:pPr>
                    <w:pStyle w:val="a3"/>
                    <w:tabs>
                      <w:tab w:val="left" w:pos="993"/>
                      <w:tab w:val="left" w:pos="1134"/>
                    </w:tabs>
                    <w:spacing w:line="360" w:lineRule="auto"/>
                    <w:ind w:left="0" w:firstLine="992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51586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Організація касового виконання бюджету в органах Державної казначейської служби України</w:t>
                  </w:r>
                </w:p>
                <w:p w:rsidR="000D5F61" w:rsidRPr="00515869" w:rsidRDefault="000D5F61" w:rsidP="0051586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33" style="position:absolute;margin-left:616.15pt;margin-top:229pt;width:142.5pt;height:232.5pt;z-index:251667456" arcsize="10923f" fillcolor="#9bbb59 [3206]" strokecolor="#9bbb59 [3206]" strokeweight="10pt">
            <v:stroke linestyle="thinThin"/>
            <v:shadow color="#868686"/>
            <v:textbox>
              <w:txbxContent>
                <w:p w:rsidR="000D5F61" w:rsidRPr="0017697D" w:rsidRDefault="000D5F61" w:rsidP="000D5F61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З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дійснює облік, обслуговування та погашення зовнішнього і внутрішнього боргів держави відповідно до чинного законодавства та ін..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32" style="position:absolute;margin-left:446.65pt;margin-top:229pt;width:142.5pt;height:282pt;z-index:251666432" arcsize="10923f" fillcolor="#9bbb59 [3206]" strokecolor="#9bbb59 [3206]" strokeweight="10pt">
            <v:stroke linestyle="thinThin"/>
            <v:shadow color="#868686"/>
            <v:textbox>
              <w:txbxContent>
                <w:p w:rsidR="000D5F61" w:rsidRPr="0017697D" w:rsidRDefault="000D5F61" w:rsidP="000D5F61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П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роводить облік касового виконання та складання звітності про стан виконання державного бюджету та бюджетів самоврядування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29" style="position:absolute;margin-left:-45.35pt;margin-top:229pt;width:142.5pt;height:232.5pt;z-index:251663360" arcsize="10923f" fillcolor="#9bbb59 [3206]" strokecolor="#9bbb59 [3206]" strokeweight="10pt">
            <v:stroke linestyle="thinThin"/>
            <v:shadow color="#868686"/>
            <v:textbox>
              <w:txbxContent>
                <w:p w:rsidR="000D5F61" w:rsidRPr="0017697D" w:rsidRDefault="000D5F61" w:rsidP="000D5F61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З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дійснює касове виконання державного бюджету та бюджетів самоврядування за доходами та видатками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31" style="position:absolute;margin-left:284.65pt;margin-top:229pt;width:142.5pt;height:298.5pt;z-index:251665408" arcsize="10923f" fillcolor="#9bbb59 [3206]" strokecolor="#9bbb59 [3206]" strokeweight="10pt">
            <v:stroke linestyle="thinThin"/>
            <v:shadow color="#868686"/>
            <v:textbox>
              <w:txbxContent>
                <w:p w:rsidR="000D5F61" w:rsidRPr="0017697D" w:rsidRDefault="000D5F61" w:rsidP="000D5F61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З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дійснює контроль за цільовим спрямуванням бюджетних коштів на стадії проведення платежу на підставі підтверджуючих документів, наданих розпорядниками бюджетних коштів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30" style="position:absolute;margin-left:118.15pt;margin-top:229pt;width:142.5pt;height:282pt;z-index:251664384" arcsize="10923f" fillcolor="#9bbb59 [3206]" strokecolor="#9bbb59 [3206]" strokeweight="10pt">
            <v:stroke linestyle="thinThin"/>
            <v:shadow color="#868686"/>
            <v:textbox>
              <w:txbxContent>
                <w:p w:rsidR="000D5F61" w:rsidRPr="0017697D" w:rsidRDefault="000D5F61" w:rsidP="000D5F61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О</w:t>
                  </w:r>
                  <w:r w:rsidRPr="0017697D">
                    <w:rPr>
                      <w:rFonts w:ascii="Times New Roman" w:hAnsi="Times New Roman"/>
                      <w:b/>
                      <w:sz w:val="28"/>
                      <w:szCs w:val="28"/>
                      <w:lang w:eastAsia="uk-UA"/>
                    </w:rPr>
                    <w:t>рганізовує управління наявними коштами державного бюджету, державних позабюджетних фондів і бюджетів самоврядування у межах видатків, установлених на відповідний період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167.65pt;margin-top:166pt;width:36pt;height:63pt;z-index:251669504">
            <v:textbox style="layout-flow:vertical-ideographic"/>
          </v:shape>
        </w:pict>
      </w:r>
      <w:r>
        <w:rPr>
          <w:noProof/>
          <w:lang w:eastAsia="uk-UA"/>
        </w:rPr>
        <w:pict>
          <v:shape id="_x0000_s1037" type="#_x0000_t67" style="position:absolute;margin-left:493.15pt;margin-top:166pt;width:36pt;height:63pt;z-index:251671552">
            <v:textbox style="layout-flow:vertical-ideographic"/>
          </v:shape>
        </w:pict>
      </w:r>
      <w:r>
        <w:rPr>
          <w:noProof/>
          <w:lang w:eastAsia="uk-UA"/>
        </w:rPr>
        <w:pict>
          <v:shape id="_x0000_s1038" type="#_x0000_t67" style="position:absolute;margin-left:668.65pt;margin-top:166pt;width:36pt;height:63pt;z-index:251672576">
            <v:textbox style="layout-flow:vertical-ideographic"/>
          </v:shape>
        </w:pict>
      </w:r>
      <w:r>
        <w:rPr>
          <w:noProof/>
          <w:lang w:eastAsia="uk-UA"/>
        </w:rPr>
        <w:pict>
          <v:shape id="_x0000_s1034" type="#_x0000_t67" style="position:absolute;margin-left:7.15pt;margin-top:166pt;width:36pt;height:63pt;z-index:251668480">
            <v:textbox style="layout-flow:vertical-ideographic"/>
          </v:shape>
        </w:pict>
      </w:r>
      <w:r>
        <w:rPr>
          <w:noProof/>
          <w:lang w:eastAsia="uk-UA"/>
        </w:rPr>
        <w:pict>
          <v:rect id="_x0000_s1028" style="position:absolute;margin-left:7.15pt;margin-top:100pt;width:714pt;height:66pt;z-index:251662336" fillcolor="#4f81bd [3204]" strokecolor="#4f81bd [3204]" strokeweight="10pt">
            <v:stroke linestyle="thinThin"/>
            <v:shadow color="#868686"/>
            <v:textbox>
              <w:txbxContent>
                <w:p w:rsidR="000D5F61" w:rsidRPr="00A822D8" w:rsidRDefault="000D5F61" w:rsidP="000D5F61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A822D8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Державне казначейство України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shape id="_x0000_s1027" type="#_x0000_t67" style="position:absolute;margin-left:247.15pt;margin-top:38.5pt;width:211.5pt;height:54pt;z-index:251661312" fillcolor="#c0504d [3205]" strokecolor="#c0504d [3205]" strokeweight="10pt">
            <v:stroke linestyle="thinThin"/>
            <v:shadow color="#868686"/>
            <v:textbox style="layout-flow:vertical-ideographic"/>
          </v:shape>
        </w:pict>
      </w:r>
      <w:r>
        <w:rPr>
          <w:noProof/>
          <w:lang w:eastAsia="uk-UA"/>
        </w:rPr>
        <w:pict>
          <v:rect id="_x0000_s1026" style="position:absolute;margin-left:142.15pt;margin-top:-5pt;width:438pt;height:43.5pt;z-index:251660288" fillcolor="#c0504d [3205]" strokecolor="#c0504d [3205]" strokeweight="10pt">
            <v:stroke linestyle="thinThin"/>
            <v:shadow color="#868686"/>
            <v:textbox>
              <w:txbxContent>
                <w:p w:rsidR="000D5F61" w:rsidRPr="001B26B0" w:rsidRDefault="000D5F61" w:rsidP="000D5F61">
                  <w:pPr>
                    <w:jc w:val="center"/>
                    <w:rPr>
                      <w:rFonts w:ascii="Times New Roman" w:eastAsia="Calibri" w:hAnsi="Times New Roman" w:cs="Times New Roman"/>
                      <w:sz w:val="52"/>
                      <w:szCs w:val="52"/>
                    </w:rPr>
                  </w:pPr>
                  <w:r w:rsidRPr="001B26B0">
                    <w:rPr>
                      <w:rFonts w:ascii="Times New Roman" w:eastAsia="Calibri" w:hAnsi="Times New Roman" w:cs="Times New Roman"/>
                      <w:sz w:val="52"/>
                      <w:szCs w:val="52"/>
                    </w:rPr>
                    <w:t>Міністерство фінансів України</w:t>
                  </w:r>
                </w:p>
              </w:txbxContent>
            </v:textbox>
          </v:rect>
        </w:pict>
      </w:r>
    </w:p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>
      <w:r>
        <w:rPr>
          <w:noProof/>
          <w:lang w:eastAsia="uk-UA"/>
        </w:rPr>
        <w:pict>
          <v:shape id="_x0000_s1036" type="#_x0000_t67" style="position:absolute;margin-left:337.15pt;margin-top:11.6pt;width:36pt;height:63pt;z-index:251670528">
            <v:textbox style="layout-flow:vertical-ideographic"/>
          </v:shape>
        </w:pict>
      </w: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7.15pt;margin-top:11.6pt;width:0;height:403.5pt;z-index:-251641856" o:connectortype="straight" strokecolor="#4f81bd [3204]" strokeweight="10pt">
            <v:stroke endarrow="block"/>
            <v:shadow color="#868686"/>
          </v:shape>
        </w:pict>
      </w:r>
    </w:p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0D5F61" w:rsidRPr="00C42DD4" w:rsidRDefault="000D5F61" w:rsidP="000D5F61"/>
    <w:p w:rsidR="0071095E" w:rsidRDefault="009A48CA">
      <w:r>
        <w:rPr>
          <w:noProof/>
          <w:lang w:eastAsia="uk-UA"/>
        </w:rPr>
        <w:pict>
          <v:roundrect id="_x0000_s1052" style="position:absolute;margin-left:-7.85pt;margin-top:434.05pt;width:736.5pt;height:153pt;z-index:251683840" arcsize="10923f" fillcolor="#c0504d [3205]" strokecolor="#c0504d [3205]" strokeweight="10pt">
            <v:stroke linestyle="thinThin"/>
            <v:shadow color="#868686"/>
            <v:textbox>
              <w:txbxContent>
                <w:p w:rsidR="009A48CA" w:rsidRDefault="009A48CA" w:rsidP="009A48CA">
                  <w:pPr>
                    <w:jc w:val="center"/>
                  </w:pPr>
                  <w:r w:rsidRPr="009A48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Попередній контроль</w:t>
                  </w:r>
                  <w:r w:rsidRPr="00DE0DA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за витрачанням коштів державного бюджету здійснюють органи Державного казначейства. З метою забезпечення цього контролю операційно-контрольне управління ГУДКУ, відділи обліку лімітів видатків і контролю за виконанням кошторисів, операційні відділи, відділи бухгалтерського обліку та звітності територіальних органів Державного казначейства на підставі поданих розпорядниками коштів платіжних доручень з доданими до них рахунками, рахунками-фактурами, накладними, трудовими угодами, договорами на виконання робіт, актами виконаних робіт тощо здійснюють перевірку щодо доцільності та ефективності витрат.</w:t>
                  </w:r>
                </w:p>
              </w:txbxContent>
            </v:textbox>
          </v:roundrect>
        </w:pict>
      </w:r>
      <w:r w:rsidR="004F6317">
        <w:rPr>
          <w:noProof/>
          <w:lang w:eastAsia="uk-UA"/>
        </w:rPr>
        <w:pict>
          <v:shape id="_x0000_s1051" type="#_x0000_t32" style="position:absolute;margin-left:668.65pt;margin-top:98.05pt;width:3pt;height:148.5pt;z-index:251659263" o:connectortype="straight" strokecolor="#4f81bd [3204]" strokeweight="10pt">
            <v:stroke endarrow="block"/>
            <v:shadow color="#868686"/>
          </v:shape>
        </w:pict>
      </w:r>
      <w:r w:rsidR="004F6317">
        <w:rPr>
          <w:noProof/>
          <w:lang w:eastAsia="uk-UA"/>
        </w:rPr>
        <w:pict>
          <v:shape id="_x0000_s1050" type="#_x0000_t32" style="position:absolute;margin-left:25.15pt;margin-top:98.05pt;width:3pt;height:148.5pt;z-index:251658238" o:connectortype="straight" strokecolor="#4f81bd [3204]" strokeweight="10pt">
            <v:stroke endarrow="block"/>
            <v:shadow color="#868686"/>
          </v:shape>
        </w:pict>
      </w:r>
      <w:r w:rsidR="003F71CF">
        <w:rPr>
          <w:noProof/>
          <w:lang w:eastAsia="uk-UA"/>
        </w:rPr>
        <w:pict>
          <v:rect id="_x0000_s1049" style="position:absolute;margin-left:412.15pt;margin-top:246.55pt;width:316.5pt;height:177pt;z-index:25168281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2382" w:rsidRPr="00E92382" w:rsidRDefault="00E92382" w:rsidP="00E92382">
                  <w:pPr>
                    <w:spacing w:line="360" w:lineRule="auto"/>
                    <w:jc w:val="center"/>
                    <w:rPr>
                      <w:sz w:val="44"/>
                      <w:szCs w:val="44"/>
                    </w:rPr>
                  </w:pPr>
                  <w:r w:rsidRPr="00E9238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Організація касового виконання видатків державного бюджету казначейською системою</w:t>
                  </w:r>
                </w:p>
              </w:txbxContent>
            </v:textbox>
          </v:rect>
        </w:pict>
      </w:r>
      <w:r w:rsidR="003F71CF">
        <w:rPr>
          <w:noProof/>
          <w:lang w:eastAsia="uk-UA"/>
        </w:rPr>
        <w:pict>
          <v:rect id="_x0000_s1048" style="position:absolute;margin-left:-7.85pt;margin-top:246.55pt;width:316.5pt;height:177pt;z-index:25168179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3F71CF" w:rsidRPr="003F71CF" w:rsidRDefault="003F71CF" w:rsidP="003F71CF">
                  <w:pPr>
                    <w:pStyle w:val="a3"/>
                    <w:tabs>
                      <w:tab w:val="left" w:pos="993"/>
                      <w:tab w:val="left" w:pos="1134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3F71C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Організація касового виконання доходів державного бюджету казначейською системою</w:t>
                  </w:r>
                </w:p>
              </w:txbxContent>
            </v:textbox>
          </v:rect>
        </w:pict>
      </w:r>
      <w:r w:rsidR="00472232">
        <w:rPr>
          <w:noProof/>
          <w:lang w:eastAsia="uk-UA"/>
        </w:rPr>
        <w:pict>
          <v:shape id="_x0000_s1047" type="#_x0000_t32" style="position:absolute;margin-left:364.15pt;margin-top:98.05pt;width:0;height:25.5pt;z-index:251680768" o:connectortype="straight" strokecolor="#4f81bd [3204]" strokeweight="10pt">
            <v:stroke endarrow="block"/>
            <v:shadow color="#868686"/>
          </v:shape>
        </w:pict>
      </w:r>
      <w:r w:rsidR="00472232">
        <w:rPr>
          <w:noProof/>
          <w:lang w:eastAsia="uk-UA"/>
        </w:rPr>
        <w:pict>
          <v:shape id="_x0000_s1046" type="#_x0000_t32" style="position:absolute;margin-left:641.65pt;margin-top:98.05pt;width:0;height:25.5pt;z-index:251679744" o:connectortype="straight" strokecolor="#4f81bd [3204]" strokeweight="10pt">
            <v:stroke endarrow="block"/>
            <v:shadow color="#868686"/>
          </v:shape>
        </w:pict>
      </w:r>
      <w:r w:rsidR="00472232">
        <w:rPr>
          <w:noProof/>
          <w:lang w:eastAsia="uk-UA"/>
        </w:rPr>
        <w:pict>
          <v:shape id="_x0000_s1045" type="#_x0000_t32" style="position:absolute;margin-left:74.65pt;margin-top:98.05pt;width:0;height:25.5pt;z-index:251678720" o:connectortype="straight" strokecolor="#4f81bd [3204]" strokeweight="10pt">
            <v:stroke endarrow="block"/>
            <v:shadow color="#868686"/>
          </v:shape>
        </w:pict>
      </w:r>
      <w:r w:rsidR="00472232">
        <w:rPr>
          <w:noProof/>
          <w:lang w:eastAsia="uk-UA"/>
        </w:rPr>
        <w:pict>
          <v:roundrect id="_x0000_s1042" style="position:absolute;margin-left:-7.85pt;margin-top:123.55pt;width:159pt;height:78pt;z-index:251675648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515869" w:rsidRPr="00472232" w:rsidRDefault="00515869" w:rsidP="0047223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223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Бухгалтерський облік</w:t>
                  </w:r>
                </w:p>
              </w:txbxContent>
            </v:textbox>
          </v:roundrect>
        </w:pict>
      </w:r>
      <w:r w:rsidR="00472232">
        <w:rPr>
          <w:noProof/>
          <w:lang w:eastAsia="uk-UA"/>
        </w:rPr>
        <w:pict>
          <v:roundrect id="_x0000_s1044" style="position:absolute;margin-left:562.15pt;margin-top:123.55pt;width:159pt;height:78pt;z-index:251677696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72232" w:rsidRPr="00472232" w:rsidRDefault="00472232" w:rsidP="0047223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223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Управлінський облік</w:t>
                  </w:r>
                </w:p>
              </w:txbxContent>
            </v:textbox>
          </v:roundrect>
        </w:pict>
      </w:r>
      <w:r w:rsidR="00515869">
        <w:rPr>
          <w:noProof/>
          <w:lang w:eastAsia="uk-UA"/>
        </w:rPr>
        <w:pict>
          <v:roundrect id="_x0000_s1043" style="position:absolute;margin-left:284.65pt;margin-top:123.55pt;width:159pt;height:78pt;z-index:251676672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515869" w:rsidRPr="00472232" w:rsidRDefault="00472232" w:rsidP="0047223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7223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Ф</w:t>
                  </w:r>
                  <w:r w:rsidR="00515869" w:rsidRPr="0047223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інансовий (бюджетний) облік</w:t>
                  </w:r>
                </w:p>
              </w:txbxContent>
            </v:textbox>
          </v:roundrect>
        </w:pict>
      </w:r>
    </w:p>
    <w:sectPr w:rsidR="0071095E" w:rsidSect="000D5F61">
      <w:pgSz w:w="16839" w:h="23814" w:code="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5F61"/>
    <w:rsid w:val="000D5F61"/>
    <w:rsid w:val="003F71CF"/>
    <w:rsid w:val="00472232"/>
    <w:rsid w:val="004F6317"/>
    <w:rsid w:val="00515869"/>
    <w:rsid w:val="006C2024"/>
    <w:rsid w:val="0071095E"/>
    <w:rsid w:val="009A48CA"/>
    <w:rsid w:val="00E92382"/>
    <w:rsid w:val="00F7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0"/>
        <o:r id="V:Rule4" type="connector" idref="#_x0000_s1045"/>
        <o:r id="V:Rule5" type="connector" idref="#_x0000_s1046"/>
        <o:r id="V:Rule6" type="connector" idref="#_x0000_s1047"/>
        <o:r id="V:Rule8" type="connector" idref="#_x0000_s1050"/>
        <o:r id="V:Rule9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1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ACER-5630Z</dc:creator>
  <cp:keywords/>
  <dc:description/>
  <cp:lastModifiedBy>ACER-5630Z</cp:lastModifiedBy>
  <cp:revision>6</cp:revision>
  <dcterms:created xsi:type="dcterms:W3CDTF">2014-04-27T11:24:00Z</dcterms:created>
  <dcterms:modified xsi:type="dcterms:W3CDTF">2014-04-27T11:50:00Z</dcterms:modified>
</cp:coreProperties>
</file>