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CB8" w:rsidRDefault="00875F29">
      <w:pPr>
        <w:pStyle w:val="2"/>
        <w:keepNext w:val="0"/>
        <w:keepLines w:val="0"/>
        <w:pBdr>
          <w:top w:val="none" w:sz="0" w:space="0" w:color="000000"/>
          <w:left w:val="none" w:sz="0" w:space="0" w:color="000000"/>
          <w:bottom w:val="none" w:sz="0" w:space="0" w:color="000000"/>
          <w:right w:val="none" w:sz="0" w:space="0" w:color="000000"/>
        </w:pBdr>
        <w:spacing w:before="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mallCaps/>
          <w:sz w:val="24"/>
          <w:szCs w:val="24"/>
          <w:highlight w:val="white"/>
        </w:rPr>
        <w:t>ПРИЗНАЧЕННЯ І БОЙОВІ ВЛАСТИВОСТІ КУЛЕМЕТА</w:t>
      </w:r>
    </w:p>
    <w:p w:rsidR="00523CB8" w:rsidRDefault="00875F29">
      <w:pPr>
        <w:pBdr>
          <w:top w:val="none" w:sz="0" w:space="0" w:color="000000"/>
          <w:left w:val="none" w:sz="0" w:space="0" w:color="000000"/>
          <w:bottom w:val="none" w:sz="0" w:space="0" w:color="000000"/>
          <w:right w:val="none" w:sz="0" w:space="0" w:color="000000"/>
        </w:pBdr>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12,7-мм кулемет “Утес” є потужною автоматичною зброєю і призначений для боротьби з легко броньованими цілями, вогневими засобами, знищення живої сили і повітряних цілей противника. Дальність вогню з кулемета по </w:t>
      </w:r>
      <w:r>
        <w:rPr>
          <w:rFonts w:ascii="Times New Roman" w:eastAsia="Times New Roman" w:hAnsi="Times New Roman" w:cs="Times New Roman"/>
          <w:sz w:val="24"/>
          <w:szCs w:val="24"/>
          <w:highlight w:val="white"/>
        </w:rPr>
        <w:t>легко броньованим цілям до 800 м, по відкритій живій силі, вогневим засобам і повітряним цілям і до 1500 м. Кулемет, який встановлюється на триніжному станку, називається НСВС-12,7,  а кулемет, встановлений на бойових і спеціальних машинах, – НСВТ-12,7  Дл</w:t>
      </w:r>
      <w:r>
        <w:rPr>
          <w:rFonts w:ascii="Times New Roman" w:eastAsia="Times New Roman" w:hAnsi="Times New Roman" w:cs="Times New Roman"/>
          <w:sz w:val="24"/>
          <w:szCs w:val="24"/>
          <w:highlight w:val="white"/>
        </w:rPr>
        <w:t>я стрільби з кулемета застосовуються 12,7-мм патрони з кулями Б-30, Б-32 і БЗ-Т. Стрільба з кулемета ведеться короткими чергами (4 – 6 пострілів), довгими (10 – 15 пострілів) і безперервно.</w:t>
      </w:r>
    </w:p>
    <w:p w:rsidR="00523CB8" w:rsidRDefault="00875F29">
      <w:pPr>
        <w:pBdr>
          <w:top w:val="none" w:sz="0" w:space="0" w:color="000000"/>
          <w:left w:val="none" w:sz="0" w:space="0" w:color="000000"/>
          <w:bottom w:val="none" w:sz="0" w:space="0" w:color="000000"/>
          <w:right w:val="none" w:sz="0" w:space="0" w:color="000000"/>
        </w:pBdr>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Технічна швидкострільність – 700 – 800 пострілів на хвилину. Бойов</w:t>
      </w:r>
      <w:r>
        <w:rPr>
          <w:rFonts w:ascii="Times New Roman" w:eastAsia="Times New Roman" w:hAnsi="Times New Roman" w:cs="Times New Roman"/>
          <w:sz w:val="24"/>
          <w:szCs w:val="24"/>
          <w:highlight w:val="white"/>
        </w:rPr>
        <w:t xml:space="preserve">а швидкострільність – 80 – 100 пострілів на хвилину. </w:t>
      </w:r>
    </w:p>
    <w:p w:rsidR="00523CB8" w:rsidRDefault="00875F29">
      <w:pPr>
        <w:pBdr>
          <w:top w:val="none" w:sz="0" w:space="0" w:color="000000"/>
          <w:left w:val="none" w:sz="0" w:space="0" w:color="000000"/>
          <w:bottom w:val="none" w:sz="0" w:space="0" w:color="000000"/>
          <w:right w:val="none" w:sz="0" w:space="0" w:color="000000"/>
        </w:pBdr>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Прицільна дальність стрільби:</w:t>
      </w:r>
      <w:r>
        <w:rPr>
          <w:rFonts w:ascii="Times New Roman" w:eastAsia="Times New Roman" w:hAnsi="Times New Roman" w:cs="Times New Roman"/>
          <w:sz w:val="24"/>
          <w:szCs w:val="24"/>
          <w:highlight w:val="white"/>
        </w:rPr>
        <w:t xml:space="preserve"> по наземним цілям – 2000 м; по повітряним цілям – 1500 м; максимальна дальність польоту кулі Б-32 – 6000 м. </w:t>
      </w:r>
    </w:p>
    <w:p w:rsidR="00523CB8" w:rsidRDefault="00875F29">
      <w:pPr>
        <w:pBdr>
          <w:top w:val="none" w:sz="0" w:space="0" w:color="000000"/>
          <w:left w:val="none" w:sz="0" w:space="0" w:color="000000"/>
          <w:bottom w:val="none" w:sz="0" w:space="0" w:color="000000"/>
          <w:right w:val="none" w:sz="0" w:space="0" w:color="000000"/>
        </w:pBdr>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Живлення кулемета патронами здійснюється з металевої стрічки, я</w:t>
      </w:r>
      <w:r>
        <w:rPr>
          <w:rFonts w:ascii="Times New Roman" w:eastAsia="Times New Roman" w:hAnsi="Times New Roman" w:cs="Times New Roman"/>
          <w:sz w:val="24"/>
          <w:szCs w:val="24"/>
          <w:highlight w:val="white"/>
        </w:rPr>
        <w:t>ка вкладається в металеву коробку. Кулемети можуть мати праве або ліве живлення. Кулемети з правим або лівим живленням за своєю будовою однакові, відрізняються тільки деталями механізму подачі стрічки. Кулемет складається з наступних основних частин і меха</w:t>
      </w:r>
      <w:r>
        <w:rPr>
          <w:rFonts w:ascii="Times New Roman" w:eastAsia="Times New Roman" w:hAnsi="Times New Roman" w:cs="Times New Roman"/>
          <w:sz w:val="24"/>
          <w:szCs w:val="24"/>
          <w:highlight w:val="white"/>
        </w:rPr>
        <w:t>нізмів: ствол, ствольна коробка з лотком, кришка приймача, рукоятка перезаряджання, затворна рама із затвором, зворотний механізм з буферним пристроєм, спусковий механізм з чекою. У комплект кулемета входять: оптичний приціл, металеві коробки зі стрічками,</w:t>
      </w:r>
      <w:r>
        <w:rPr>
          <w:rFonts w:ascii="Times New Roman" w:eastAsia="Times New Roman" w:hAnsi="Times New Roman" w:cs="Times New Roman"/>
          <w:sz w:val="24"/>
          <w:szCs w:val="24"/>
          <w:highlight w:val="white"/>
        </w:rPr>
        <w:t xml:space="preserve"> триніжний станок, приладдя і чохли.</w:t>
      </w:r>
    </w:p>
    <w:p w:rsidR="00523CB8" w:rsidRDefault="00875F29">
      <w:pPr>
        <w:spacing w:line="240" w:lineRule="auto"/>
        <w:rPr>
          <w:rFonts w:ascii="Calibri" w:eastAsia="Calibri" w:hAnsi="Calibri" w:cs="Calibri"/>
          <w:b/>
        </w:rPr>
      </w:pPr>
      <w:r>
        <w:rPr>
          <w:rFonts w:ascii="Calibri" w:eastAsia="Calibri" w:hAnsi="Calibri" w:cs="Calibri"/>
          <w:b/>
        </w:rPr>
        <w:t>Скорочення та умовні позначення</w:t>
      </w:r>
      <w:r>
        <w:rPr>
          <w:rFonts w:ascii="Calibri" w:eastAsia="Calibri" w:hAnsi="Calibri" w:cs="Calibri"/>
          <w:b/>
        </w:rPr>
        <w:tab/>
      </w:r>
      <w:r>
        <w:rPr>
          <w:rFonts w:ascii="Calibri" w:eastAsia="Calibri" w:hAnsi="Calibri" w:cs="Calibri"/>
          <w:b/>
        </w:rPr>
        <w:tab/>
        <w:t>Повне словосполучення та поняття, що скорочуються</w:t>
      </w:r>
    </w:p>
    <w:p w:rsidR="00523CB8" w:rsidRDefault="00523CB8">
      <w:pPr>
        <w:spacing w:line="240" w:lineRule="auto"/>
        <w:rPr>
          <w:rFonts w:ascii="Calibri" w:eastAsia="Calibri" w:hAnsi="Calibri" w:cs="Calibri"/>
          <w:b/>
        </w:rPr>
      </w:pPr>
    </w:p>
    <w:p w:rsidR="00523CB8" w:rsidRDefault="00875F29">
      <w:pPr>
        <w:spacing w:line="240" w:lineRule="auto"/>
        <w:rPr>
          <w:rFonts w:ascii="Calibri" w:eastAsia="Calibri" w:hAnsi="Calibri" w:cs="Calibri"/>
        </w:rPr>
      </w:pPr>
      <w:r>
        <w:rPr>
          <w:rFonts w:ascii="Calibri" w:eastAsia="Calibri" w:hAnsi="Calibri" w:cs="Calibri"/>
        </w:rPr>
        <w:t>ВН</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Вертикальне наведення</w:t>
      </w:r>
    </w:p>
    <w:p w:rsidR="00523CB8" w:rsidRDefault="00875F29">
      <w:pPr>
        <w:spacing w:line="240" w:lineRule="auto"/>
        <w:rPr>
          <w:rFonts w:ascii="Calibri" w:eastAsia="Calibri" w:hAnsi="Calibri" w:cs="Calibri"/>
        </w:rPr>
      </w:pPr>
      <w:r>
        <w:rPr>
          <w:rFonts w:ascii="Calibri" w:eastAsia="Calibri" w:hAnsi="Calibri" w:cs="Calibri"/>
        </w:rPr>
        <w:t>ГН</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Горизонтальне наведення</w:t>
      </w:r>
    </w:p>
    <w:p w:rsidR="00523CB8" w:rsidRDefault="00875F29">
      <w:pPr>
        <w:spacing w:line="240" w:lineRule="auto"/>
        <w:rPr>
          <w:rFonts w:ascii="Calibri" w:eastAsia="Calibri" w:hAnsi="Calibri" w:cs="Calibri"/>
        </w:rPr>
      </w:pPr>
      <w:r>
        <w:rPr>
          <w:rFonts w:ascii="Calibri" w:eastAsia="Calibri" w:hAnsi="Calibri" w:cs="Calibri"/>
        </w:rPr>
        <w:t>ЗІП</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Запасні частини, інструмент і приладдя</w:t>
      </w:r>
      <w:r>
        <w:rPr>
          <w:rFonts w:ascii="Calibri" w:eastAsia="Calibri" w:hAnsi="Calibri" w:cs="Calibri"/>
        </w:rPr>
        <w:tab/>
      </w:r>
    </w:p>
    <w:p w:rsidR="00523CB8" w:rsidRDefault="00875F29">
      <w:pPr>
        <w:spacing w:line="240" w:lineRule="auto"/>
        <w:rPr>
          <w:rFonts w:ascii="Calibri" w:eastAsia="Calibri" w:hAnsi="Calibri" w:cs="Calibri"/>
        </w:rPr>
      </w:pPr>
      <w:r>
        <w:rPr>
          <w:rFonts w:ascii="Calibri" w:eastAsia="Calibri" w:hAnsi="Calibri" w:cs="Calibri"/>
        </w:rPr>
        <w:t>ЗКУ</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Зенітна кулемет</w:t>
      </w:r>
      <w:r>
        <w:rPr>
          <w:rFonts w:ascii="Calibri" w:eastAsia="Calibri" w:hAnsi="Calibri" w:cs="Calibri"/>
        </w:rPr>
        <w:t>на установка</w:t>
      </w:r>
      <w:r>
        <w:rPr>
          <w:rFonts w:ascii="Calibri" w:eastAsia="Calibri" w:hAnsi="Calibri" w:cs="Calibri"/>
        </w:rPr>
        <w:br/>
        <w:t>КТ</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Контрольна точка</w:t>
      </w:r>
    </w:p>
    <w:p w:rsidR="00523CB8" w:rsidRDefault="00875F29">
      <w:pPr>
        <w:spacing w:line="240" w:lineRule="auto"/>
        <w:rPr>
          <w:rFonts w:ascii="Calibri" w:eastAsia="Calibri" w:hAnsi="Calibri" w:cs="Calibri"/>
        </w:rPr>
      </w:pPr>
      <w:r>
        <w:rPr>
          <w:rFonts w:ascii="Calibri" w:eastAsia="Calibri" w:hAnsi="Calibri" w:cs="Calibri"/>
        </w:rPr>
        <w:t>ОКГ</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Оптичний квантовий генератор</w:t>
      </w:r>
    </w:p>
    <w:p w:rsidR="00523CB8" w:rsidRDefault="00875F29">
      <w:pPr>
        <w:spacing w:line="240" w:lineRule="auto"/>
        <w:rPr>
          <w:rFonts w:ascii="Calibri" w:eastAsia="Calibri" w:hAnsi="Calibri" w:cs="Calibri"/>
        </w:rPr>
      </w:pPr>
      <w:r>
        <w:rPr>
          <w:rFonts w:ascii="Calibri" w:eastAsia="Calibri" w:hAnsi="Calibri" w:cs="Calibri"/>
        </w:rPr>
        <w:t>ПТРК</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Протитанковий ракетний комплекс</w:t>
      </w:r>
    </w:p>
    <w:p w:rsidR="00523CB8" w:rsidRDefault="00875F29">
      <w:pPr>
        <w:spacing w:line="240" w:lineRule="auto"/>
        <w:rPr>
          <w:rFonts w:ascii="Calibri" w:eastAsia="Calibri" w:hAnsi="Calibri" w:cs="Calibri"/>
        </w:rPr>
      </w:pPr>
      <w:r>
        <w:rPr>
          <w:rFonts w:ascii="Calibri" w:eastAsia="Calibri" w:hAnsi="Calibri" w:cs="Calibri"/>
        </w:rPr>
        <w:t>РЧС</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Розчин чищення стволів</w:t>
      </w:r>
    </w:p>
    <w:p w:rsidR="00523CB8" w:rsidRDefault="00875F29">
      <w:pPr>
        <w:spacing w:line="240" w:lineRule="auto"/>
        <w:rPr>
          <w:rFonts w:ascii="Calibri" w:eastAsia="Calibri" w:hAnsi="Calibri" w:cs="Calibri"/>
        </w:rPr>
      </w:pPr>
      <w:r>
        <w:rPr>
          <w:rFonts w:ascii="Calibri" w:eastAsia="Calibri" w:hAnsi="Calibri" w:cs="Calibri"/>
        </w:rPr>
        <w:t>СКП</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Стрілецький кулеметний приціл</w:t>
      </w:r>
      <w:r>
        <w:rPr>
          <w:rFonts w:ascii="Calibri" w:eastAsia="Calibri" w:hAnsi="Calibri" w:cs="Calibri"/>
        </w:rPr>
        <w:tab/>
      </w:r>
      <w:r>
        <w:rPr>
          <w:rFonts w:ascii="Calibri" w:eastAsia="Calibri" w:hAnsi="Calibri" w:cs="Calibri"/>
        </w:rPr>
        <w:tab/>
      </w:r>
    </w:p>
    <w:p w:rsidR="00523CB8" w:rsidRDefault="00875F29">
      <w:pPr>
        <w:spacing w:line="240" w:lineRule="auto"/>
        <w:rPr>
          <w:rFonts w:ascii="Calibri" w:eastAsia="Calibri" w:hAnsi="Calibri" w:cs="Calibri"/>
        </w:rPr>
      </w:pPr>
      <w:r>
        <w:rPr>
          <w:rFonts w:ascii="Calibri" w:eastAsia="Calibri" w:hAnsi="Calibri" w:cs="Calibri"/>
        </w:rPr>
        <w:t>СТВ</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Середня точка влучання</w:t>
      </w:r>
      <w:r>
        <w:rPr>
          <w:rFonts w:ascii="Calibri" w:eastAsia="Calibri" w:hAnsi="Calibri" w:cs="Calibri"/>
        </w:rPr>
        <w:br/>
        <w:t>ТВ</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Точка влучання</w:t>
      </w:r>
      <w:r>
        <w:rPr>
          <w:rFonts w:ascii="Calibri" w:eastAsia="Calibri" w:hAnsi="Calibri" w:cs="Calibri"/>
        </w:rPr>
        <w:br/>
        <w:t>ТНМ</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Т</w:t>
      </w:r>
      <w:r>
        <w:rPr>
          <w:rFonts w:ascii="Calibri" w:eastAsia="Calibri" w:hAnsi="Calibri" w:cs="Calibri"/>
        </w:rPr>
        <w:t>очка наведення механічного прицілу</w:t>
      </w:r>
      <w:r>
        <w:rPr>
          <w:rFonts w:ascii="Calibri" w:eastAsia="Calibri" w:hAnsi="Calibri" w:cs="Calibri"/>
        </w:rPr>
        <w:br/>
        <w:t>ТНО</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Точка наведення оптичного прицілу</w:t>
      </w:r>
      <w:r>
        <w:rPr>
          <w:rFonts w:ascii="Calibri" w:eastAsia="Calibri" w:hAnsi="Calibri" w:cs="Calibri"/>
        </w:rPr>
        <w:br/>
        <w:t>ТХП</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Трубка холодного пристрілювання</w:t>
      </w:r>
    </w:p>
    <w:p w:rsidR="00523CB8" w:rsidRDefault="00875F29">
      <w:pPr>
        <w:spacing w:line="240" w:lineRule="auto"/>
        <w:rPr>
          <w:rFonts w:ascii="Calibri" w:eastAsia="Calibri" w:hAnsi="Calibri" w:cs="Calibri"/>
        </w:rPr>
      </w:pPr>
      <w:r>
        <w:rPr>
          <w:rFonts w:ascii="Calibri" w:eastAsia="Calibri" w:hAnsi="Calibri" w:cs="Calibri"/>
        </w:rPr>
        <w:t>ШР</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Штепсельний роз’єм</w:t>
      </w:r>
    </w:p>
    <w:p w:rsidR="00523CB8" w:rsidRDefault="00523CB8">
      <w:pPr>
        <w:spacing w:line="240" w:lineRule="auto"/>
        <w:rPr>
          <w:rFonts w:ascii="Calibri" w:eastAsia="Calibri" w:hAnsi="Calibri" w:cs="Calibri"/>
        </w:rPr>
      </w:pPr>
    </w:p>
    <w:p w:rsidR="00523CB8" w:rsidRDefault="00523CB8">
      <w:pPr>
        <w:spacing w:line="240" w:lineRule="auto"/>
        <w:rPr>
          <w:rFonts w:ascii="Calibri" w:eastAsia="Calibri" w:hAnsi="Calibri" w:cs="Calibri"/>
        </w:rPr>
      </w:pPr>
    </w:p>
    <w:p w:rsidR="00523CB8" w:rsidRDefault="00523CB8">
      <w:pPr>
        <w:spacing w:line="240" w:lineRule="auto"/>
        <w:rPr>
          <w:rFonts w:ascii="Calibri" w:eastAsia="Calibri" w:hAnsi="Calibri" w:cs="Calibri"/>
        </w:rPr>
      </w:pPr>
    </w:p>
    <w:p w:rsidR="00523CB8" w:rsidRDefault="00523CB8">
      <w:pPr>
        <w:spacing w:line="240" w:lineRule="auto"/>
        <w:rPr>
          <w:rFonts w:ascii="Calibri" w:eastAsia="Calibri" w:hAnsi="Calibri" w:cs="Calibri"/>
        </w:rPr>
      </w:pPr>
    </w:p>
    <w:p w:rsidR="00523CB8" w:rsidRDefault="00523CB8">
      <w:pPr>
        <w:spacing w:line="240" w:lineRule="auto"/>
        <w:rPr>
          <w:rFonts w:ascii="Calibri" w:eastAsia="Calibri" w:hAnsi="Calibri" w:cs="Calibri"/>
        </w:rPr>
      </w:pPr>
    </w:p>
    <w:p w:rsidR="00523CB8" w:rsidRDefault="00523CB8">
      <w:pPr>
        <w:spacing w:line="240" w:lineRule="auto"/>
        <w:rPr>
          <w:rFonts w:ascii="Calibri" w:eastAsia="Calibri" w:hAnsi="Calibri" w:cs="Calibri"/>
        </w:rPr>
      </w:pPr>
    </w:p>
    <w:p w:rsidR="00523CB8" w:rsidRDefault="00875F29">
      <w:pPr>
        <w:spacing w:after="200"/>
        <w:jc w:val="right"/>
        <w:rPr>
          <w:rFonts w:ascii="Calibri" w:eastAsia="Calibri" w:hAnsi="Calibri" w:cs="Calibri"/>
        </w:rPr>
      </w:pPr>
      <w:bookmarkStart w:id="0" w:name="_42gh3fmrt0g7" w:colFirst="0" w:colLast="0"/>
      <w:bookmarkEnd w:id="0"/>
      <w:r>
        <w:rPr>
          <w:rFonts w:ascii="Courier New" w:eastAsia="Courier New" w:hAnsi="Courier New" w:cs="Courier New"/>
          <w:b/>
          <w:sz w:val="28"/>
          <w:szCs w:val="28"/>
        </w:rPr>
        <w:lastRenderedPageBreak/>
        <w:t>Traduction de l'ukrainien en français</w:t>
      </w:r>
      <w:r>
        <w:rPr>
          <w:rFonts w:ascii="Times New Roman" w:eastAsia="Times New Roman" w:hAnsi="Times New Roman" w:cs="Times New Roman"/>
          <w:sz w:val="24"/>
          <w:szCs w:val="24"/>
        </w:rPr>
        <w:br/>
      </w:r>
    </w:p>
    <w:p w:rsidR="00523CB8" w:rsidRDefault="00875F29">
      <w:pPr>
        <w:pBdr>
          <w:top w:val="none" w:sz="0" w:space="0" w:color="000000"/>
          <w:left w:val="none" w:sz="0" w:space="0" w:color="000000"/>
          <w:bottom w:val="none" w:sz="0" w:space="0" w:color="000000"/>
          <w:right w:val="none" w:sz="0" w:space="0" w:color="000000"/>
        </w:pBdr>
        <w:spacing w:before="240" w:after="240"/>
        <w:jc w:val="both"/>
        <w:rPr>
          <w:rFonts w:ascii="Times New Roman" w:eastAsia="Times New Roman" w:hAnsi="Times New Roman" w:cs="Times New Roman"/>
          <w:b/>
          <w:sz w:val="24"/>
          <w:szCs w:val="24"/>
          <w:highlight w:val="white"/>
        </w:rPr>
      </w:pPr>
      <w:r w:rsidRPr="00C20D9B">
        <w:rPr>
          <w:rFonts w:ascii="Times New Roman" w:hAnsi="Times New Roman" w:cs="Times New Roman"/>
          <w:b/>
          <w:bCs/>
          <w:sz w:val="24"/>
          <w:szCs w:val="24"/>
        </w:rPr>
        <w:t>OBJECTIF</w:t>
      </w:r>
      <w:r w:rsidRPr="00C20D9B">
        <w:rPr>
          <w:rFonts w:ascii="Times New Roman" w:hAnsi="Times New Roman" w:cs="Times New Roman"/>
          <w:sz w:val="28"/>
          <w:szCs w:val="28"/>
        </w:rPr>
        <w:t xml:space="preserve"> </w:t>
      </w:r>
      <w:r>
        <w:rPr>
          <w:rFonts w:ascii="Times New Roman" w:eastAsia="Times New Roman" w:hAnsi="Times New Roman" w:cs="Times New Roman"/>
          <w:b/>
          <w:sz w:val="24"/>
          <w:szCs w:val="24"/>
          <w:highlight w:val="white"/>
          <w:lang w:val="fr-FR"/>
        </w:rPr>
        <w:t xml:space="preserve"> ET </w:t>
      </w:r>
      <w:r>
        <w:rPr>
          <w:rFonts w:ascii="Times New Roman" w:eastAsia="Times New Roman" w:hAnsi="Times New Roman" w:cs="Times New Roman"/>
          <w:b/>
          <w:sz w:val="24"/>
          <w:szCs w:val="24"/>
          <w:highlight w:val="white"/>
        </w:rPr>
        <w:t>CARACTÉRISTIQUES DE COMBAT DE LA MITRAILLEUSE</w:t>
      </w:r>
    </w:p>
    <w:p w:rsidR="00523CB8" w:rsidRDefault="00875F29">
      <w:pPr>
        <w:pBdr>
          <w:top w:val="none" w:sz="0" w:space="0" w:color="000000"/>
          <w:left w:val="none" w:sz="0" w:space="0" w:color="000000"/>
          <w:bottom w:val="none" w:sz="0" w:space="0" w:color="000000"/>
          <w:right w:val="none" w:sz="0" w:space="0" w:color="000000"/>
        </w:pBd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 mitrailleuse </w:t>
      </w:r>
      <w:r w:rsidRPr="00C20D9B">
        <w:rPr>
          <w:rFonts w:ascii="Times New Roman" w:eastAsia="Times New Roman" w:hAnsi="Times New Roman" w:cs="Times New Roman"/>
          <w:sz w:val="24"/>
          <w:szCs w:val="24"/>
        </w:rPr>
        <w:t>«Utes»</w:t>
      </w:r>
      <w:r w:rsidRPr="00C20D9B">
        <w:rPr>
          <w:rFonts w:ascii="Times New Roman" w:eastAsia="Times New Roman" w:hAnsi="Times New Roman" w:cs="Times New Roman"/>
          <w:sz w:val="24"/>
          <w:szCs w:val="24"/>
          <w:lang w:val="fr-FR"/>
        </w:rPr>
        <w:t xml:space="preserve"> </w:t>
      </w:r>
      <w:r>
        <w:rPr>
          <w:rFonts w:ascii="Times New Roman" w:eastAsia="Times New Roman" w:hAnsi="Times New Roman" w:cs="Times New Roman"/>
          <w:sz w:val="24"/>
          <w:szCs w:val="24"/>
          <w:highlight w:val="white"/>
        </w:rPr>
        <w:t>de 12,7 mm  est une arme automatique puissante, conçue pour combattre des cibles légèrement blindées, des positions ennemies, ainsi que pour la destruction des effectifs et des cibles aériennes ennemies. La portée de tir contre des c</w:t>
      </w:r>
      <w:r>
        <w:rPr>
          <w:rFonts w:ascii="Times New Roman" w:eastAsia="Times New Roman" w:hAnsi="Times New Roman" w:cs="Times New Roman"/>
          <w:sz w:val="24"/>
          <w:szCs w:val="24"/>
          <w:highlight w:val="white"/>
        </w:rPr>
        <w:t xml:space="preserve">ibles légèrement blindées est de 800 mètres, tandis que contre des effectifs, des positions de tir et des cibles aériennes, </w:t>
      </w:r>
      <w:r w:rsidRPr="00C20D9B">
        <w:rPr>
          <w:rFonts w:ascii="Times New Roman" w:hAnsi="Times New Roman" w:cs="Times New Roman"/>
          <w:sz w:val="24"/>
          <w:szCs w:val="24"/>
          <w:lang w:val="fr-FR"/>
        </w:rPr>
        <w:t>le</w:t>
      </w:r>
      <w:r w:rsidRPr="00C20D9B">
        <w:rPr>
          <w:rFonts w:ascii="Times New Roman" w:hAnsi="Times New Roman" w:cs="Times New Roman"/>
          <w:sz w:val="24"/>
          <w:szCs w:val="24"/>
          <w:lang w:val="fr-FR"/>
        </w:rPr>
        <w:t xml:space="preserve"> feu ouvert</w:t>
      </w:r>
      <w:r w:rsidRPr="00C20D9B">
        <w:rPr>
          <w:rFonts w:ascii="Times New Roman" w:hAnsi="Times New Roman" w:cs="Times New Roman"/>
          <w:sz w:val="24"/>
          <w:szCs w:val="24"/>
          <w:lang w:val="fr-FR"/>
        </w:rPr>
        <w:t xml:space="preserve"> </w:t>
      </w:r>
      <w:r w:rsidRPr="00C20D9B">
        <w:rPr>
          <w:rFonts w:ascii="Times New Roman" w:eastAsia="Times New Roman" w:hAnsi="Times New Roman" w:cs="Times New Roman"/>
          <w:sz w:val="24"/>
          <w:szCs w:val="24"/>
        </w:rPr>
        <w:t>p</w:t>
      </w:r>
      <w:r w:rsidRPr="00C20D9B">
        <w:rPr>
          <w:rFonts w:ascii="Times New Roman" w:eastAsia="Times New Roman" w:hAnsi="Times New Roman" w:cs="Times New Roman"/>
          <w:sz w:val="24"/>
          <w:szCs w:val="24"/>
        </w:rPr>
        <w:t xml:space="preserve">eut </w:t>
      </w:r>
      <w:r>
        <w:rPr>
          <w:rFonts w:ascii="Times New Roman" w:eastAsia="Times New Roman" w:hAnsi="Times New Roman" w:cs="Times New Roman"/>
          <w:sz w:val="24"/>
          <w:szCs w:val="24"/>
          <w:highlight w:val="white"/>
        </w:rPr>
        <w:t>atteindre 1 500 mètres. La mitrailleuse montée sur un affût trépied est appelée NSVS-12,7, tandis que celle insta</w:t>
      </w:r>
      <w:r>
        <w:rPr>
          <w:rFonts w:ascii="Times New Roman" w:eastAsia="Times New Roman" w:hAnsi="Times New Roman" w:cs="Times New Roman"/>
          <w:sz w:val="24"/>
          <w:szCs w:val="24"/>
          <w:highlight w:val="white"/>
        </w:rPr>
        <w:t>llée sur des véhicules de combat et spécialisés est désignée NSVT-12,7. Pour le tir, elle utilise des cartouches de 12,7 mm avec des projectiles B-30, B-32 et BZ-T. Le tir peut être effectué en courtes rafales (4 à 6 coups), en longues rafales (10 à 15 cou</w:t>
      </w:r>
      <w:r>
        <w:rPr>
          <w:rFonts w:ascii="Times New Roman" w:eastAsia="Times New Roman" w:hAnsi="Times New Roman" w:cs="Times New Roman"/>
          <w:sz w:val="24"/>
          <w:szCs w:val="24"/>
          <w:highlight w:val="white"/>
        </w:rPr>
        <w:t>ps) ou en tir continu.</w:t>
      </w:r>
    </w:p>
    <w:p w:rsidR="00523CB8" w:rsidRDefault="00875F29">
      <w:pPr>
        <w:pBdr>
          <w:top w:val="none" w:sz="0" w:space="0" w:color="000000"/>
          <w:left w:val="none" w:sz="0" w:space="0" w:color="000000"/>
          <w:bottom w:val="none" w:sz="0" w:space="0" w:color="000000"/>
          <w:right w:val="none" w:sz="0" w:space="0" w:color="000000"/>
        </w:pBd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 cadence de tir technique est de 700 à 800 coups par minute. La cadence de tir au combat est de 80 à 100 coups par minute. </w:t>
      </w:r>
    </w:p>
    <w:p w:rsidR="00523CB8" w:rsidRDefault="00875F29">
      <w:pPr>
        <w:pBdr>
          <w:top w:val="none" w:sz="0" w:space="0" w:color="000000"/>
          <w:left w:val="none" w:sz="0" w:space="0" w:color="000000"/>
          <w:bottom w:val="none" w:sz="0" w:space="0" w:color="000000"/>
          <w:right w:val="none" w:sz="0" w:space="0" w:color="000000"/>
        </w:pBd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La portée de tir précise</w:t>
      </w:r>
      <w:r>
        <w:rPr>
          <w:rFonts w:ascii="Times New Roman" w:eastAsia="Times New Roman" w:hAnsi="Times New Roman" w:cs="Times New Roman"/>
          <w:sz w:val="24"/>
          <w:szCs w:val="24"/>
          <w:highlight w:val="white"/>
        </w:rPr>
        <w:t xml:space="preserve"> contre des cibles </w:t>
      </w:r>
      <w:r w:rsidRPr="00C20D9B">
        <w:rPr>
          <w:rFonts w:ascii="Times New Roman" w:eastAsia="Times New Roman" w:hAnsi="Times New Roman" w:cs="Times New Roman"/>
          <w:sz w:val="24"/>
          <w:szCs w:val="24"/>
          <w:lang w:val="fr-FR"/>
        </w:rPr>
        <w:t>terrestres</w:t>
      </w:r>
      <w:r w:rsidRPr="00C20D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est de 2000 m, contre des cibles aériennes – 1500 m, </w:t>
      </w:r>
      <w:r>
        <w:rPr>
          <w:rFonts w:ascii="Times New Roman" w:eastAsia="Times New Roman" w:hAnsi="Times New Roman" w:cs="Times New Roman"/>
          <w:sz w:val="24"/>
          <w:szCs w:val="24"/>
          <w:highlight w:val="white"/>
        </w:rPr>
        <w:t>la portée maximale du projectile B-32 atteint 6000 m.</w:t>
      </w:r>
    </w:p>
    <w:p w:rsidR="00523CB8" w:rsidRDefault="00875F29">
      <w:pPr>
        <w:pBdr>
          <w:top w:val="none" w:sz="0" w:space="0" w:color="000000"/>
          <w:left w:val="none" w:sz="0" w:space="0" w:color="000000"/>
          <w:bottom w:val="none" w:sz="0" w:space="0" w:color="000000"/>
          <w:right w:val="none" w:sz="0" w:space="0" w:color="000000"/>
        </w:pBd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L'alimentation de la mitrailleuse en munitions s'effectue à l'aide d'une bande métallique insérée dans une boîte en métal. Les mitrailleuses peuvent être alimentées par la droite ou par la gauche. Les m</w:t>
      </w:r>
      <w:r>
        <w:rPr>
          <w:rFonts w:ascii="Times New Roman" w:eastAsia="Times New Roman" w:hAnsi="Times New Roman" w:cs="Times New Roman"/>
          <w:sz w:val="24"/>
          <w:szCs w:val="24"/>
          <w:highlight w:val="white"/>
        </w:rPr>
        <w:t xml:space="preserve">itrailleuses à </w:t>
      </w:r>
      <w:r w:rsidR="00C20D9B" w:rsidRPr="00C20D9B">
        <w:rPr>
          <w:rFonts w:ascii="Times New Roman" w:eastAsia="Times New Roman" w:hAnsi="Times New Roman" w:cs="Times New Roman"/>
          <w:sz w:val="24"/>
          <w:szCs w:val="24"/>
          <w:lang w:val="fr-FR"/>
        </w:rPr>
        <w:t>puissance</w:t>
      </w:r>
      <w:r w:rsidRPr="00C20D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droite ou gauche sont identiques dans leur construction et ne diffèrent que par les éléments du mécanisme d'alimentation de la bande. La mitrailleuse est composée des parties et mécanismes suivants: le canon, le boît</w:t>
      </w:r>
      <w:r>
        <w:rPr>
          <w:rFonts w:ascii="Times New Roman" w:eastAsia="Times New Roman" w:hAnsi="Times New Roman" w:cs="Times New Roman"/>
          <w:sz w:val="24"/>
          <w:szCs w:val="24"/>
          <w:highlight w:val="white"/>
        </w:rPr>
        <w:t>ier de culasse avec plateau d'alimentation, le couvercle du boîtier du récepteur, la poignée d</w:t>
      </w:r>
      <w:r w:rsidR="00C20D9B">
        <w:rPr>
          <w:rFonts w:ascii="Times New Roman" w:eastAsia="Times New Roman" w:hAnsi="Times New Roman" w:cs="Times New Roman"/>
          <w:sz w:val="24"/>
          <w:szCs w:val="24"/>
          <w:highlight w:val="white"/>
          <w:lang w:val="fr-FR"/>
        </w:rPr>
        <w:t>e</w:t>
      </w:r>
      <w:r>
        <w:rPr>
          <w:rFonts w:ascii="Times New Roman" w:eastAsia="Times New Roman" w:hAnsi="Times New Roman" w:cs="Times New Roman"/>
          <w:sz w:val="24"/>
          <w:szCs w:val="24"/>
          <w:highlight w:val="white"/>
          <w:lang w:val="fr-FR"/>
        </w:rPr>
        <w:t xml:space="preserve"> </w:t>
      </w:r>
      <w:r w:rsidRPr="00C20D9B">
        <w:rPr>
          <w:rFonts w:ascii="Times New Roman" w:hAnsi="Times New Roman" w:cs="Times New Roman"/>
          <w:sz w:val="24"/>
          <w:szCs w:val="24"/>
        </w:rPr>
        <w:t>rechargement,</w:t>
      </w:r>
      <w:r w:rsidRPr="00C20D9B">
        <w:rPr>
          <w:rFonts w:ascii="Times New Roman" w:hAnsi="Times New Roman" w:cs="Times New Roman"/>
          <w:sz w:val="24"/>
          <w:szCs w:val="24"/>
          <w:lang w:val="fr-FR"/>
        </w:rPr>
        <w:t xml:space="preserve"> </w:t>
      </w:r>
      <w:r>
        <w:rPr>
          <w:rFonts w:ascii="Times New Roman" w:eastAsia="Times New Roman" w:hAnsi="Times New Roman" w:cs="Times New Roman"/>
          <w:sz w:val="24"/>
          <w:szCs w:val="24"/>
          <w:highlight w:val="white"/>
        </w:rPr>
        <w:t xml:space="preserve">la culasse mobile avec verrou, le mécanisme de recul avec dispositif tampon, le mécanisme de détente avec goupille de sécurité. </w:t>
      </w:r>
      <w:r w:rsidRPr="00C20D9B">
        <w:rPr>
          <w:rFonts w:ascii="Times New Roman" w:eastAsia="Times New Roman" w:hAnsi="Times New Roman" w:cs="Times New Roman"/>
          <w:sz w:val="24"/>
          <w:szCs w:val="24"/>
        </w:rPr>
        <w:t>L'</w:t>
      </w:r>
      <w:r w:rsidRPr="00C20D9B">
        <w:rPr>
          <w:rFonts w:ascii="Times New Roman" w:eastAsia="Times New Roman" w:hAnsi="Times New Roman" w:cs="Times New Roman"/>
          <w:sz w:val="24"/>
          <w:szCs w:val="24"/>
          <w:lang w:val="fr-FR"/>
        </w:rPr>
        <w:t>ensemble</w:t>
      </w:r>
      <w:r w:rsidRPr="00C20D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de la mitrailleuse comprend </w:t>
      </w:r>
      <w:r>
        <w:rPr>
          <w:rFonts w:ascii="Times New Roman" w:hAnsi="Times New Roman" w:cs="Times New Roman"/>
          <w:sz w:val="24"/>
          <w:szCs w:val="24"/>
        </w:rPr>
        <w:t>un viseur optique</w:t>
      </w:r>
      <w:r>
        <w:rPr>
          <w:rFonts w:ascii="Times New Roman" w:eastAsia="Times New Roman" w:hAnsi="Times New Roman" w:cs="Times New Roman"/>
          <w:sz w:val="24"/>
          <w:szCs w:val="24"/>
          <w:highlight w:val="white"/>
        </w:rPr>
        <w:t>, des boîtes métalliques avec bandes de munitions, un affût trépied, des accessoires et des housses de protection.</w:t>
      </w:r>
    </w:p>
    <w:p w:rsidR="00523CB8" w:rsidRDefault="00875F29">
      <w:pPr>
        <w:jc w:val="both"/>
        <w:rPr>
          <w:rFonts w:asciiTheme="majorHAnsi" w:eastAsia="Calibri" w:hAnsiTheme="majorHAnsi" w:cstheme="majorHAnsi"/>
          <w:b/>
          <w:sz w:val="24"/>
          <w:szCs w:val="24"/>
        </w:rPr>
      </w:pPr>
      <w:r>
        <w:rPr>
          <w:rFonts w:asciiTheme="majorHAnsi" w:eastAsia="Calibri" w:hAnsiTheme="majorHAnsi" w:cstheme="majorHAnsi"/>
          <w:b/>
          <w:sz w:val="24"/>
          <w:szCs w:val="24"/>
        </w:rPr>
        <w:t xml:space="preserve">Abréviations et désignations                        Expression complète et </w:t>
      </w:r>
    </w:p>
    <w:p w:rsidR="00523CB8" w:rsidRDefault="00875F29">
      <w:pPr>
        <w:jc w:val="both"/>
        <w:rPr>
          <w:rFonts w:asciiTheme="majorHAnsi" w:eastAsia="Calibri" w:hAnsiTheme="majorHAnsi" w:cstheme="majorHAnsi"/>
          <w:b/>
          <w:sz w:val="24"/>
          <w:szCs w:val="24"/>
        </w:rPr>
      </w:pPr>
      <w:r>
        <w:rPr>
          <w:rFonts w:asciiTheme="majorHAnsi" w:eastAsia="Calibri" w:hAnsiTheme="majorHAnsi" w:cstheme="majorHAnsi"/>
          <w:b/>
          <w:sz w:val="24"/>
          <w:szCs w:val="24"/>
        </w:rPr>
        <w:t>conventionn</w:t>
      </w:r>
      <w:r>
        <w:rPr>
          <w:rFonts w:asciiTheme="majorHAnsi" w:eastAsia="Calibri" w:hAnsiTheme="majorHAnsi" w:cstheme="majorHAnsi"/>
          <w:b/>
          <w:sz w:val="24"/>
          <w:szCs w:val="24"/>
        </w:rPr>
        <w:t>elles                                           concept abrégé</w:t>
      </w:r>
    </w:p>
    <w:p w:rsidR="00523CB8" w:rsidRPr="00C20D9B" w:rsidRDefault="00523CB8">
      <w:pPr>
        <w:jc w:val="both"/>
        <w:rPr>
          <w:rFonts w:asciiTheme="majorHAnsi" w:eastAsia="Calibri" w:hAnsiTheme="majorHAnsi" w:cstheme="majorHAnsi"/>
          <w:b/>
          <w:sz w:val="24"/>
          <w:szCs w:val="24"/>
        </w:rPr>
      </w:pPr>
    </w:p>
    <w:p w:rsidR="00523CB8" w:rsidRPr="00C20D9B" w:rsidRDefault="00875F29">
      <w:pPr>
        <w:jc w:val="both"/>
        <w:rPr>
          <w:rFonts w:asciiTheme="majorHAnsi" w:hAnsiTheme="majorHAnsi" w:cstheme="majorHAnsi"/>
          <w:color w:val="1F1F1F"/>
          <w:sz w:val="24"/>
          <w:szCs w:val="24"/>
          <w:shd w:val="clear" w:color="auto" w:fill="FFFFFF"/>
        </w:rPr>
      </w:pPr>
      <w:r w:rsidRPr="00C20D9B">
        <w:rPr>
          <w:rFonts w:asciiTheme="majorHAnsi" w:eastAsia="Calibri" w:hAnsiTheme="majorHAnsi" w:cstheme="majorHAnsi"/>
          <w:sz w:val="24"/>
          <w:szCs w:val="24"/>
          <w:lang w:val="fr-FR"/>
        </w:rPr>
        <w:t>P</w:t>
      </w:r>
      <w:r w:rsidRPr="00C20D9B">
        <w:rPr>
          <w:rFonts w:asciiTheme="majorHAnsi" w:eastAsia="Calibri" w:hAnsiTheme="majorHAnsi" w:cstheme="majorHAnsi"/>
          <w:sz w:val="24"/>
          <w:szCs w:val="24"/>
        </w:rPr>
        <w:t>V</w:t>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hAnsiTheme="majorHAnsi" w:cstheme="majorHAnsi"/>
          <w:color w:val="1F1F1F"/>
          <w:sz w:val="24"/>
          <w:szCs w:val="24"/>
          <w:shd w:val="clear" w:color="auto" w:fill="FFFFFF"/>
          <w:lang w:val="fr-FR"/>
        </w:rPr>
        <w:t>Pointage</w:t>
      </w:r>
      <w:r w:rsidRPr="00C20D9B">
        <w:rPr>
          <w:rFonts w:asciiTheme="majorHAnsi" w:hAnsiTheme="majorHAnsi" w:cstheme="majorHAnsi"/>
          <w:color w:val="1F1F1F"/>
          <w:sz w:val="24"/>
          <w:szCs w:val="24"/>
          <w:shd w:val="clear" w:color="auto" w:fill="FFFFFF"/>
        </w:rPr>
        <w:t xml:space="preserve"> </w:t>
      </w:r>
      <w:r w:rsidRPr="00C20D9B">
        <w:rPr>
          <w:rFonts w:asciiTheme="majorHAnsi" w:hAnsiTheme="majorHAnsi" w:cstheme="majorHAnsi"/>
          <w:color w:val="1F1F1F"/>
          <w:sz w:val="24"/>
          <w:szCs w:val="24"/>
          <w:shd w:val="clear" w:color="auto" w:fill="FFFFFF"/>
        </w:rPr>
        <w:t>vertical</w:t>
      </w:r>
    </w:p>
    <w:p w:rsidR="00523CB8" w:rsidRPr="00C20D9B" w:rsidRDefault="00875F29">
      <w:pPr>
        <w:jc w:val="both"/>
        <w:rPr>
          <w:rFonts w:asciiTheme="majorHAnsi" w:eastAsia="Calibri" w:hAnsiTheme="majorHAnsi" w:cstheme="majorHAnsi"/>
          <w:sz w:val="24"/>
          <w:szCs w:val="24"/>
        </w:rPr>
      </w:pPr>
      <w:r w:rsidRPr="00C20D9B">
        <w:rPr>
          <w:rFonts w:asciiTheme="majorHAnsi" w:eastAsia="Calibri" w:hAnsiTheme="majorHAnsi" w:cstheme="majorHAnsi"/>
          <w:sz w:val="24"/>
          <w:szCs w:val="24"/>
        </w:rPr>
        <w:t>PH</w:t>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P</w:t>
      </w:r>
      <w:r w:rsidRPr="00C20D9B">
        <w:rPr>
          <w:rFonts w:asciiTheme="majorHAnsi" w:eastAsia="Calibri" w:hAnsiTheme="majorHAnsi" w:cstheme="majorHAnsi"/>
          <w:sz w:val="24"/>
          <w:szCs w:val="24"/>
          <w:lang w:val="fr-FR"/>
        </w:rPr>
        <w:t>ointage</w:t>
      </w:r>
      <w:r w:rsidRPr="00C20D9B">
        <w:rPr>
          <w:rFonts w:asciiTheme="majorHAnsi" w:eastAsia="Calibri" w:hAnsiTheme="majorHAnsi" w:cstheme="majorHAnsi"/>
          <w:sz w:val="24"/>
          <w:szCs w:val="24"/>
        </w:rPr>
        <w:t xml:space="preserve"> horizontal</w:t>
      </w:r>
    </w:p>
    <w:p w:rsidR="00523CB8" w:rsidRPr="00C20D9B" w:rsidRDefault="00875F29">
      <w:pPr>
        <w:jc w:val="both"/>
        <w:rPr>
          <w:rFonts w:asciiTheme="majorHAnsi" w:eastAsia="Calibri" w:hAnsiTheme="majorHAnsi" w:cstheme="majorHAnsi"/>
          <w:sz w:val="24"/>
          <w:szCs w:val="24"/>
        </w:rPr>
      </w:pPr>
      <w:r w:rsidRPr="00C20D9B">
        <w:rPr>
          <w:rFonts w:asciiTheme="majorHAnsi" w:eastAsia="Calibri" w:hAnsiTheme="majorHAnsi" w:cstheme="majorHAnsi"/>
          <w:sz w:val="24"/>
          <w:szCs w:val="24"/>
          <w:lang w:val="fr-FR"/>
        </w:rPr>
        <w:t>POA</w:t>
      </w:r>
      <w:r w:rsidRPr="00C20D9B">
        <w:rPr>
          <w:rFonts w:asciiTheme="majorHAnsi" w:eastAsia="Calibri" w:hAnsiTheme="majorHAnsi" w:cstheme="majorHAnsi"/>
          <w:sz w:val="24"/>
          <w:szCs w:val="24"/>
          <w:lang w:val="fr-FR"/>
        </w:rPr>
        <w:tab/>
      </w:r>
      <w:r w:rsidRPr="00C20D9B">
        <w:rPr>
          <w:rFonts w:asciiTheme="majorHAnsi" w:eastAsia="Calibri" w:hAnsiTheme="majorHAnsi" w:cstheme="majorHAnsi"/>
          <w:sz w:val="24"/>
          <w:szCs w:val="24"/>
          <w:lang w:val="fr-FR"/>
        </w:rPr>
        <w:tab/>
      </w:r>
      <w:r w:rsidRPr="00C20D9B">
        <w:rPr>
          <w:rFonts w:asciiTheme="majorHAnsi" w:eastAsia="Calibri" w:hAnsiTheme="majorHAnsi" w:cstheme="majorHAnsi"/>
          <w:sz w:val="24"/>
          <w:szCs w:val="24"/>
          <w:lang w:val="fr-FR"/>
        </w:rPr>
        <w:tab/>
      </w:r>
      <w:r w:rsidRPr="00C20D9B">
        <w:rPr>
          <w:rFonts w:asciiTheme="majorHAnsi" w:eastAsia="Calibri" w:hAnsiTheme="majorHAnsi" w:cstheme="majorHAnsi"/>
          <w:sz w:val="24"/>
          <w:szCs w:val="24"/>
          <w:lang w:val="fr-FR"/>
        </w:rPr>
        <w:tab/>
      </w:r>
      <w:r w:rsidRPr="00C20D9B">
        <w:rPr>
          <w:rFonts w:asciiTheme="majorHAnsi" w:eastAsia="Calibri" w:hAnsiTheme="majorHAnsi" w:cstheme="majorHAnsi"/>
          <w:sz w:val="24"/>
          <w:szCs w:val="24"/>
          <w:lang w:val="fr-FR"/>
        </w:rPr>
        <w:tab/>
      </w:r>
      <w:r w:rsidRPr="00C20D9B">
        <w:rPr>
          <w:rFonts w:asciiTheme="majorHAnsi" w:eastAsia="Calibri" w:hAnsiTheme="majorHAnsi" w:cstheme="majorHAnsi"/>
          <w:sz w:val="24"/>
          <w:szCs w:val="24"/>
          <w:lang w:val="fr-FR"/>
        </w:rPr>
        <w:tab/>
        <w:t xml:space="preserve">Pièces de recharge, </w:t>
      </w:r>
      <w:r w:rsidRPr="00C20D9B">
        <w:rPr>
          <w:rFonts w:asciiTheme="majorHAnsi" w:eastAsia="Calibri" w:hAnsiTheme="majorHAnsi" w:cstheme="majorHAnsi"/>
          <w:sz w:val="24"/>
          <w:szCs w:val="24"/>
          <w:lang w:val="fr-FR"/>
        </w:rPr>
        <w:t>o</w:t>
      </w:r>
      <w:r w:rsidRPr="00C20D9B">
        <w:rPr>
          <w:rFonts w:asciiTheme="majorHAnsi" w:hAnsiTheme="majorHAnsi" w:cstheme="majorHAnsi"/>
          <w:color w:val="1F1F1F"/>
          <w:sz w:val="24"/>
          <w:szCs w:val="24"/>
          <w:shd w:val="clear" w:color="auto" w:fill="FFFFFF"/>
        </w:rPr>
        <w:t>utils et accessoires</w:t>
      </w:r>
    </w:p>
    <w:p w:rsidR="00523CB8" w:rsidRPr="00C20D9B" w:rsidRDefault="00875F29">
      <w:pPr>
        <w:jc w:val="both"/>
        <w:rPr>
          <w:rFonts w:asciiTheme="majorHAnsi" w:eastAsia="Calibri" w:hAnsiTheme="majorHAnsi" w:cstheme="majorHAnsi"/>
          <w:sz w:val="24"/>
          <w:szCs w:val="24"/>
        </w:rPr>
      </w:pPr>
      <w:r w:rsidRPr="00C20D9B">
        <w:rPr>
          <w:rFonts w:asciiTheme="majorHAnsi" w:eastAsia="Calibri" w:hAnsiTheme="majorHAnsi" w:cstheme="majorHAnsi"/>
          <w:sz w:val="24"/>
          <w:szCs w:val="24"/>
        </w:rPr>
        <w:t>IAA</w:t>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Installation anti-aérienne</w:t>
      </w:r>
    </w:p>
    <w:p w:rsidR="00523CB8" w:rsidRPr="00C20D9B" w:rsidRDefault="00875F29">
      <w:pPr>
        <w:jc w:val="both"/>
        <w:rPr>
          <w:rFonts w:asciiTheme="majorHAnsi" w:eastAsia="Calibri" w:hAnsiTheme="majorHAnsi" w:cstheme="majorHAnsi"/>
          <w:sz w:val="24"/>
          <w:szCs w:val="24"/>
        </w:rPr>
      </w:pPr>
      <w:r w:rsidRPr="00C20D9B">
        <w:rPr>
          <w:rFonts w:asciiTheme="majorHAnsi" w:eastAsia="Calibri" w:hAnsiTheme="majorHAnsi" w:cstheme="majorHAnsi"/>
          <w:sz w:val="24"/>
          <w:szCs w:val="24"/>
        </w:rPr>
        <w:t>PC</w:t>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Point de contrôle</w:t>
      </w:r>
    </w:p>
    <w:p w:rsidR="00523CB8" w:rsidRPr="00C20D9B" w:rsidRDefault="00875F29">
      <w:pPr>
        <w:jc w:val="both"/>
        <w:rPr>
          <w:rFonts w:asciiTheme="majorHAnsi" w:eastAsia="Calibri" w:hAnsiTheme="majorHAnsi" w:cstheme="majorHAnsi"/>
          <w:sz w:val="24"/>
          <w:szCs w:val="24"/>
        </w:rPr>
      </w:pPr>
      <w:r w:rsidRPr="00C20D9B">
        <w:rPr>
          <w:rFonts w:asciiTheme="majorHAnsi" w:eastAsia="Calibri" w:hAnsiTheme="majorHAnsi" w:cstheme="majorHAnsi"/>
          <w:sz w:val="24"/>
          <w:szCs w:val="24"/>
        </w:rPr>
        <w:t>GQO</w:t>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 xml:space="preserve">Générateur </w:t>
      </w:r>
      <w:r w:rsidRPr="00C20D9B">
        <w:rPr>
          <w:rFonts w:asciiTheme="majorHAnsi" w:eastAsia="Calibri" w:hAnsiTheme="majorHAnsi" w:cstheme="majorHAnsi"/>
          <w:sz w:val="24"/>
          <w:szCs w:val="24"/>
        </w:rPr>
        <w:t>quantique optique</w:t>
      </w:r>
      <w:bookmarkStart w:id="1" w:name="_GoBack"/>
      <w:bookmarkEnd w:id="1"/>
    </w:p>
    <w:p w:rsidR="00523CB8" w:rsidRPr="00C20D9B" w:rsidRDefault="00875F29">
      <w:pPr>
        <w:jc w:val="both"/>
        <w:rPr>
          <w:rFonts w:asciiTheme="majorHAnsi" w:eastAsia="Calibri" w:hAnsiTheme="majorHAnsi" w:cstheme="majorHAnsi"/>
          <w:sz w:val="24"/>
          <w:szCs w:val="24"/>
        </w:rPr>
      </w:pPr>
      <w:r w:rsidRPr="00C20D9B">
        <w:rPr>
          <w:rFonts w:asciiTheme="majorHAnsi" w:eastAsia="Calibri" w:hAnsiTheme="majorHAnsi" w:cstheme="majorHAnsi"/>
          <w:sz w:val="24"/>
          <w:szCs w:val="24"/>
        </w:rPr>
        <w:t>SMAC</w:t>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Système de missile antichar</w:t>
      </w:r>
    </w:p>
    <w:p w:rsidR="00523CB8" w:rsidRPr="00C20D9B" w:rsidRDefault="00875F29">
      <w:pPr>
        <w:jc w:val="both"/>
        <w:rPr>
          <w:rFonts w:asciiTheme="majorHAnsi" w:eastAsia="Calibri" w:hAnsiTheme="majorHAnsi" w:cstheme="majorHAnsi"/>
          <w:sz w:val="24"/>
          <w:szCs w:val="24"/>
        </w:rPr>
      </w:pPr>
      <w:r w:rsidRPr="00C20D9B">
        <w:rPr>
          <w:rFonts w:asciiTheme="majorHAnsi" w:eastAsia="Calibri" w:hAnsiTheme="majorHAnsi" w:cstheme="majorHAnsi"/>
          <w:sz w:val="24"/>
          <w:szCs w:val="24"/>
        </w:rPr>
        <w:t>SNC</w:t>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Solution de nettoyage des canons</w:t>
      </w:r>
    </w:p>
    <w:p w:rsidR="00523CB8" w:rsidRPr="00C20D9B" w:rsidRDefault="00875F29">
      <w:pPr>
        <w:jc w:val="both"/>
        <w:rPr>
          <w:rFonts w:asciiTheme="majorHAnsi" w:eastAsia="Calibri" w:hAnsiTheme="majorHAnsi" w:cstheme="majorHAnsi"/>
          <w:sz w:val="24"/>
          <w:szCs w:val="24"/>
          <w:lang w:val="fr-FR"/>
        </w:rPr>
      </w:pPr>
      <w:r w:rsidRPr="00C20D9B">
        <w:rPr>
          <w:rFonts w:asciiTheme="majorHAnsi" w:eastAsia="Calibri" w:hAnsiTheme="majorHAnsi" w:cstheme="majorHAnsi"/>
          <w:sz w:val="24"/>
          <w:szCs w:val="24"/>
        </w:rPr>
        <w:t>VM</w:t>
      </w:r>
      <w:r w:rsidRPr="00C20D9B">
        <w:rPr>
          <w:rFonts w:asciiTheme="majorHAnsi" w:eastAsia="Calibri" w:hAnsiTheme="majorHAnsi" w:cstheme="majorHAnsi"/>
          <w:sz w:val="24"/>
          <w:szCs w:val="24"/>
          <w:lang w:val="fr-FR"/>
        </w:rPr>
        <w:t>F</w:t>
      </w:r>
      <w:r w:rsidRPr="00C20D9B">
        <w:rPr>
          <w:rFonts w:asciiTheme="majorHAnsi" w:eastAsia="Calibri" w:hAnsiTheme="majorHAnsi" w:cstheme="majorHAnsi"/>
          <w:sz w:val="24"/>
          <w:szCs w:val="24"/>
        </w:rPr>
        <w:tab/>
      </w:r>
      <w:r w:rsidR="00C20D9B" w:rsidRPr="00C20D9B">
        <w:rPr>
          <w:rFonts w:asciiTheme="majorHAnsi" w:eastAsia="Calibri" w:hAnsiTheme="majorHAnsi" w:cstheme="majorHAnsi"/>
          <w:sz w:val="24"/>
          <w:szCs w:val="24"/>
          <w:lang w:val="fr-FR"/>
        </w:rPr>
        <w:t xml:space="preserve">     </w:t>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00C20D9B" w:rsidRPr="00C20D9B">
        <w:rPr>
          <w:rFonts w:asciiTheme="majorHAnsi" w:eastAsia="Calibri" w:hAnsiTheme="majorHAnsi" w:cstheme="majorHAnsi"/>
          <w:sz w:val="24"/>
          <w:szCs w:val="24"/>
          <w:lang w:val="fr-FR"/>
        </w:rPr>
        <w:t xml:space="preserve">             </w:t>
      </w:r>
      <w:r w:rsidRPr="00C20D9B">
        <w:rPr>
          <w:rFonts w:asciiTheme="majorHAnsi" w:eastAsia="Calibri" w:hAnsiTheme="majorHAnsi" w:cstheme="majorHAnsi"/>
          <w:sz w:val="24"/>
          <w:szCs w:val="24"/>
        </w:rPr>
        <w:t xml:space="preserve">Viseur mitralleuse </w:t>
      </w:r>
      <w:r w:rsidRPr="00C20D9B">
        <w:rPr>
          <w:rFonts w:asciiTheme="majorHAnsi" w:eastAsia="Calibri" w:hAnsiTheme="majorHAnsi" w:cstheme="majorHAnsi"/>
          <w:sz w:val="24"/>
          <w:szCs w:val="24"/>
          <w:lang w:val="fr-FR"/>
        </w:rPr>
        <w:t>à fusil</w:t>
      </w:r>
    </w:p>
    <w:p w:rsidR="00523CB8" w:rsidRPr="00C20D9B" w:rsidRDefault="00875F29">
      <w:pPr>
        <w:jc w:val="both"/>
        <w:rPr>
          <w:rFonts w:asciiTheme="majorHAnsi" w:eastAsia="Calibri" w:hAnsiTheme="majorHAnsi" w:cstheme="majorHAnsi"/>
          <w:sz w:val="24"/>
          <w:szCs w:val="24"/>
          <w:lang w:val="fr-FR"/>
        </w:rPr>
      </w:pPr>
      <w:r w:rsidRPr="00C20D9B">
        <w:rPr>
          <w:rFonts w:asciiTheme="majorHAnsi" w:eastAsia="Calibri" w:hAnsiTheme="majorHAnsi" w:cstheme="majorHAnsi"/>
          <w:sz w:val="24"/>
          <w:szCs w:val="24"/>
        </w:rPr>
        <w:lastRenderedPageBreak/>
        <w:t>P</w:t>
      </w:r>
      <w:r w:rsidRPr="00C20D9B">
        <w:rPr>
          <w:rFonts w:asciiTheme="majorHAnsi" w:eastAsia="Calibri" w:hAnsiTheme="majorHAnsi" w:cstheme="majorHAnsi"/>
          <w:sz w:val="24"/>
          <w:szCs w:val="24"/>
        </w:rPr>
        <w:t>I</w:t>
      </w:r>
      <w:r w:rsidRPr="00C20D9B">
        <w:rPr>
          <w:rFonts w:asciiTheme="majorHAnsi" w:eastAsia="Calibri" w:hAnsiTheme="majorHAnsi" w:cstheme="majorHAnsi"/>
          <w:sz w:val="24"/>
          <w:szCs w:val="24"/>
          <w:lang w:val="fr-FR"/>
        </w:rPr>
        <w:t>M</w:t>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 xml:space="preserve">Point </w:t>
      </w:r>
      <w:r w:rsidRPr="00C20D9B">
        <w:rPr>
          <w:rFonts w:asciiTheme="majorHAnsi" w:eastAsia="Calibri" w:hAnsiTheme="majorHAnsi" w:cstheme="majorHAnsi"/>
          <w:sz w:val="24"/>
          <w:szCs w:val="24"/>
          <w:lang w:val="fr-FR"/>
        </w:rPr>
        <w:t>d</w:t>
      </w:r>
      <w:r w:rsidRPr="00C20D9B">
        <w:rPr>
          <w:rFonts w:asciiTheme="majorHAnsi" w:eastAsia="Calibri" w:hAnsiTheme="majorHAnsi" w:cstheme="majorHAnsi"/>
          <w:sz w:val="24"/>
          <w:szCs w:val="24"/>
        </w:rPr>
        <w:t>’impac</w:t>
      </w:r>
      <w:r w:rsidRPr="00C20D9B">
        <w:rPr>
          <w:rFonts w:asciiTheme="majorHAnsi" w:eastAsia="Calibri" w:hAnsiTheme="majorHAnsi" w:cstheme="majorHAnsi"/>
          <w:sz w:val="24"/>
          <w:szCs w:val="24"/>
        </w:rPr>
        <w:t>t</w:t>
      </w:r>
      <w:r w:rsidRPr="00C20D9B">
        <w:rPr>
          <w:rFonts w:asciiTheme="majorHAnsi" w:eastAsia="Calibri" w:hAnsiTheme="majorHAnsi" w:cstheme="majorHAnsi"/>
          <w:sz w:val="24"/>
          <w:szCs w:val="24"/>
          <w:lang w:val="fr-FR"/>
        </w:rPr>
        <w:t xml:space="preserve"> moyen</w:t>
      </w:r>
    </w:p>
    <w:p w:rsidR="00523CB8" w:rsidRPr="00C20D9B" w:rsidRDefault="00875F29">
      <w:pPr>
        <w:jc w:val="both"/>
        <w:rPr>
          <w:rFonts w:asciiTheme="majorHAnsi" w:eastAsia="Calibri" w:hAnsiTheme="majorHAnsi" w:cstheme="majorHAnsi"/>
          <w:sz w:val="24"/>
          <w:szCs w:val="24"/>
        </w:rPr>
      </w:pPr>
      <w:r w:rsidRPr="00C20D9B">
        <w:rPr>
          <w:rFonts w:asciiTheme="majorHAnsi" w:eastAsia="Calibri" w:hAnsiTheme="majorHAnsi" w:cstheme="majorHAnsi"/>
          <w:sz w:val="24"/>
          <w:szCs w:val="24"/>
        </w:rPr>
        <w:t>PI</w:t>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Point d’impact</w:t>
      </w:r>
    </w:p>
    <w:p w:rsidR="00523CB8" w:rsidRPr="00C20D9B" w:rsidRDefault="00875F29">
      <w:pPr>
        <w:jc w:val="both"/>
        <w:rPr>
          <w:rFonts w:asciiTheme="majorHAnsi" w:eastAsia="Calibri" w:hAnsiTheme="majorHAnsi" w:cstheme="majorHAnsi"/>
          <w:sz w:val="24"/>
          <w:szCs w:val="24"/>
          <w:lang w:val="fr-FR"/>
        </w:rPr>
      </w:pPr>
      <w:r w:rsidRPr="00C20D9B">
        <w:rPr>
          <w:rFonts w:asciiTheme="majorHAnsi" w:eastAsia="Calibri" w:hAnsiTheme="majorHAnsi" w:cstheme="majorHAnsi"/>
          <w:sz w:val="24"/>
          <w:szCs w:val="24"/>
        </w:rPr>
        <w:t>PGM</w:t>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Point de guidage à vue mécanique</w:t>
      </w:r>
      <w:r w:rsidRPr="00C20D9B">
        <w:rPr>
          <w:rFonts w:asciiTheme="majorHAnsi" w:eastAsia="Calibri" w:hAnsiTheme="majorHAnsi" w:cstheme="majorHAnsi"/>
          <w:sz w:val="24"/>
          <w:szCs w:val="24"/>
          <w:lang w:val="fr-FR"/>
        </w:rPr>
        <w:t xml:space="preserve"> </w:t>
      </w:r>
    </w:p>
    <w:p w:rsidR="00523CB8" w:rsidRPr="00C20D9B" w:rsidRDefault="00875F29">
      <w:pPr>
        <w:jc w:val="both"/>
        <w:rPr>
          <w:rFonts w:asciiTheme="majorHAnsi" w:eastAsia="Calibri" w:hAnsiTheme="majorHAnsi" w:cstheme="majorHAnsi"/>
          <w:sz w:val="24"/>
          <w:szCs w:val="24"/>
        </w:rPr>
      </w:pPr>
      <w:r w:rsidRPr="00C20D9B">
        <w:rPr>
          <w:rFonts w:asciiTheme="majorHAnsi" w:eastAsia="Calibri" w:hAnsiTheme="majorHAnsi" w:cstheme="majorHAnsi"/>
          <w:sz w:val="24"/>
          <w:szCs w:val="24"/>
        </w:rPr>
        <w:t>PGO</w:t>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Point</w:t>
      </w:r>
      <w:r w:rsidRPr="00C20D9B">
        <w:rPr>
          <w:rFonts w:asciiTheme="majorHAnsi" w:eastAsia="Calibri" w:hAnsiTheme="majorHAnsi" w:cstheme="majorHAnsi"/>
          <w:sz w:val="24"/>
          <w:szCs w:val="24"/>
        </w:rPr>
        <w:t xml:space="preserve"> de guidage à vue optique</w:t>
      </w:r>
    </w:p>
    <w:p w:rsidR="00523CB8" w:rsidRPr="00C20D9B" w:rsidRDefault="00875F29">
      <w:pPr>
        <w:jc w:val="both"/>
        <w:rPr>
          <w:rFonts w:asciiTheme="majorHAnsi" w:eastAsia="Calibri" w:hAnsiTheme="majorHAnsi" w:cstheme="majorHAnsi"/>
          <w:sz w:val="24"/>
          <w:szCs w:val="24"/>
        </w:rPr>
      </w:pPr>
      <w:r w:rsidRPr="00C20D9B">
        <w:rPr>
          <w:rFonts w:asciiTheme="majorHAnsi" w:eastAsia="Calibri" w:hAnsiTheme="majorHAnsi" w:cstheme="majorHAnsi"/>
          <w:sz w:val="24"/>
          <w:szCs w:val="24"/>
        </w:rPr>
        <w:t>TPF</w:t>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ab/>
      </w:r>
      <w:r w:rsidRPr="00C20D9B">
        <w:rPr>
          <w:rFonts w:asciiTheme="majorHAnsi" w:eastAsia="Calibri" w:hAnsiTheme="majorHAnsi" w:cstheme="majorHAnsi"/>
          <w:sz w:val="24"/>
          <w:szCs w:val="24"/>
        </w:rPr>
        <w:t>Tube de précision à froid</w:t>
      </w:r>
    </w:p>
    <w:p w:rsidR="00523CB8" w:rsidRPr="00C20D9B" w:rsidRDefault="00C20D9B">
      <w:pPr>
        <w:jc w:val="both"/>
        <w:rPr>
          <w:rFonts w:asciiTheme="majorHAnsi" w:eastAsia="Calibri" w:hAnsiTheme="majorHAnsi" w:cstheme="majorHAnsi"/>
          <w:sz w:val="24"/>
          <w:szCs w:val="24"/>
        </w:rPr>
      </w:pPr>
      <w:r>
        <w:rPr>
          <w:rFonts w:asciiTheme="majorHAnsi" w:eastAsia="Calibri" w:hAnsiTheme="majorHAnsi" w:cstheme="majorHAnsi"/>
          <w:sz w:val="24"/>
          <w:szCs w:val="24"/>
        </w:rPr>
        <w:t>C</w:t>
      </w:r>
      <w:r>
        <w:rPr>
          <w:rFonts w:asciiTheme="majorHAnsi" w:eastAsia="Calibri" w:hAnsiTheme="majorHAnsi" w:cstheme="majorHAnsi"/>
          <w:sz w:val="24"/>
          <w:szCs w:val="24"/>
          <w:lang w:val="fr-FR"/>
        </w:rPr>
        <w:t>E</w:t>
      </w:r>
      <w:r w:rsidR="00875F29" w:rsidRPr="00C20D9B">
        <w:rPr>
          <w:rFonts w:asciiTheme="majorHAnsi" w:eastAsia="Calibri" w:hAnsiTheme="majorHAnsi" w:cstheme="majorHAnsi"/>
          <w:sz w:val="24"/>
          <w:szCs w:val="24"/>
        </w:rPr>
        <w:tab/>
      </w:r>
      <w:r w:rsidR="00875F29" w:rsidRPr="00C20D9B">
        <w:rPr>
          <w:rFonts w:asciiTheme="majorHAnsi" w:eastAsia="Calibri" w:hAnsiTheme="majorHAnsi" w:cstheme="majorHAnsi"/>
          <w:sz w:val="24"/>
          <w:szCs w:val="24"/>
        </w:rPr>
        <w:tab/>
      </w:r>
      <w:r w:rsidR="00875F29" w:rsidRPr="00C20D9B">
        <w:rPr>
          <w:rFonts w:asciiTheme="majorHAnsi" w:eastAsia="Calibri" w:hAnsiTheme="majorHAnsi" w:cstheme="majorHAnsi"/>
          <w:sz w:val="24"/>
          <w:szCs w:val="24"/>
        </w:rPr>
        <w:tab/>
      </w:r>
      <w:r w:rsidR="00875F29" w:rsidRPr="00C20D9B">
        <w:rPr>
          <w:rFonts w:asciiTheme="majorHAnsi" w:eastAsia="Calibri" w:hAnsiTheme="majorHAnsi" w:cstheme="majorHAnsi"/>
          <w:sz w:val="24"/>
          <w:szCs w:val="24"/>
        </w:rPr>
        <w:tab/>
      </w:r>
      <w:r w:rsidR="00875F29" w:rsidRPr="00C20D9B">
        <w:rPr>
          <w:rFonts w:asciiTheme="majorHAnsi" w:eastAsia="Calibri" w:hAnsiTheme="majorHAnsi" w:cstheme="majorHAnsi"/>
          <w:sz w:val="24"/>
          <w:szCs w:val="24"/>
        </w:rPr>
        <w:tab/>
      </w:r>
      <w:r w:rsidR="00875F29" w:rsidRPr="00C20D9B">
        <w:rPr>
          <w:rFonts w:asciiTheme="majorHAnsi" w:eastAsia="Calibri" w:hAnsiTheme="majorHAnsi" w:cstheme="majorHAnsi"/>
          <w:sz w:val="24"/>
          <w:szCs w:val="24"/>
        </w:rPr>
        <w:tab/>
      </w:r>
      <w:r w:rsidR="00875F29" w:rsidRPr="00C20D9B">
        <w:rPr>
          <w:rFonts w:asciiTheme="majorHAnsi" w:eastAsia="Calibri" w:hAnsiTheme="majorHAnsi" w:cstheme="majorHAnsi"/>
          <w:sz w:val="24"/>
          <w:szCs w:val="24"/>
        </w:rPr>
        <w:t xml:space="preserve">Connecteur </w:t>
      </w:r>
      <w:r w:rsidR="00875F29" w:rsidRPr="00C20D9B">
        <w:rPr>
          <w:rFonts w:asciiTheme="majorHAnsi" w:hAnsiTheme="majorHAnsi" w:cstheme="majorHAnsi"/>
          <w:sz w:val="24"/>
          <w:szCs w:val="24"/>
        </w:rPr>
        <w:t>enfichable</w:t>
      </w:r>
    </w:p>
    <w:p w:rsidR="00523CB8" w:rsidRDefault="00523CB8">
      <w:pPr>
        <w:spacing w:line="288" w:lineRule="auto"/>
        <w:jc w:val="both"/>
        <w:rPr>
          <w:rFonts w:ascii="Calibri" w:eastAsia="Calibri" w:hAnsi="Calibri" w:cs="Calibri"/>
          <w:sz w:val="24"/>
          <w:szCs w:val="24"/>
        </w:rPr>
      </w:pPr>
    </w:p>
    <w:p w:rsidR="00523CB8" w:rsidRDefault="00875F29">
      <w:pPr>
        <w:spacing w:line="240" w:lineRule="auto"/>
        <w:jc w:val="right"/>
        <w:rPr>
          <w:rFonts w:ascii="Courier New" w:eastAsia="Courier New" w:hAnsi="Courier New" w:cs="Courier New"/>
          <w:b/>
          <w:sz w:val="28"/>
          <w:szCs w:val="28"/>
        </w:rPr>
      </w:pPr>
      <w:r>
        <w:rPr>
          <w:rFonts w:ascii="Courier New" w:eastAsia="Courier New" w:hAnsi="Courier New" w:cs="Courier New"/>
          <w:b/>
          <w:sz w:val="28"/>
          <w:szCs w:val="28"/>
        </w:rPr>
        <w:t>La traduction est correcte et conforme à l'original. Traduction de l’ukrainien en français a été faite par la traductrice _________________________</w:t>
      </w:r>
    </w:p>
    <w:p w:rsidR="00523CB8" w:rsidRDefault="00875F29">
      <w:pPr>
        <w:spacing w:line="240" w:lineRule="auto"/>
        <w:jc w:val="right"/>
        <w:rPr>
          <w:rFonts w:ascii="Courier New" w:eastAsia="Courier New" w:hAnsi="Courier New" w:cs="Courier New"/>
          <w:b/>
          <w:sz w:val="28"/>
          <w:szCs w:val="28"/>
        </w:rPr>
      </w:pPr>
      <w:r>
        <w:rPr>
          <w:rFonts w:ascii="Courier New" w:eastAsia="Courier New" w:hAnsi="Courier New" w:cs="Courier New"/>
          <w:b/>
          <w:sz w:val="28"/>
          <w:szCs w:val="28"/>
        </w:rPr>
        <w:t xml:space="preserve">La signature de </w:t>
      </w:r>
      <w:r>
        <w:rPr>
          <w:rFonts w:ascii="Courier New" w:eastAsia="Courier New" w:hAnsi="Courier New" w:cs="Courier New"/>
          <w:b/>
          <w:sz w:val="28"/>
          <w:szCs w:val="28"/>
        </w:rPr>
        <w:t>la traductrice _________</w:t>
      </w:r>
    </w:p>
    <w:p w:rsidR="00523CB8" w:rsidRDefault="00523CB8">
      <w:pPr>
        <w:spacing w:line="288" w:lineRule="auto"/>
        <w:jc w:val="both"/>
        <w:rPr>
          <w:rFonts w:ascii="Calibri" w:eastAsia="Calibri" w:hAnsi="Calibri" w:cs="Calibri"/>
          <w:sz w:val="24"/>
          <w:szCs w:val="24"/>
        </w:rPr>
      </w:pPr>
    </w:p>
    <w:p w:rsidR="00523CB8" w:rsidRDefault="00523CB8">
      <w:pPr>
        <w:spacing w:line="240" w:lineRule="auto"/>
        <w:rPr>
          <w:rFonts w:ascii="Calibri" w:eastAsia="Calibri" w:hAnsi="Calibri" w:cs="Calibri"/>
        </w:rPr>
      </w:pPr>
    </w:p>
    <w:sectPr w:rsidR="00523CB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F29" w:rsidRDefault="00875F29">
      <w:pPr>
        <w:spacing w:line="240" w:lineRule="auto"/>
      </w:pPr>
      <w:r>
        <w:separator/>
      </w:r>
    </w:p>
  </w:endnote>
  <w:endnote w:type="continuationSeparator" w:id="0">
    <w:p w:rsidR="00875F29" w:rsidRDefault="00875F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F29" w:rsidRDefault="00875F29">
      <w:r>
        <w:separator/>
      </w:r>
    </w:p>
  </w:footnote>
  <w:footnote w:type="continuationSeparator" w:id="0">
    <w:p w:rsidR="00875F29" w:rsidRDefault="00875F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BB0"/>
    <w:rsid w:val="00204203"/>
    <w:rsid w:val="00523CB8"/>
    <w:rsid w:val="00875F29"/>
    <w:rsid w:val="00912BB0"/>
    <w:rsid w:val="00C20D9B"/>
    <w:rsid w:val="303954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EC18B"/>
  <w15:docId w15:val="{2C2AF5E4-982E-4875-A8E5-B9BBD15C2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docDefaults>
  <w:latentStyles w:defLockedState="0" w:defUIPriority="99" w:defSemiHidden="0" w:defUnhideWhenUsed="0" w:defQFormat="0" w:count="371">
    <w:lsdException w:name="Normal" w:uiPriority="0"/>
    <w:lsdException w:name="heading 1" w:uiPriority="0"/>
    <w:lsdException w:name="heading 2" w:uiPriority="0" w:qFormat="1"/>
    <w:lsdException w:name="heading 3" w:uiPriority="0"/>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line="276" w:lineRule="auto"/>
    </w:pPr>
    <w:rPr>
      <w:sz w:val="22"/>
      <w:szCs w:val="22"/>
      <w:lang w:val="uk"/>
    </w:rPr>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qFormat/>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qFormat/>
    <w:pPr>
      <w:keepNext/>
      <w:keepLines/>
      <w:spacing w:before="280" w:after="80"/>
      <w:outlineLvl w:val="3"/>
    </w:pPr>
    <w:rPr>
      <w:color w:val="666666"/>
      <w:sz w:val="24"/>
      <w:szCs w:val="24"/>
    </w:rPr>
  </w:style>
  <w:style w:type="paragraph" w:styleId="5">
    <w:name w:val="heading 5"/>
    <w:basedOn w:val="a"/>
    <w:next w:val="a"/>
    <w:qFormat/>
    <w:pPr>
      <w:keepNext/>
      <w:keepLines/>
      <w:spacing w:before="240" w:after="80"/>
      <w:outlineLvl w:val="4"/>
    </w:pPr>
    <w:rPr>
      <w:color w:val="666666"/>
    </w:rPr>
  </w:style>
  <w:style w:type="paragraph" w:styleId="6">
    <w:name w:val="heading 6"/>
    <w:basedOn w:val="a"/>
    <w:next w:val="a"/>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paragraph" w:styleId="a4">
    <w:name w:val="Title"/>
    <w:basedOn w:val="a"/>
    <w:next w:val="a"/>
    <w:pPr>
      <w:keepNext/>
      <w:keepLines/>
      <w:spacing w:after="60"/>
    </w:pPr>
    <w:rPr>
      <w:sz w:val="52"/>
      <w:szCs w:val="52"/>
    </w:rPr>
  </w:style>
  <w:style w:type="paragraph" w:styleId="a5">
    <w:name w:val="Subtitle"/>
    <w:basedOn w:val="a"/>
    <w:next w:val="a"/>
    <w:qFormat/>
    <w:pPr>
      <w:keepNext/>
      <w:keepLines/>
      <w:spacing w:after="320"/>
    </w:pPr>
    <w:rPr>
      <w:color w:val="666666"/>
      <w:sz w:val="30"/>
      <w:szCs w:val="30"/>
    </w:rPr>
  </w:style>
  <w:style w:type="table" w:styleId="a6">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762</Words>
  <Characters>4345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Ліщук Вікторія</cp:lastModifiedBy>
  <cp:revision>2</cp:revision>
  <dcterms:created xsi:type="dcterms:W3CDTF">2025-02-09T09:11:00Z</dcterms:created>
  <dcterms:modified xsi:type="dcterms:W3CDTF">2025-02-09T09:11:00Z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1BF30403E32C4192B00070A289D481D5_12</vt:lpwstr>
  </property>
</Properties>
</file>