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2D" w:rsidRPr="00E035D9" w:rsidRDefault="00C77B2D" w:rsidP="00C77B2D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lang w:val="en-US"/>
        </w:rPr>
      </w:pPr>
      <w:r w:rsidRPr="00E035D9">
        <w:rPr>
          <w:rFonts w:ascii="Times New Roman" w:eastAsia="Times New Roman" w:hAnsi="Times New Roman"/>
          <w:b/>
          <w:sz w:val="28"/>
          <w:lang w:val="en-US"/>
        </w:rPr>
        <w:t>Kyiv National University of Trade and Economics</w:t>
      </w:r>
    </w:p>
    <w:p w:rsidR="00C77B2D" w:rsidRPr="00E035D9" w:rsidRDefault="00C77B2D" w:rsidP="00C77B2D">
      <w:pPr>
        <w:spacing w:line="114" w:lineRule="exact"/>
        <w:rPr>
          <w:rFonts w:ascii="Times New Roman" w:eastAsia="Times New Roman" w:hAnsi="Times New Roman"/>
          <w:lang w:val="en-US"/>
        </w:rPr>
      </w:pPr>
    </w:p>
    <w:p w:rsidR="00C77B2D" w:rsidRPr="0088360B" w:rsidRDefault="00C77B2D" w:rsidP="00C77B2D">
      <w:pPr>
        <w:spacing w:line="276" w:lineRule="auto"/>
        <w:jc w:val="center"/>
        <w:rPr>
          <w:rFonts w:ascii="Times New Roman" w:eastAsia="Times New Roman" w:hAnsi="Times New Roman"/>
          <w:b/>
          <w:lang w:val="en-US"/>
        </w:rPr>
      </w:pPr>
      <w:r w:rsidRPr="0088360B">
        <w:rPr>
          <w:rFonts w:ascii="Times New Roman" w:hAnsi="Times New Roman" w:cs="Times New Roman"/>
          <w:b/>
          <w:sz w:val="28"/>
          <w:szCs w:val="28"/>
          <w:lang w:val="en-US"/>
        </w:rPr>
        <w:t>Department of Hotel and Restaurant Business</w:t>
      </w: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88360B" w:rsidRPr="00E035D9" w:rsidRDefault="0088360B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E035D9" w:rsidRDefault="00C77B2D" w:rsidP="00C77B2D">
      <w:pPr>
        <w:spacing w:line="235" w:lineRule="exact"/>
        <w:rPr>
          <w:rFonts w:ascii="Times New Roman" w:eastAsia="Times New Roman" w:hAnsi="Times New Roman"/>
          <w:lang w:val="en-US"/>
        </w:rPr>
      </w:pPr>
    </w:p>
    <w:p w:rsidR="00C77B2D" w:rsidRPr="0088360B" w:rsidRDefault="00C77B2D" w:rsidP="0088360B">
      <w:pPr>
        <w:spacing w:line="0" w:lineRule="atLeast"/>
        <w:jc w:val="center"/>
        <w:rPr>
          <w:rFonts w:ascii="Times New Roman" w:eastAsia="Times New Roman" w:hAnsi="Times New Roman"/>
          <w:b/>
          <w:sz w:val="48"/>
          <w:szCs w:val="48"/>
          <w:lang w:val="en-US"/>
        </w:rPr>
      </w:pPr>
      <w:r w:rsidRPr="0088360B">
        <w:rPr>
          <w:rFonts w:ascii="Times New Roman" w:eastAsia="Times New Roman" w:hAnsi="Times New Roman"/>
          <w:b/>
          <w:sz w:val="48"/>
          <w:szCs w:val="48"/>
          <w:lang w:val="en-US"/>
        </w:rPr>
        <w:t>SUMMARY</w:t>
      </w:r>
    </w:p>
    <w:p w:rsidR="00C77B2D" w:rsidRPr="00E035D9" w:rsidRDefault="00C77B2D" w:rsidP="00C77B2D">
      <w:pPr>
        <w:spacing w:line="50" w:lineRule="exact"/>
        <w:rPr>
          <w:rFonts w:ascii="Times New Roman" w:eastAsia="Times New Roman" w:hAnsi="Times New Roman"/>
          <w:lang w:val="en-US"/>
        </w:rPr>
      </w:pPr>
    </w:p>
    <w:p w:rsidR="00C77B2D" w:rsidRPr="0088360B" w:rsidRDefault="00C77B2D" w:rsidP="0088360B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  <w:proofErr w:type="gramStart"/>
      <w:r w:rsidRPr="0088360B">
        <w:rPr>
          <w:rFonts w:ascii="Times New Roman" w:eastAsia="Times New Roman" w:hAnsi="Times New Roman"/>
          <w:b/>
          <w:sz w:val="32"/>
          <w:szCs w:val="32"/>
          <w:lang w:val="en-US"/>
        </w:rPr>
        <w:t>on</w:t>
      </w:r>
      <w:proofErr w:type="gramEnd"/>
      <w:r w:rsidRPr="0088360B">
        <w:rPr>
          <w:rFonts w:ascii="Times New Roman" w:eastAsia="Times New Roman" w:hAnsi="Times New Roman"/>
          <w:b/>
          <w:sz w:val="32"/>
          <w:szCs w:val="32"/>
          <w:lang w:val="en-US"/>
        </w:rPr>
        <w:t xml:space="preserve"> the topic:</w:t>
      </w:r>
    </w:p>
    <w:p w:rsidR="00C77B2D" w:rsidRPr="00E035D9" w:rsidRDefault="00C77B2D" w:rsidP="00C77B2D">
      <w:pPr>
        <w:spacing w:line="268" w:lineRule="exact"/>
        <w:rPr>
          <w:rFonts w:ascii="Times New Roman" w:eastAsia="Times New Roman" w:hAnsi="Times New Roman"/>
          <w:lang w:val="en-US"/>
        </w:rPr>
      </w:pPr>
    </w:p>
    <w:p w:rsidR="00C77B2D" w:rsidRPr="0088360B" w:rsidRDefault="00C77B2D" w:rsidP="0088360B">
      <w:pPr>
        <w:spacing w:line="360" w:lineRule="auto"/>
        <w:jc w:val="center"/>
        <w:rPr>
          <w:rFonts w:ascii="Times New Roman" w:hAnsi="Times New Roman"/>
          <w:b/>
          <w:caps/>
          <w:sz w:val="36"/>
          <w:szCs w:val="36"/>
          <w:lang w:val="en-US"/>
        </w:rPr>
      </w:pPr>
      <w:r w:rsidRPr="0088360B">
        <w:rPr>
          <w:rFonts w:ascii="Times New Roman" w:hAnsi="Times New Roman"/>
          <w:b/>
          <w:caps/>
          <w:sz w:val="36"/>
          <w:szCs w:val="36"/>
          <w:lang w:val="en-US"/>
        </w:rPr>
        <w:t>«Management of customer loyalty of LLC «Design-hotel «11 Mirrors», Kyiv»</w:t>
      </w:r>
    </w:p>
    <w:p w:rsidR="00C77B2D" w:rsidRDefault="00C77B2D" w:rsidP="00C77B2D">
      <w:pPr>
        <w:spacing w:line="360" w:lineRule="auto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360" w:lineRule="auto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48" w:lineRule="exact"/>
        <w:rPr>
          <w:rFonts w:ascii="Times New Roman" w:eastAsia="Times New Roman" w:hAnsi="Times New Roman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C77B2D" w:rsidRPr="00D604DB" w:rsidTr="00045396">
        <w:tc>
          <w:tcPr>
            <w:tcW w:w="4503" w:type="dxa"/>
          </w:tcPr>
          <w:p w:rsidR="00C77B2D" w:rsidRPr="007670B4" w:rsidRDefault="00C77B2D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9439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767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year, group 3</w:t>
            </w:r>
            <w:r w:rsidR="00A94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67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C77B2D" w:rsidRDefault="00A94393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Specialty 073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A94393" w:rsidRPr="00A94393" w:rsidRDefault="00A94393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Specialization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 and Restaurant Management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C77B2D" w:rsidRPr="007670B4" w:rsidRDefault="00C77B2D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7B2D" w:rsidRPr="007670B4" w:rsidRDefault="00C77B2D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7B2D" w:rsidRPr="007670B4" w:rsidRDefault="00C77B2D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77B2D" w:rsidRPr="007670B4" w:rsidRDefault="00D604DB" w:rsidP="00D604D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Iryna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</w:t>
            </w:r>
            <w:proofErr w:type="spellStart"/>
            <w:r w:rsidR="00C77B2D" w:rsidRPr="00767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Hrytsenko</w:t>
            </w:r>
            <w:proofErr w:type="spellEnd"/>
          </w:p>
        </w:tc>
      </w:tr>
      <w:tr w:rsidR="00C77B2D" w:rsidRPr="00D604DB" w:rsidTr="00045396">
        <w:tc>
          <w:tcPr>
            <w:tcW w:w="4503" w:type="dxa"/>
          </w:tcPr>
          <w:p w:rsidR="00C77B2D" w:rsidRPr="007670B4" w:rsidRDefault="00C77B2D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Candidate of Sciences (Economic),</w:t>
            </w:r>
          </w:p>
          <w:p w:rsidR="00C77B2D" w:rsidRPr="007670B4" w:rsidRDefault="00C77B2D" w:rsidP="00045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Docent</w:t>
            </w:r>
            <w:r w:rsidR="00883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international economic relations department</w:t>
            </w:r>
          </w:p>
        </w:tc>
        <w:tc>
          <w:tcPr>
            <w:tcW w:w="4786" w:type="dxa"/>
          </w:tcPr>
          <w:p w:rsidR="00C77B2D" w:rsidRPr="007670B4" w:rsidRDefault="00D604DB" w:rsidP="0004539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</w:p>
        </w:tc>
      </w:tr>
    </w:tbl>
    <w:p w:rsidR="00C77B2D" w:rsidRPr="00D604DB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D604DB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77B2D" w:rsidRPr="00772A44" w:rsidRDefault="00C77B2D" w:rsidP="00C77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88360B" w:rsidRPr="0088360B" w:rsidRDefault="0088360B" w:rsidP="00C77B2D">
      <w:pPr>
        <w:spacing w:line="308" w:lineRule="exact"/>
        <w:rPr>
          <w:rFonts w:ascii="Times New Roman" w:eastAsia="Times New Roman" w:hAnsi="Times New Roman"/>
          <w:lang w:val="en-US"/>
        </w:rPr>
      </w:pPr>
    </w:p>
    <w:p w:rsidR="00C77B2D" w:rsidRPr="00D604DB" w:rsidRDefault="00C77B2D" w:rsidP="00C77B2D">
      <w:pPr>
        <w:spacing w:line="308" w:lineRule="exact"/>
        <w:rPr>
          <w:rFonts w:ascii="Times New Roman" w:eastAsia="Times New Roman" w:hAnsi="Times New Roman"/>
          <w:lang w:val="en-US"/>
        </w:rPr>
      </w:pPr>
    </w:p>
    <w:p w:rsidR="00C77B2D" w:rsidRDefault="00C77B2D" w:rsidP="00C77B2D">
      <w:pPr>
        <w:jc w:val="center"/>
        <w:rPr>
          <w:rFonts w:ascii="Times New Roman" w:eastAsia="Times New Roman" w:hAnsi="Times New Roman"/>
          <w:b/>
          <w:sz w:val="28"/>
          <w:lang w:val="en-US"/>
        </w:rPr>
      </w:pPr>
      <w:r w:rsidRPr="00136F42">
        <w:rPr>
          <w:rFonts w:ascii="Times New Roman" w:eastAsia="Times New Roman" w:hAnsi="Times New Roman"/>
          <w:b/>
          <w:sz w:val="28"/>
          <w:lang w:val="en-US"/>
        </w:rPr>
        <w:t>Kyiv, 20</w:t>
      </w:r>
      <w:r>
        <w:rPr>
          <w:rFonts w:ascii="Times New Roman" w:eastAsia="Times New Roman" w:hAnsi="Times New Roman"/>
          <w:b/>
          <w:sz w:val="28"/>
          <w:lang w:val="en-US"/>
        </w:rPr>
        <w:t>1</w:t>
      </w:r>
      <w:r w:rsidR="00A94393">
        <w:rPr>
          <w:rFonts w:ascii="Times New Roman" w:eastAsia="Times New Roman" w:hAnsi="Times New Roman"/>
          <w:b/>
          <w:sz w:val="28"/>
          <w:lang w:val="en-US"/>
        </w:rPr>
        <w:t>7</w:t>
      </w:r>
    </w:p>
    <w:p w:rsidR="0088360B" w:rsidRDefault="0088360B" w:rsidP="0088360B">
      <w:pPr>
        <w:spacing w:after="120"/>
        <w:ind w:right="-17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>Kyiv National University of Trade and Economics</w:t>
      </w:r>
    </w:p>
    <w:p w:rsidR="0088360B" w:rsidRDefault="0088360B" w:rsidP="0088360B">
      <w:pPr>
        <w:spacing w:after="120"/>
        <w:ind w:right="-17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Department of hotel and restaurant business</w:t>
      </w: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48"/>
          <w:szCs w:val="48"/>
          <w:lang w:val="en-US"/>
        </w:rPr>
      </w:pPr>
      <w:r>
        <w:rPr>
          <w:rFonts w:ascii="Times New Roman" w:eastAsia="Times New Roman" w:hAnsi="Times New Roman"/>
          <w:b/>
          <w:bCs/>
          <w:sz w:val="48"/>
          <w:szCs w:val="48"/>
          <w:lang w:val="en-US"/>
        </w:rPr>
        <w:t>FINAL QUALIFYING PAPER</w:t>
      </w: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>on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 the topic:</w:t>
      </w:r>
    </w:p>
    <w:p w:rsidR="0088360B" w:rsidRDefault="0088360B" w:rsidP="0088360B">
      <w:pPr>
        <w:jc w:val="center"/>
        <w:rPr>
          <w:rFonts w:ascii="Times New Roman" w:eastAsia="Times New Roman" w:hAnsi="Times New Roman"/>
          <w:b/>
          <w:bCs/>
          <w:caps/>
          <w:sz w:val="36"/>
          <w:szCs w:val="36"/>
          <w:lang w:val="uk-UA"/>
        </w:rPr>
      </w:pPr>
    </w:p>
    <w:p w:rsidR="0088360B" w:rsidRPr="0088360B" w:rsidRDefault="0088360B" w:rsidP="0088360B">
      <w:pPr>
        <w:jc w:val="center"/>
        <w:rPr>
          <w:rFonts w:ascii="Times New Roman" w:hAnsi="Times New Roman"/>
          <w:b/>
          <w:caps/>
          <w:sz w:val="36"/>
          <w:szCs w:val="36"/>
          <w:lang w:val="en-US"/>
        </w:rPr>
      </w:pPr>
      <w:r w:rsidRPr="0088360B">
        <w:rPr>
          <w:rFonts w:ascii="Times New Roman" w:hAnsi="Times New Roman"/>
          <w:b/>
          <w:caps/>
          <w:sz w:val="36"/>
          <w:szCs w:val="36"/>
          <w:lang w:val="en-US"/>
        </w:rPr>
        <w:t>Management of customer loyalty of LLC «Design-hotel «11 Mirrors», Kyiv</w:t>
      </w: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8360B" w:rsidRDefault="0088360B" w:rsidP="0088360B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tbl>
      <w:tblPr>
        <w:tblW w:w="9387" w:type="dxa"/>
        <w:tblLook w:val="00A0" w:firstRow="1" w:lastRow="0" w:firstColumn="1" w:lastColumn="0" w:noHBand="0" w:noVBand="0"/>
      </w:tblPr>
      <w:tblGrid>
        <w:gridCol w:w="4467"/>
        <w:gridCol w:w="2268"/>
        <w:gridCol w:w="2652"/>
      </w:tblGrid>
      <w:tr w:rsidR="0088360B" w:rsidRPr="0088360B" w:rsidTr="00525FB1">
        <w:tc>
          <w:tcPr>
            <w:tcW w:w="4467" w:type="dxa"/>
          </w:tcPr>
          <w:p w:rsidR="0088360B" w:rsidRDefault="0088360B" w:rsidP="00525FB1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Student of the 2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year, group </w:t>
            </w:r>
            <w:r w:rsidRPr="00052F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052F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</w:t>
            </w:r>
          </w:p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val="en-US"/>
              </w:rPr>
              <w:t>specialty 073</w:t>
            </w:r>
            <w:r>
              <w:rPr>
                <w:rFonts w:ascii="Times New Roman" w:eastAsia="Times New Roman" w:hAnsi="Times New Roman"/>
                <w:bCs/>
                <w:sz w:val="30"/>
                <w:szCs w:val="30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30"/>
                <w:szCs w:val="30"/>
                <w:lang w:val="uk-UA"/>
              </w:rPr>
              <w:t>Management</w:t>
            </w:r>
            <w:proofErr w:type="spellEnd"/>
            <w:r>
              <w:rPr>
                <w:rFonts w:ascii="Times New Roman" w:eastAsia="Times New Roman" w:hAnsi="Times New Roman"/>
                <w:bCs/>
                <w:sz w:val="30"/>
                <w:szCs w:val="30"/>
                <w:lang w:val="uk-UA"/>
              </w:rPr>
              <w:t xml:space="preserve"> »</w:t>
            </w:r>
          </w:p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Specialization “Hotel and Restaurant </w:t>
            </w:r>
            <w:proofErr w:type="spellStart"/>
            <w:r>
              <w:rPr>
                <w:rFonts w:ascii="Times New Roman" w:eastAsia="Times New Roman" w:hAnsi="Times New Roman"/>
                <w:bCs/>
                <w:sz w:val="30"/>
                <w:szCs w:val="30"/>
                <w:lang w:val="uk-UA"/>
              </w:rPr>
              <w:t>Management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____________</w:t>
            </w:r>
          </w:p>
          <w:p w:rsidR="0088360B" w:rsidRPr="00052F4D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</w:tcPr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Iryna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Hrytsenko</w:t>
            </w:r>
            <w:proofErr w:type="spellEnd"/>
          </w:p>
        </w:tc>
      </w:tr>
      <w:tr w:rsidR="0088360B" w:rsidRPr="0088360B" w:rsidTr="00525FB1">
        <w:tc>
          <w:tcPr>
            <w:tcW w:w="4467" w:type="dxa"/>
          </w:tcPr>
          <w:p w:rsidR="0088360B" w:rsidRDefault="0088360B" w:rsidP="00525FB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Scientific adviser</w:t>
            </w:r>
          </w:p>
          <w:p w:rsidR="0088360B" w:rsidRDefault="0088360B" w:rsidP="00525FB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Candidate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of Sciences (Economics),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Docent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of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international economic relations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department</w:t>
            </w:r>
          </w:p>
          <w:p w:rsidR="0088360B" w:rsidRDefault="0088360B" w:rsidP="00525FB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:rsidR="0088360B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:rsidR="0088360B" w:rsidRPr="00770A24" w:rsidRDefault="0088360B" w:rsidP="00525F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___________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_</w:t>
            </w:r>
          </w:p>
          <w:p w:rsidR="0088360B" w:rsidRDefault="0088360B" w:rsidP="00525FB1">
            <w:pPr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52" w:type="dxa"/>
          </w:tcPr>
          <w:p w:rsidR="0088360B" w:rsidRDefault="0088360B" w:rsidP="00525FB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88360B" w:rsidRPr="0088360B" w:rsidRDefault="0088360B" w:rsidP="00525FB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88360B" w:rsidRDefault="0088360B" w:rsidP="00525FB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Dariya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Sai</w:t>
            </w:r>
            <w:proofErr w:type="spellEnd"/>
          </w:p>
        </w:tc>
      </w:tr>
    </w:tbl>
    <w:p w:rsidR="0088360B" w:rsidRDefault="0088360B" w:rsidP="0088360B">
      <w:pPr>
        <w:rPr>
          <w:lang w:val="en-US"/>
        </w:rPr>
      </w:pPr>
    </w:p>
    <w:p w:rsidR="0088360B" w:rsidRDefault="0088360B" w:rsidP="0088360B">
      <w:pPr>
        <w:rPr>
          <w:lang w:val="en-US"/>
        </w:rPr>
      </w:pPr>
    </w:p>
    <w:p w:rsidR="0088360B" w:rsidRPr="0088360B" w:rsidRDefault="0088360B" w:rsidP="0088360B">
      <w:pPr>
        <w:rPr>
          <w:lang w:val="en-US"/>
        </w:rPr>
      </w:pPr>
    </w:p>
    <w:p w:rsidR="0088360B" w:rsidRDefault="0088360B" w:rsidP="0088360B">
      <w:pPr>
        <w:rPr>
          <w:lang w:val="en-US"/>
        </w:rPr>
      </w:pPr>
    </w:p>
    <w:p w:rsidR="0088360B" w:rsidRPr="0088360B" w:rsidRDefault="0088360B" w:rsidP="0088360B">
      <w:pPr>
        <w:rPr>
          <w:lang w:val="en-US"/>
        </w:rPr>
      </w:pPr>
    </w:p>
    <w:p w:rsidR="0088360B" w:rsidRDefault="0088360B" w:rsidP="0088360B">
      <w:pPr>
        <w:rPr>
          <w:lang w:val="en-US"/>
        </w:rPr>
      </w:pPr>
    </w:p>
    <w:p w:rsidR="0088360B" w:rsidRPr="0088360B" w:rsidRDefault="0088360B" w:rsidP="0088360B">
      <w:pPr>
        <w:rPr>
          <w:lang w:val="en-US"/>
        </w:rPr>
      </w:pPr>
    </w:p>
    <w:p w:rsidR="0088360B" w:rsidRPr="0088360B" w:rsidRDefault="0088360B" w:rsidP="0088360B">
      <w:pPr>
        <w:rPr>
          <w:lang w:val="en-US"/>
        </w:rPr>
      </w:pPr>
    </w:p>
    <w:p w:rsidR="0088360B" w:rsidRPr="00052F4D" w:rsidRDefault="0088360B" w:rsidP="0088360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gramStart"/>
      <w:r w:rsidRPr="00052F4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Kyiv  2017</w:t>
      </w:r>
      <w:proofErr w:type="gramEnd"/>
    </w:p>
    <w:p w:rsidR="00A94393" w:rsidRDefault="00A94393" w:rsidP="00A94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final qualifying paper consists of an introduction, three parts, conclusions, appendices, 22 figures, 13 tables,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used sources with 69 units. The volume of final qualifying work is 91 pages.</w:t>
      </w:r>
    </w:p>
    <w:p w:rsidR="00136F42" w:rsidRPr="007670B4" w:rsidRDefault="00136F42" w:rsidP="00A94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The actuality of the problem of customer loyalty management is due to the growth of competition, increasing of communication costs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high level of c</w:t>
      </w:r>
      <w:r>
        <w:rPr>
          <w:rFonts w:ascii="Times New Roman" w:hAnsi="Times New Roman" w:cs="Times New Roman"/>
          <w:sz w:val="28"/>
          <w:szCs w:val="28"/>
          <w:lang w:val="en-US"/>
        </w:rPr>
        <w:t>usto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mer expectations. This has led to the development of a customer relationship marketing concept that replace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classical transaction marketing. Whereas earlier marketing strategies were focused on attracting new c</w:t>
      </w:r>
      <w:r>
        <w:rPr>
          <w:rFonts w:ascii="Times New Roman" w:hAnsi="Times New Roman" w:cs="Times New Roman"/>
          <w:sz w:val="28"/>
          <w:szCs w:val="28"/>
          <w:lang w:val="en-US"/>
        </w:rPr>
        <w:t>ustomers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, the emphasis has recently shifted to retain existing clients, to form their loyalty to the enterprise. Long-term relationships with customers are economically profitable, because they guarantee regular purchases, require lower marketing costs per customer and, thanks to the recommendations of loyal customers, increase their number.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>The subject of the study is the theoretical and practical aspects of forming and increasing c</w:t>
      </w:r>
      <w:r>
        <w:rPr>
          <w:rFonts w:ascii="Times New Roman" w:hAnsi="Times New Roman" w:cs="Times New Roman"/>
          <w:sz w:val="28"/>
          <w:szCs w:val="28"/>
          <w:lang w:val="en-US"/>
        </w:rPr>
        <w:t>usto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mer loyalty to the enterprise.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>The object of the research is the process of formation and management of customer loyalty of LLC "Design Hotel "11 Mirrors".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>The purpose of the diploma paper is to analyze the tendency of personalization of modern business, establishment of long-term relations with clients and to study the modern direction in loyalty management – Customer Relationship Management, which includes marketing strategies and techniques for managing customer-oriented business.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The objective of research is to carry out a comprehensive study of the process of customer loyalty formation and management at the enterprise. 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>To achieve the goal</w:t>
      </w:r>
      <w:r>
        <w:rPr>
          <w:rFonts w:ascii="Times New Roman" w:hAnsi="Times New Roman" w:cs="Times New Roman"/>
          <w:sz w:val="28"/>
          <w:szCs w:val="28"/>
          <w:lang w:val="en-US"/>
        </w:rPr>
        <w:t>s of diploma paper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the following tasks are set in the work: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7670B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determine the essence and economic rationale of customer loyalty for the enterprise;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7670B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identify factors affecting the level of satisfaction and customer loyalty;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study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tools of formation and support of </w:t>
      </w:r>
      <w:r>
        <w:rPr>
          <w:rFonts w:ascii="Times New Roman" w:hAnsi="Times New Roman" w:cs="Times New Roman"/>
          <w:sz w:val="28"/>
          <w:szCs w:val="28"/>
          <w:lang w:val="en-US"/>
        </w:rPr>
        <w:t>custo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mer loyalty;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proofErr w:type="gramStart"/>
      <w:r w:rsidRPr="007670B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analyze the level of customer satisfaction and loyalty of LLC  “Design Hotel “11 Mirrors”;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- to characterize the </w:t>
      </w:r>
      <w:r>
        <w:rPr>
          <w:rFonts w:ascii="Times New Roman" w:hAnsi="Times New Roman" w:cs="Times New Roman"/>
          <w:sz w:val="28"/>
          <w:szCs w:val="28"/>
          <w:lang w:val="en-US"/>
        </w:rPr>
        <w:t>loyalty management system and marketing components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of the loyalty program of LLC “Design Hotel “11 Mirrors”;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7670B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suggest ways to increase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level of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n-US"/>
        </w:rPr>
        <w:t>usto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mer loyalty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the hotel.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The theoretical and methodological basis of the diploma </w:t>
      </w:r>
      <w:r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 is scientific works of domestic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foreign 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scholars and practitioners in the field of loyalty management and customer relationship management.</w:t>
      </w:r>
    </w:p>
    <w:p w:rsidR="00136F42" w:rsidRPr="007670B4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>Methods of system analysis, generalization, classification, analogy, comparative analysis, graphical method, marketing research methods and means of economic analysis were used in the process of research.</w:t>
      </w:r>
    </w:p>
    <w:p w:rsidR="00136F42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The scientific innovation of diploma paper lies in the fact that a comprehensive analysis of hotel loyalty management system was carried out and also the ways of increasing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level of 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customer satisfaction and loyalty and improving the loyalty management system of LLC “Design Hotel “11 Mirrors” were proposed.</w:t>
      </w:r>
    </w:p>
    <w:p w:rsidR="00D604DB" w:rsidRPr="007670B4" w:rsidRDefault="00D604DB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According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to </w:t>
      </w:r>
      <w:r w:rsidRPr="0076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process of Customer Relationship Management in “11 Mirrors” hotel, </w:t>
      </w:r>
      <w:r w:rsidRPr="007670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propositions for improvement level of customer satisfaction and loyalty should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be</w:t>
      </w:r>
      <w:r w:rsidRPr="007670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7670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 analyzing detailed customer information and development personalized offerings for each guest category.</w:t>
      </w:r>
      <w:r w:rsidRPr="0076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Using customer relationship management strategies will help to move customers up to the next guest loyalty category and to increase the level of customer retention and loyalty.</w:t>
      </w:r>
      <w:bookmarkStart w:id="0" w:name="_GoBack"/>
      <w:bookmarkEnd w:id="0"/>
    </w:p>
    <w:p w:rsidR="00C77B2D" w:rsidRPr="00743DC7" w:rsidRDefault="00136F42" w:rsidP="00136F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The practical value of the work is that the main conclusions and proposals can be used by the hotel to increase the level of customer satisfaction and loyalty,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 xml:space="preserve">retain loyal customers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7670B4">
        <w:rPr>
          <w:rFonts w:ascii="Times New Roman" w:hAnsi="Times New Roman" w:cs="Times New Roman"/>
          <w:sz w:val="28"/>
          <w:szCs w:val="28"/>
          <w:lang w:val="en-US"/>
        </w:rPr>
        <w:t>improve loyalty management system of the hotel.</w:t>
      </w:r>
    </w:p>
    <w:sectPr w:rsidR="00C77B2D" w:rsidRPr="0074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C49FE"/>
    <w:multiLevelType w:val="hybridMultilevel"/>
    <w:tmpl w:val="A200695A"/>
    <w:lvl w:ilvl="0" w:tplc="548258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2D"/>
    <w:rsid w:val="00136F42"/>
    <w:rsid w:val="00743DC7"/>
    <w:rsid w:val="0088360B"/>
    <w:rsid w:val="00A94393"/>
    <w:rsid w:val="00B36EC6"/>
    <w:rsid w:val="00C77B2D"/>
    <w:rsid w:val="00D604DB"/>
    <w:rsid w:val="00FB50FA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2017-12-25T16:51:00Z</dcterms:created>
  <dcterms:modified xsi:type="dcterms:W3CDTF">2018-01-08T17:54:00Z</dcterms:modified>
</cp:coreProperties>
</file>