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Вихідні дані для розрахунку обсягів та складу викидів забруднюючих речовин та парникових газів в атмосферу при спалюванні природного газу: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витрата палива за звітний період — В, т;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густина природного газу — r = 0,723 кг/м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3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;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нижча робоча теплота згорання палива — </w:t>
      </w:r>
      <w:proofErr w:type="spellStart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Q</w:t>
      </w:r>
      <w:r w:rsidRPr="00286E21">
        <w:rPr>
          <w:rFonts w:asciiTheme="majorHAnsi" w:eastAsia="Times New Roman" w:hAnsiTheme="majorHAnsi" w:cs="Arial"/>
          <w:i/>
          <w:iCs/>
          <w:color w:val="3D3C3B"/>
          <w:sz w:val="24"/>
          <w:szCs w:val="24"/>
          <w:vertAlign w:val="subscript"/>
          <w:lang w:val="uk-UA" w:eastAsia="ru-RU"/>
        </w:rPr>
        <w:t>газу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=</w:t>
      </w:r>
      <w:proofErr w:type="spellEnd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45,75 </w:t>
      </w:r>
      <w:proofErr w:type="spellStart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МДж</w:t>
      </w:r>
      <w:proofErr w:type="spellEnd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/кг.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Показники емісії забруднюючих речовин:</w:t>
      </w:r>
    </w:p>
    <w:tbl>
      <w:tblPr>
        <w:tblStyle w:val="a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410"/>
        <w:gridCol w:w="3260"/>
      </w:tblGrid>
      <w:tr w:rsidR="00BA127D" w:rsidRPr="00286E21" w:rsidTr="00286E21">
        <w:trPr>
          <w:cnfStyle w:val="100000000000"/>
        </w:trPr>
        <w:tc>
          <w:tcPr>
            <w:cnfStyle w:val="00100000000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Назва показника емісії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cnfStyle w:val="100000000000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Умовне позначення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cnfStyle w:val="100000000000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Значення показника, </w:t>
            </w: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br/>
              <w:t>г/ГДж</w:t>
            </w:r>
          </w:p>
        </w:tc>
      </w:tr>
      <w:tr w:rsidR="00BA127D" w:rsidRPr="00286E21" w:rsidTr="00286E21">
        <w:trPr>
          <w:cnfStyle w:val="000000100000"/>
        </w:trPr>
        <w:tc>
          <w:tcPr>
            <w:cnfStyle w:val="001000000000"/>
            <w:tcW w:w="322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Оксиди азоту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cnfStyle w:val="000000100000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proofErr w:type="spellStart"/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k</w:t>
            </w: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bdr w:val="none" w:sz="0" w:space="0" w:color="auto" w:frame="1"/>
                <w:vertAlign w:val="subscript"/>
                <w:lang w:val="uk-UA" w:eastAsia="ru-RU"/>
              </w:rPr>
              <w:t>NOx</w:t>
            </w:r>
            <w:proofErr w:type="spellEnd"/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cnfStyle w:val="000000100000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64,311</w:t>
            </w:r>
          </w:p>
        </w:tc>
      </w:tr>
      <w:tr w:rsidR="00BA127D" w:rsidRPr="00286E21" w:rsidTr="00286E21">
        <w:tc>
          <w:tcPr>
            <w:cnfStyle w:val="001000000000"/>
            <w:tcW w:w="3227" w:type="dxa"/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Оксид вуглецю</w:t>
            </w:r>
          </w:p>
        </w:tc>
        <w:tc>
          <w:tcPr>
            <w:tcW w:w="2410" w:type="dxa"/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cnfStyle w:val="000000000000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proofErr w:type="spellStart"/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k</w:t>
            </w: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bdr w:val="none" w:sz="0" w:space="0" w:color="auto" w:frame="1"/>
                <w:vertAlign w:val="subscript"/>
                <w:lang w:val="uk-UA" w:eastAsia="ru-RU"/>
              </w:rPr>
              <w:t>CO</w:t>
            </w:r>
            <w:proofErr w:type="spellEnd"/>
          </w:p>
        </w:tc>
        <w:tc>
          <w:tcPr>
            <w:tcW w:w="3260" w:type="dxa"/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cnfStyle w:val="000000000000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248,75</w:t>
            </w:r>
          </w:p>
        </w:tc>
      </w:tr>
      <w:tr w:rsidR="00BA127D" w:rsidRPr="00286E21" w:rsidTr="00286E21">
        <w:trPr>
          <w:cnfStyle w:val="000000100000"/>
        </w:trPr>
        <w:tc>
          <w:tcPr>
            <w:cnfStyle w:val="001000000000"/>
            <w:tcW w:w="322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proofErr w:type="spellStart"/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Діоксид</w:t>
            </w:r>
            <w:proofErr w:type="spellEnd"/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 xml:space="preserve"> вуглецю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cnfStyle w:val="000000100000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k</w:t>
            </w: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bdr w:val="none" w:sz="0" w:space="0" w:color="auto" w:frame="1"/>
                <w:vertAlign w:val="subscript"/>
                <w:lang w:val="uk-UA" w:eastAsia="ru-RU"/>
              </w:rPr>
              <w:t>CO2</w:t>
            </w: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A127D" w:rsidRPr="00286E21" w:rsidRDefault="00BA127D" w:rsidP="00286E21">
            <w:pPr>
              <w:spacing w:line="312" w:lineRule="atLeast"/>
              <w:jc w:val="both"/>
              <w:textAlignment w:val="baseline"/>
              <w:cnfStyle w:val="000000100000"/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</w:pPr>
            <w:r w:rsidRPr="00286E21">
              <w:rPr>
                <w:rFonts w:asciiTheme="majorHAnsi" w:eastAsia="Times New Roman" w:hAnsiTheme="majorHAnsi" w:cs="Arial"/>
                <w:color w:val="3D3C3B"/>
                <w:sz w:val="24"/>
                <w:szCs w:val="24"/>
                <w:lang w:val="uk-UA" w:eastAsia="ru-RU"/>
              </w:rPr>
              <w:t>58 748,13</w:t>
            </w:r>
          </w:p>
        </w:tc>
      </w:tr>
    </w:tbl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Для початку переведемо показники використаного природного газу з метрів кубічних у тонни: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B = </w:t>
      </w:r>
      <w:r w:rsidR="00286E21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1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м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3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х 0,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723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кг/м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3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= </w:t>
      </w:r>
      <w:r w:rsidR="00286E21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0.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723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кг = 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7,23</w:t>
      </w:r>
      <w:r w:rsidR="0044209A" w:rsidRP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х </w:t>
      </w:r>
      <w:r w:rsidR="00286E21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10</w:t>
      </w:r>
      <w:r w:rsidR="00286E21" w:rsidRPr="00286E21">
        <w:rPr>
          <w:rFonts w:asciiTheme="majorHAnsi" w:eastAsia="Times New Roman" w:hAnsiTheme="majorHAnsi" w:cs="Arial"/>
          <w:color w:val="3D3C3B"/>
          <w:sz w:val="24"/>
          <w:szCs w:val="24"/>
          <w:vertAlign w:val="superscript"/>
          <w:lang w:val="uk-UA" w:eastAsia="ru-RU"/>
        </w:rPr>
        <w:t>-4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т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Розрахуємо валові викиди забруднюючих речовин, що утворюються під час згорання 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7,23</w:t>
      </w:r>
      <w:r w:rsidR="0044209A" w:rsidRP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х 10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vertAlign w:val="superscript"/>
          <w:lang w:val="uk-UA" w:eastAsia="ru-RU"/>
        </w:rPr>
        <w:t>-4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т </w:t>
      </w:r>
      <w:r w:rsidR="00286E21" w:rsidRPr="00286E21">
        <w:rPr>
          <w:rFonts w:asciiTheme="majorHAnsi" w:eastAsia="Times New Roman" w:hAnsiTheme="majorHAnsi" w:cs="Arial"/>
          <w:color w:val="3D3C3B"/>
          <w:sz w:val="24"/>
          <w:szCs w:val="24"/>
          <w:lang w:eastAsia="ru-RU"/>
        </w:rPr>
        <w:t xml:space="preserve"> </w:t>
      </w:r>
      <w:r w:rsid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п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риродного газу.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Валовий викид оксидів азоту: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proofErr w:type="spellStart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E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NOx</w:t>
      </w:r>
      <w:proofErr w:type="spellEnd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= 10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-6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k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NOx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Q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газ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B = 10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-6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× 64,311 г/ГДж × 45,75 </w:t>
      </w:r>
      <w:proofErr w:type="spellStart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МДж</w:t>
      </w:r>
      <w:proofErr w:type="spellEnd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/кг × 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7,23</w:t>
      </w:r>
      <w:r w:rsidR="0044209A" w:rsidRP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х 10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vertAlign w:val="superscript"/>
          <w:lang w:val="uk-UA" w:eastAsia="ru-RU"/>
        </w:rPr>
        <w:t>-4</w:t>
      </w:r>
      <w:r w:rsidR="00286E21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т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= 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2,127х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10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-6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т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= </w:t>
      </w:r>
      <w:r w:rsidR="00605B05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= 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2,127г;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Валовий викид оксиду вуглецю: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E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CO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= 10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-6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k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CO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Q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газ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B = 10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-6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× 248,75 г/ГДж × 45,75 </w:t>
      </w:r>
      <w:proofErr w:type="spellStart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МДж</w:t>
      </w:r>
      <w:proofErr w:type="spellEnd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/кг × 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7,23</w:t>
      </w:r>
      <w:r w:rsidR="0044209A" w:rsidRP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х 10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vertAlign w:val="superscript"/>
          <w:lang w:val="uk-UA" w:eastAsia="ru-RU"/>
        </w:rPr>
        <w:t>-4</w:t>
      </w:r>
      <w:r w:rsidR="00286E21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т 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= 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8,23х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10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-6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т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= </w:t>
      </w:r>
      <w:r w:rsidR="00605B05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=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8,23г;</w:t>
      </w:r>
    </w:p>
    <w:p w:rsidR="00BA127D" w:rsidRPr="00286E21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Валовий викид </w:t>
      </w:r>
      <w:proofErr w:type="spellStart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діоксиду</w:t>
      </w:r>
      <w:proofErr w:type="spellEnd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вуглецю:</w:t>
      </w:r>
    </w:p>
    <w:p w:rsidR="00BC19A5" w:rsidRDefault="00BA127D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E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CO2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= 10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-6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k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CO2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Q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bscript"/>
          <w:lang w:val="uk-UA" w:eastAsia="ru-RU"/>
        </w:rPr>
        <w:t>газ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B = 10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bdr w:val="none" w:sz="0" w:space="0" w:color="auto" w:frame="1"/>
          <w:vertAlign w:val="superscript"/>
          <w:lang w:val="uk-UA" w:eastAsia="ru-RU"/>
        </w:rPr>
        <w:t>-6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× 58 748,13 г/ГДж × 45,75 </w:t>
      </w:r>
      <w:proofErr w:type="spellStart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МДж</w:t>
      </w:r>
      <w:proofErr w:type="spellEnd"/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/кг × </w:t>
      </w:r>
      <w:r w:rsid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7,23</w:t>
      </w:r>
      <w:r w:rsidR="0044209A" w:rsidRPr="0044209A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 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х 10</w:t>
      </w:r>
      <w:r w:rsidR="0044209A" w:rsidRPr="00286E21">
        <w:rPr>
          <w:rFonts w:asciiTheme="majorHAnsi" w:eastAsia="Times New Roman" w:hAnsiTheme="majorHAnsi" w:cs="Arial"/>
          <w:color w:val="3D3C3B"/>
          <w:sz w:val="24"/>
          <w:szCs w:val="24"/>
          <w:vertAlign w:val="superscript"/>
          <w:lang w:val="uk-UA" w:eastAsia="ru-RU"/>
        </w:rPr>
        <w:t>-4</w:t>
      </w:r>
      <w:r w:rsidR="00286E21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т </w:t>
      </w:r>
      <w:r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 xml:space="preserve">= </w:t>
      </w:r>
    </w:p>
    <w:p w:rsidR="00BA127D" w:rsidRPr="00286E21" w:rsidRDefault="00BC19A5" w:rsidP="00286E21">
      <w:pPr>
        <w:shd w:val="clear" w:color="auto" w:fill="FFFFFF"/>
        <w:spacing w:after="0" w:line="312" w:lineRule="atLeast"/>
        <w:jc w:val="both"/>
        <w:textAlignment w:val="baseline"/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=1,943 х 10</w:t>
      </w:r>
      <w:r>
        <w:rPr>
          <w:rFonts w:asciiTheme="majorHAnsi" w:eastAsia="Times New Roman" w:hAnsiTheme="majorHAnsi" w:cs="Arial"/>
          <w:color w:val="3D3C3B"/>
          <w:sz w:val="24"/>
          <w:szCs w:val="24"/>
          <w:vertAlign w:val="superscript"/>
          <w:lang w:val="uk-UA" w:eastAsia="ru-RU"/>
        </w:rPr>
        <w:t>-3</w:t>
      </w:r>
      <w:r w:rsidR="00BA127D" w:rsidRPr="00286E21"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 </w:t>
      </w:r>
      <w:r>
        <w:rPr>
          <w:rFonts w:asciiTheme="majorHAnsi" w:eastAsia="Times New Roman" w:hAnsiTheme="majorHAnsi" w:cs="Arial"/>
          <w:color w:val="3D3C3B"/>
          <w:sz w:val="24"/>
          <w:szCs w:val="24"/>
          <w:lang w:val="uk-UA" w:eastAsia="ru-RU"/>
        </w:rPr>
        <w:t>кг = 1943г.</w:t>
      </w:r>
    </w:p>
    <w:p w:rsidR="00FC7272" w:rsidRPr="00286E21" w:rsidRDefault="00FC7272" w:rsidP="00286E21">
      <w:pPr>
        <w:jc w:val="both"/>
        <w:rPr>
          <w:rFonts w:asciiTheme="majorHAnsi" w:hAnsiTheme="majorHAnsi"/>
          <w:sz w:val="24"/>
          <w:szCs w:val="24"/>
          <w:lang w:val="uk-UA"/>
        </w:rPr>
      </w:pPr>
    </w:p>
    <w:sectPr w:rsidR="00FC7272" w:rsidRPr="00286E21" w:rsidSect="00FC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27D"/>
    <w:rsid w:val="00286E21"/>
    <w:rsid w:val="0044209A"/>
    <w:rsid w:val="00605B05"/>
    <w:rsid w:val="00BA127D"/>
    <w:rsid w:val="00BC19A5"/>
    <w:rsid w:val="00DF739F"/>
    <w:rsid w:val="00FC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7D"/>
    <w:rPr>
      <w:b/>
      <w:bCs/>
    </w:rPr>
  </w:style>
  <w:style w:type="character" w:customStyle="1" w:styleId="apple-converted-space">
    <w:name w:val="apple-converted-space"/>
    <w:basedOn w:val="a0"/>
    <w:rsid w:val="00BA127D"/>
  </w:style>
  <w:style w:type="character" w:styleId="a5">
    <w:name w:val="Emphasis"/>
    <w:basedOn w:val="a0"/>
    <w:uiPriority w:val="20"/>
    <w:qFormat/>
    <w:rsid w:val="00BA127D"/>
    <w:rPr>
      <w:i/>
      <w:iCs/>
    </w:rPr>
  </w:style>
  <w:style w:type="table" w:styleId="a6">
    <w:name w:val="Light Shading"/>
    <w:basedOn w:val="a1"/>
    <w:uiPriority w:val="60"/>
    <w:rsid w:val="00286E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2017-11-08T11:37:00Z</dcterms:created>
  <dcterms:modified xsi:type="dcterms:W3CDTF">2017-11-08T14:28:00Z</dcterms:modified>
</cp:coreProperties>
</file>