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6F" w:rsidRPr="00772FBD" w:rsidRDefault="00836251" w:rsidP="006E7FB4">
      <w:pPr>
        <w:spacing w:line="360" w:lineRule="auto"/>
        <w:contextualSpacing/>
        <w:jc w:val="center"/>
        <w:rPr>
          <w:b/>
          <w:szCs w:val="28"/>
          <w:lang w:val="uk-UA"/>
        </w:rPr>
      </w:pPr>
      <w:r w:rsidRPr="00772FBD">
        <w:rPr>
          <w:b/>
          <w:szCs w:val="28"/>
          <w:lang w:val="uk-UA"/>
        </w:rPr>
        <w:t>ВІДЕОЗЙОМКА В ПРОЕКТІ НОВОГО ТРУДВОГО КОДЕКСУ</w:t>
      </w:r>
    </w:p>
    <w:p w:rsidR="00836251" w:rsidRPr="00772FBD" w:rsidRDefault="00836251" w:rsidP="006E7FB4">
      <w:pPr>
        <w:spacing w:line="360" w:lineRule="auto"/>
        <w:contextualSpacing/>
        <w:jc w:val="center"/>
        <w:rPr>
          <w:b/>
          <w:szCs w:val="28"/>
          <w:lang w:val="uk-UA"/>
        </w:rPr>
      </w:pPr>
    </w:p>
    <w:p w:rsidR="00C50E84" w:rsidRPr="00772FBD" w:rsidRDefault="00C50E84" w:rsidP="006E7FB4">
      <w:pPr>
        <w:spacing w:line="360" w:lineRule="auto"/>
        <w:contextualSpacing/>
        <w:jc w:val="center"/>
        <w:rPr>
          <w:b/>
          <w:szCs w:val="28"/>
          <w:lang w:val="uk-UA"/>
        </w:rPr>
      </w:pPr>
    </w:p>
    <w:p w:rsidR="00C50E84" w:rsidRPr="00772FBD" w:rsidRDefault="00C50E84" w:rsidP="00C50E84">
      <w:pPr>
        <w:spacing w:line="360" w:lineRule="auto"/>
        <w:contextualSpacing/>
        <w:rPr>
          <w:i/>
          <w:szCs w:val="28"/>
          <w:lang w:val="uk-UA"/>
        </w:rPr>
      </w:pPr>
      <w:r w:rsidRPr="00772FBD">
        <w:rPr>
          <w:i/>
          <w:szCs w:val="28"/>
          <w:lang w:val="uk-UA"/>
        </w:rPr>
        <w:t>У статті проаналізовано положення проекту Трудового кодексу від 27.08.2019 року. Встановлено відношення даного положення з нормами Конституції та інших нормативно-правових актів. Визначено також недоліки тексту даної статті.</w:t>
      </w:r>
    </w:p>
    <w:p w:rsidR="00C50E84" w:rsidRPr="00772FBD" w:rsidRDefault="00C50E84" w:rsidP="006E7FB4">
      <w:pPr>
        <w:spacing w:line="360" w:lineRule="auto"/>
        <w:contextualSpacing/>
        <w:jc w:val="left"/>
        <w:rPr>
          <w:b/>
          <w:szCs w:val="28"/>
          <w:lang w:val="uk-UA"/>
        </w:rPr>
      </w:pPr>
    </w:p>
    <w:p w:rsidR="00836251" w:rsidRPr="00772FBD" w:rsidRDefault="00C50E84" w:rsidP="00C50E84">
      <w:pPr>
        <w:spacing w:line="360" w:lineRule="auto"/>
        <w:contextualSpacing/>
        <w:rPr>
          <w:b/>
          <w:szCs w:val="28"/>
          <w:lang w:val="uk-UA"/>
        </w:rPr>
      </w:pPr>
      <w:r w:rsidRPr="00772FBD">
        <w:rPr>
          <w:b/>
          <w:szCs w:val="28"/>
          <w:lang w:val="uk-UA"/>
        </w:rPr>
        <w:t xml:space="preserve">Ключові слова: </w:t>
      </w:r>
      <w:proofErr w:type="spellStart"/>
      <w:r w:rsidRPr="00772FBD">
        <w:rPr>
          <w:szCs w:val="28"/>
          <w:lang w:val="uk-UA"/>
        </w:rPr>
        <w:t>відеозйомка</w:t>
      </w:r>
      <w:proofErr w:type="spellEnd"/>
      <w:r w:rsidRPr="00772FBD">
        <w:rPr>
          <w:szCs w:val="28"/>
          <w:lang w:val="uk-UA"/>
        </w:rPr>
        <w:t>, Трудовий кодекс, контроль за виконанням трудових обов’язків, технічні засоби, відеоспостереження</w:t>
      </w:r>
    </w:p>
    <w:p w:rsidR="00C50E84" w:rsidRPr="00772FBD" w:rsidRDefault="00C50E84" w:rsidP="006E7FB4">
      <w:pPr>
        <w:spacing w:line="360" w:lineRule="auto"/>
        <w:contextualSpacing/>
        <w:jc w:val="left"/>
        <w:rPr>
          <w:b/>
          <w:szCs w:val="28"/>
          <w:lang w:val="uk-UA"/>
        </w:rPr>
      </w:pPr>
    </w:p>
    <w:p w:rsidR="00836251" w:rsidRPr="00772FBD" w:rsidRDefault="00836251" w:rsidP="006E7FB4">
      <w:pPr>
        <w:spacing w:line="360" w:lineRule="auto"/>
        <w:ind w:firstLine="708"/>
        <w:contextualSpacing/>
        <w:rPr>
          <w:szCs w:val="28"/>
          <w:lang w:val="uk-UA"/>
        </w:rPr>
      </w:pPr>
      <w:r w:rsidRPr="00772FBD">
        <w:rPr>
          <w:szCs w:val="28"/>
          <w:lang w:val="uk-UA"/>
        </w:rPr>
        <w:t>Потреба у прийнятті Трудового кодексу України (далі – ТКУ) обумовлена змінами системи суспільних відносин, що відбуваються в Україні, ці зміни безпосередньо пов’язані з працею. Виникла низка проблем різної визначеності, що повинні вирішуватись способами трудового права. Підготовка нового кодифікованого акту у цій сфері пояснюється також тим, що основою трудового законодавства України на сьогодні є Кодекс законів про працю, який був прийнятий ще 10 грудня 1971 р. і набув чинності з 1 че</w:t>
      </w:r>
      <w:r w:rsidR="00FA4310" w:rsidRPr="00772FBD">
        <w:rPr>
          <w:szCs w:val="28"/>
          <w:lang w:val="uk-UA"/>
        </w:rPr>
        <w:t xml:space="preserve">рвня 1972 р. Доцільно зазначити, що за останні 15 років було </w:t>
      </w:r>
      <w:proofErr w:type="spellStart"/>
      <w:r w:rsidR="00FA4310" w:rsidRPr="00772FBD">
        <w:rPr>
          <w:szCs w:val="28"/>
          <w:lang w:val="uk-UA"/>
        </w:rPr>
        <w:t>внесено</w:t>
      </w:r>
      <w:proofErr w:type="spellEnd"/>
      <w:r w:rsidR="00FA4310" w:rsidRPr="00772FBD">
        <w:rPr>
          <w:szCs w:val="28"/>
          <w:lang w:val="uk-UA"/>
        </w:rPr>
        <w:t xml:space="preserve"> чимало змін і доповнень, зокрема, з 1973 р. Верховною Радою було прийнято понад 60 законів про внесення змін до КЗпП, унаслідок цього із 265 статей та преамбули, що містились у першій редакції КЗпП, суттєво змінилися 235 статей кодексу (деякі з них - неодноразово). Тому сам КЗпП – це суміш правових норм, прийнятих за різних історичних та економічних умов, певна частина яких відповідає вимогам часу, а інша – застаріла і не може адекватно регулювати сучасні трудові відносини.</w:t>
      </w:r>
      <w:r w:rsidR="002E586F" w:rsidRPr="002E586F">
        <w:rPr>
          <w:szCs w:val="28"/>
          <w:lang w:val="uk-UA"/>
        </w:rPr>
        <w:t>[1]</w:t>
      </w:r>
      <w:r w:rsidR="00FA4310" w:rsidRPr="00772FBD">
        <w:rPr>
          <w:szCs w:val="28"/>
          <w:lang w:val="uk-UA"/>
        </w:rPr>
        <w:t xml:space="preserve"> Виходячи з цього, можемо говорити про доцільність </w:t>
      </w:r>
      <w:r w:rsidR="00662D3E" w:rsidRPr="00772FBD">
        <w:rPr>
          <w:szCs w:val="28"/>
          <w:lang w:val="uk-UA"/>
        </w:rPr>
        <w:t>прийняття Трудового кодексу.</w:t>
      </w:r>
    </w:p>
    <w:p w:rsidR="00662D3E" w:rsidRPr="00772FBD" w:rsidRDefault="00662D3E" w:rsidP="006E7FB4">
      <w:pPr>
        <w:spacing w:line="360" w:lineRule="auto"/>
        <w:ind w:firstLine="708"/>
        <w:contextualSpacing/>
        <w:rPr>
          <w:szCs w:val="28"/>
          <w:lang w:val="uk-UA"/>
        </w:rPr>
      </w:pPr>
      <w:r w:rsidRPr="00772FBD">
        <w:rPr>
          <w:szCs w:val="28"/>
          <w:lang w:val="uk-UA"/>
        </w:rPr>
        <w:t xml:space="preserve">Однак таке прийняття супроводжується постійними спорами та обговореннями, що пояснюється неоднозначністю норм, що містяться в </w:t>
      </w:r>
      <w:r w:rsidRPr="00772FBD">
        <w:rPr>
          <w:szCs w:val="28"/>
          <w:lang w:val="uk-UA"/>
        </w:rPr>
        <w:lastRenderedPageBreak/>
        <w:t>запропонованих проектах. Окремим гострим питанням є регулювання спостереження за працівником на робочому місці.</w:t>
      </w:r>
    </w:p>
    <w:p w:rsidR="00662D3E" w:rsidRPr="00772FBD" w:rsidRDefault="00662D3E" w:rsidP="006E7FB4">
      <w:pPr>
        <w:spacing w:line="360" w:lineRule="auto"/>
        <w:ind w:firstLine="708"/>
        <w:contextualSpacing/>
        <w:rPr>
          <w:szCs w:val="28"/>
          <w:lang w:val="uk-UA"/>
        </w:rPr>
      </w:pPr>
      <w:r w:rsidRPr="00772FBD">
        <w:rPr>
          <w:szCs w:val="28"/>
          <w:lang w:val="uk-UA"/>
        </w:rPr>
        <w:t>На початковому етапі трудових відносин і роботодавець, і працівник</w:t>
      </w:r>
      <w:r w:rsidR="00A95010" w:rsidRPr="00772FBD">
        <w:rPr>
          <w:szCs w:val="28"/>
          <w:lang w:val="uk-UA"/>
        </w:rPr>
        <w:t xml:space="preserve"> розраховують на результативну працю та відповідальне виконання трудових обов’язків. Але хто більше вразливий в таких відносинах і яке місце в даному процесі займає відеоспостереження?</w:t>
      </w:r>
    </w:p>
    <w:p w:rsidR="006E7FB4" w:rsidRPr="00772FBD" w:rsidRDefault="006E7FB4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</w:rPr>
      </w:pPr>
      <w:r w:rsidRPr="00772FBD">
        <w:rPr>
          <w:sz w:val="28"/>
          <w:szCs w:val="28"/>
        </w:rPr>
        <w:t>Відповідно до статті 30 проекту Трудового кодексу від 27.08.2019 роботодавець вправі контролювати виконання працівниками трудових обов'язків, у тому числі з використанням технічних засобів, якщо це зумовлено особливостями виробництва, з обов’язковим попередженням працівників про їх застосування. Під час здійснення такого контролю не допускаються дії, що принижують честь і гідність або порушують інші права працівників.</w:t>
      </w:r>
    </w:p>
    <w:p w:rsidR="006E7FB4" w:rsidRPr="00772FBD" w:rsidRDefault="006E7FB4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</w:rPr>
      </w:pPr>
      <w:r w:rsidRPr="00772FBD">
        <w:rPr>
          <w:sz w:val="28"/>
          <w:szCs w:val="28"/>
        </w:rPr>
        <w:t>І дійсно одним із способів контролю за трудовим процесом є облік робочого часу і можливість фіксування самого трудового процесу. З однієї сторони, фіксування нівелює можливість виникнення яких-небудь спірних ситуацій, у випадку порушення однієї із сторін</w:t>
      </w:r>
      <w:r w:rsidR="006D03ED" w:rsidRPr="00772FBD">
        <w:rPr>
          <w:sz w:val="28"/>
          <w:szCs w:val="28"/>
        </w:rPr>
        <w:t xml:space="preserve"> умов трудових відносин, але з іншого боку сторони відео фіксація обмежує права на недоторканність особистого життя.</w:t>
      </w:r>
    </w:p>
    <w:p w:rsidR="006D03ED" w:rsidRPr="00772FBD" w:rsidRDefault="006D03ED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  <w:lang w:val="ru-RU"/>
        </w:rPr>
      </w:pPr>
      <w:r w:rsidRPr="00772FBD">
        <w:rPr>
          <w:sz w:val="28"/>
          <w:szCs w:val="28"/>
        </w:rPr>
        <w:t>В ст. 8 вказано, що кожен має право на повагу до його особистого та сімейного життя, його житла та кореспонденції</w:t>
      </w:r>
      <w:r w:rsidR="002C64D9" w:rsidRPr="00772FBD">
        <w:rPr>
          <w:sz w:val="28"/>
          <w:szCs w:val="28"/>
        </w:rPr>
        <w:t xml:space="preserve"> Конвенції про захист прав людини та основоположних свобод</w:t>
      </w:r>
      <w:r w:rsidR="00772FBD" w:rsidRPr="00772FBD">
        <w:rPr>
          <w:sz w:val="28"/>
          <w:szCs w:val="28"/>
          <w:lang w:val="ru-RU"/>
        </w:rPr>
        <w:t xml:space="preserve"> [2]</w:t>
      </w:r>
      <w:r w:rsidRPr="00772FBD">
        <w:rPr>
          <w:sz w:val="28"/>
          <w:szCs w:val="28"/>
        </w:rPr>
        <w:t>, ст. 32 Конституції України закріплено, що ніхто не може зазнавати втручання в його особисте та сімейне життя, крім випадків, передбачених Конституцією.</w:t>
      </w:r>
      <w:r w:rsidR="00772FBD" w:rsidRPr="00772FBD">
        <w:rPr>
          <w:sz w:val="28"/>
          <w:szCs w:val="28"/>
          <w:lang w:val="ru-RU"/>
        </w:rPr>
        <w:t>[3]</w:t>
      </w:r>
      <w:r w:rsidRPr="00772FBD">
        <w:rPr>
          <w:sz w:val="28"/>
          <w:szCs w:val="28"/>
        </w:rPr>
        <w:t xml:space="preserve"> </w:t>
      </w:r>
      <w:r w:rsidR="00F22234" w:rsidRPr="00772FBD">
        <w:rPr>
          <w:sz w:val="28"/>
          <w:szCs w:val="28"/>
        </w:rPr>
        <w:t>Зазначеним вимогам кореспондують положення законодавства України, якими передбачено, що збі</w:t>
      </w:r>
      <w:proofErr w:type="gramStart"/>
      <w:r w:rsidR="00F22234" w:rsidRPr="00772FBD">
        <w:rPr>
          <w:sz w:val="28"/>
          <w:szCs w:val="28"/>
        </w:rPr>
        <w:t>р</w:t>
      </w:r>
      <w:proofErr w:type="gramEnd"/>
      <w:r w:rsidR="00F22234" w:rsidRPr="00772FBD">
        <w:rPr>
          <w:sz w:val="28"/>
          <w:szCs w:val="28"/>
        </w:rPr>
        <w:t>, зберігання, використання і поширення інформації про особисте життя фізичної особи без її згоди не допускаються, крім випадків, визначених законом, і лише в інтересах національної безпеки, економічного добробуту та прав людини</w:t>
      </w:r>
      <w:r w:rsidR="00B8389D" w:rsidRPr="00772FBD">
        <w:rPr>
          <w:sz w:val="28"/>
          <w:szCs w:val="28"/>
        </w:rPr>
        <w:t xml:space="preserve"> – стаття 302 ЦК У</w:t>
      </w:r>
      <w:r w:rsidR="00772FBD" w:rsidRPr="00772FBD">
        <w:rPr>
          <w:sz w:val="28"/>
          <w:szCs w:val="28"/>
          <w:lang w:val="ru-RU"/>
        </w:rPr>
        <w:t>[4]</w:t>
      </w:r>
      <w:r w:rsidR="00B8389D" w:rsidRPr="00772FBD">
        <w:rPr>
          <w:sz w:val="28"/>
          <w:szCs w:val="28"/>
        </w:rPr>
        <w:t xml:space="preserve">; поширення персональних даних без згоди суб’єкта персональних даних чи уповноваженої ним особи допускається у випадках, визначених законом, і лише (якщо це необхідно) в інтересах національної безпеки, економічного </w:t>
      </w:r>
      <w:r w:rsidR="00B8389D" w:rsidRPr="00772FBD">
        <w:rPr>
          <w:sz w:val="28"/>
          <w:szCs w:val="28"/>
        </w:rPr>
        <w:lastRenderedPageBreak/>
        <w:t>благополуччя і прав людини – стаття 14 ЗУ «Про захист персональних даних».</w:t>
      </w:r>
      <w:r w:rsidR="00772FBD" w:rsidRPr="00772FBD">
        <w:rPr>
          <w:sz w:val="28"/>
          <w:szCs w:val="28"/>
          <w:lang w:val="ru-RU"/>
        </w:rPr>
        <w:t>[5]</w:t>
      </w:r>
    </w:p>
    <w:p w:rsidR="00B8389D" w:rsidRPr="00772FBD" w:rsidRDefault="00B8389D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</w:rPr>
      </w:pPr>
      <w:r w:rsidRPr="00772FBD">
        <w:rPr>
          <w:sz w:val="28"/>
          <w:szCs w:val="28"/>
        </w:rPr>
        <w:t>Виходячи з наведеного вище можна зробити висновок, що здійснювати відеоспостереження необхідно таким чином, щоб не виникло питання відносно порушення з боку роботодавця недоторканності особистого життя працівника.</w:t>
      </w:r>
    </w:p>
    <w:p w:rsidR="00DF42E4" w:rsidRPr="00772FBD" w:rsidRDefault="00DF42E4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</w:rPr>
      </w:pPr>
      <w:r w:rsidRPr="00772FBD">
        <w:rPr>
          <w:sz w:val="28"/>
          <w:szCs w:val="28"/>
        </w:rPr>
        <w:t>Встановлення відеокамер на робочому місці повинне мати законну підставу та обґрунтовану мету. Відео зйомка повинна проводитися відкрито, а працівники повинні бути належним чином повідомлені про те, що відбувається відеоспостереження. Крім того, варто також зважати й на те, що робоче місце не знаходиться за межами особистого життя особи. Так, тут звертаємося до рішення Конституційного суду України №2-рп/2012</w:t>
      </w:r>
      <w:r w:rsidR="00772FBD" w:rsidRPr="00772FBD">
        <w:rPr>
          <w:sz w:val="28"/>
          <w:szCs w:val="28"/>
        </w:rPr>
        <w:t xml:space="preserve"> [6]</w:t>
      </w:r>
      <w:r w:rsidRPr="00772FBD">
        <w:rPr>
          <w:sz w:val="28"/>
          <w:szCs w:val="28"/>
        </w:rPr>
        <w:t>, відповідно до якого особистим життям фізичної особи є його поведінка в сфері особистих, сімейних, побутових, інтимних, дружніх, професійних, ділових та інших відносин поза суспільною діяльністю, що здійснюється, в тому числі, при виконанні особою функцій держави чи органів місцевого самоврядування.</w:t>
      </w:r>
    </w:p>
    <w:p w:rsidR="00DF42E4" w:rsidRPr="00772FBD" w:rsidRDefault="00DF42E4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</w:rPr>
      </w:pPr>
      <w:r w:rsidRPr="00772FBD">
        <w:rPr>
          <w:sz w:val="28"/>
          <w:szCs w:val="28"/>
        </w:rPr>
        <w:t xml:space="preserve">Виходить, що поведінку особи в професійних та ділових відносинах можна розглядати як її особисте життя. З вищезгаданого рішення Конституційного суду бачимо, що інформація про особисте життя людини – це будь-які свідчення чи сукупність свідчень про фізичну особу, яка ідентифікована чи може бути ідентифікована. </w:t>
      </w:r>
    </w:p>
    <w:p w:rsidR="00036D29" w:rsidRPr="00772FBD" w:rsidRDefault="00FE0E23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  <w:lang w:val="ru-RU"/>
        </w:rPr>
      </w:pPr>
      <w:r w:rsidRPr="00772FBD">
        <w:rPr>
          <w:sz w:val="28"/>
          <w:szCs w:val="28"/>
        </w:rPr>
        <w:t xml:space="preserve">Крім усього, хочемо зазначити, що питання </w:t>
      </w:r>
      <w:proofErr w:type="spellStart"/>
      <w:r w:rsidRPr="00772FBD">
        <w:rPr>
          <w:sz w:val="28"/>
          <w:szCs w:val="28"/>
        </w:rPr>
        <w:t>відеозйомки</w:t>
      </w:r>
      <w:proofErr w:type="spellEnd"/>
      <w:r w:rsidRPr="00772FBD">
        <w:rPr>
          <w:sz w:val="28"/>
          <w:szCs w:val="28"/>
        </w:rPr>
        <w:t xml:space="preserve"> на робочому місці не є новим і суперечки довкола нього ведуться вже давно. Деякі політологи вважають що таку можливість відеоспостереження слід розуміти як «остаточне закріпачення українців».</w:t>
      </w:r>
      <w:r w:rsidR="00772FBD" w:rsidRPr="00772FBD">
        <w:rPr>
          <w:sz w:val="28"/>
          <w:szCs w:val="28"/>
        </w:rPr>
        <w:t>[</w:t>
      </w:r>
      <w:r w:rsidR="00772FBD" w:rsidRPr="00772FBD">
        <w:rPr>
          <w:sz w:val="28"/>
          <w:szCs w:val="28"/>
          <w:lang w:val="ru-RU"/>
        </w:rPr>
        <w:t>7</w:t>
      </w:r>
      <w:r w:rsidR="00772FBD" w:rsidRPr="00772FBD">
        <w:rPr>
          <w:sz w:val="28"/>
          <w:szCs w:val="28"/>
        </w:rPr>
        <w:t xml:space="preserve">] </w:t>
      </w:r>
      <w:r w:rsidRPr="00772FBD">
        <w:rPr>
          <w:sz w:val="28"/>
          <w:szCs w:val="28"/>
        </w:rPr>
        <w:t xml:space="preserve">До того ж у проекті не міститься обмежень щодо обмежень видів </w:t>
      </w:r>
      <w:proofErr w:type="gramStart"/>
      <w:r w:rsidRPr="00772FBD">
        <w:rPr>
          <w:sz w:val="28"/>
          <w:szCs w:val="28"/>
        </w:rPr>
        <w:t>техн</w:t>
      </w:r>
      <w:proofErr w:type="gramEnd"/>
      <w:r w:rsidRPr="00772FBD">
        <w:rPr>
          <w:sz w:val="28"/>
          <w:szCs w:val="28"/>
        </w:rPr>
        <w:t>ічних засобів та способів контролю за працівниками, а значить цю норму можна сприймати як таку, що «може стати основою для суттєвого обмеження свободи та інструментом постійного психо</w:t>
      </w:r>
      <w:r w:rsidR="00772FBD">
        <w:rPr>
          <w:sz w:val="28"/>
          <w:szCs w:val="28"/>
        </w:rPr>
        <w:t>логічного тиску на працівників»</w:t>
      </w:r>
      <w:r w:rsidR="00772FBD" w:rsidRPr="00772FBD">
        <w:rPr>
          <w:sz w:val="28"/>
          <w:szCs w:val="28"/>
          <w:lang w:val="ru-RU"/>
        </w:rPr>
        <w:t>.[7]</w:t>
      </w:r>
    </w:p>
    <w:p w:rsidR="00036D29" w:rsidRPr="00772FBD" w:rsidRDefault="006C496D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</w:rPr>
      </w:pPr>
      <w:r w:rsidRPr="00772FBD">
        <w:rPr>
          <w:sz w:val="28"/>
          <w:szCs w:val="28"/>
        </w:rPr>
        <w:t xml:space="preserve">Деякі ж дослідники пропонують на дану норму поглянути ширше і розуміти під «використанням технічних засобів» не лише камери </w:t>
      </w:r>
      <w:r w:rsidRPr="00772FBD">
        <w:rPr>
          <w:sz w:val="28"/>
          <w:szCs w:val="28"/>
        </w:rPr>
        <w:lastRenderedPageBreak/>
        <w:t>спостереження, а й диктофони, інструменти прослуховування та інші засоби. Окрім того, таким технічним засобом можна розуміти й сам робочий комп’ютер з його фіксуванням історії веб-браузерів, наприклад.</w:t>
      </w:r>
    </w:p>
    <w:p w:rsidR="006C496D" w:rsidRPr="00772FBD" w:rsidRDefault="006C496D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  <w:lang w:val="ru-RU"/>
        </w:rPr>
      </w:pPr>
      <w:r w:rsidRPr="00772FBD">
        <w:rPr>
          <w:sz w:val="28"/>
          <w:szCs w:val="28"/>
        </w:rPr>
        <w:t xml:space="preserve">Неповнота тексту даної норми простежується не лише в розмитості обсягу «технічних засобів», а й у формулюванні «особливості виробництва» при яких допускається такий вид контролю. Маємо на увазі, що зміст даної категорії невизначено законодавцем, а значить така нечіткість «є </w:t>
      </w:r>
      <w:r w:rsidR="00AB48C1" w:rsidRPr="00772FBD">
        <w:rPr>
          <w:sz w:val="28"/>
          <w:szCs w:val="28"/>
        </w:rPr>
        <w:t xml:space="preserve">не лише </w:t>
      </w:r>
      <w:r w:rsidRPr="00772FBD">
        <w:rPr>
          <w:sz w:val="28"/>
          <w:szCs w:val="28"/>
        </w:rPr>
        <w:t xml:space="preserve">підставою для зловживань, </w:t>
      </w:r>
      <w:r w:rsidR="00AB48C1" w:rsidRPr="00772FBD">
        <w:rPr>
          <w:sz w:val="28"/>
          <w:szCs w:val="28"/>
        </w:rPr>
        <w:t>а й платформою для невиправданого психологічного тиску на працівника.</w:t>
      </w:r>
      <w:r w:rsidR="00772FBD" w:rsidRPr="00772FBD">
        <w:rPr>
          <w:sz w:val="28"/>
          <w:szCs w:val="28"/>
          <w:lang w:val="ru-RU"/>
        </w:rPr>
        <w:t>[</w:t>
      </w:r>
      <w:proofErr w:type="gramStart"/>
      <w:r w:rsidR="00772FBD" w:rsidRPr="00772FBD">
        <w:rPr>
          <w:sz w:val="28"/>
          <w:szCs w:val="28"/>
          <w:lang w:val="ru-RU"/>
        </w:rPr>
        <w:t>8]</w:t>
      </w:r>
      <w:proofErr w:type="gramEnd"/>
    </w:p>
    <w:p w:rsidR="00AB48C1" w:rsidRPr="008D5852" w:rsidRDefault="00AB48C1" w:rsidP="006E7FB4">
      <w:pPr>
        <w:pStyle w:val="StyleZakonu"/>
        <w:spacing w:after="0" w:line="360" w:lineRule="auto"/>
        <w:ind w:firstLine="720"/>
        <w:contextualSpacing/>
        <w:rPr>
          <w:sz w:val="28"/>
          <w:szCs w:val="28"/>
          <w:lang w:val="ru-RU"/>
        </w:rPr>
      </w:pPr>
      <w:r w:rsidRPr="00772FBD">
        <w:rPr>
          <w:sz w:val="28"/>
          <w:szCs w:val="28"/>
        </w:rPr>
        <w:t xml:space="preserve">Отже, вважаємо, що новий ТКУ має бути побудований, передусім на верховенстві права та не може суперечити існуючим законодавчим актам. З існуючою нормою, що стосується контролю виконання працівниками трудових обов’язків із застосуванням технічних засобів, говоримо про порушення кількох людських </w:t>
      </w:r>
      <w:r w:rsidR="002C64D9" w:rsidRPr="00772FBD">
        <w:rPr>
          <w:sz w:val="28"/>
          <w:szCs w:val="28"/>
        </w:rPr>
        <w:t>прав, а також про колізію кількох пр</w:t>
      </w:r>
      <w:bookmarkStart w:id="0" w:name="_GoBack"/>
      <w:bookmarkEnd w:id="0"/>
      <w:r w:rsidR="002C64D9" w:rsidRPr="00772FBD">
        <w:rPr>
          <w:sz w:val="28"/>
          <w:szCs w:val="28"/>
        </w:rPr>
        <w:t>авових положень.</w:t>
      </w:r>
    </w:p>
    <w:p w:rsidR="00772FBD" w:rsidRPr="00772FBD" w:rsidRDefault="00772FBD" w:rsidP="00772FBD">
      <w:pPr>
        <w:pStyle w:val="1"/>
        <w:rPr>
          <w:lang w:val="uk-UA"/>
        </w:rPr>
      </w:pPr>
      <w:r w:rsidRPr="00772FBD">
        <w:t>СПИСОК ВИКОРИСТАНИХ ДЖЕРЕЛ</w:t>
      </w:r>
    </w:p>
    <w:p w:rsidR="00A95010" w:rsidRPr="00772FBD" w:rsidRDefault="00A95010" w:rsidP="006E7FB4">
      <w:pPr>
        <w:spacing w:line="360" w:lineRule="auto"/>
        <w:ind w:firstLine="708"/>
        <w:contextualSpacing/>
        <w:rPr>
          <w:szCs w:val="28"/>
          <w:lang w:val="uk-UA"/>
        </w:rPr>
      </w:pPr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r w:rsidRPr="00772FBD">
        <w:rPr>
          <w:rFonts w:cs="Times New Roman"/>
          <w:color w:val="000000" w:themeColor="text1"/>
          <w:sz w:val="28"/>
          <w:szCs w:val="28"/>
        </w:rPr>
        <w:t>К</w:t>
      </w:r>
      <w:proofErr w:type="gramStart"/>
      <w:r w:rsidRPr="00772FBD">
        <w:rPr>
          <w:rFonts w:cs="Times New Roman"/>
          <w:color w:val="000000" w:themeColor="text1"/>
          <w:sz w:val="28"/>
          <w:szCs w:val="28"/>
        </w:rPr>
        <w:t>o</w:t>
      </w:r>
      <w:proofErr w:type="gramEnd"/>
      <w:r w:rsidRPr="00772FBD">
        <w:rPr>
          <w:rFonts w:cs="Times New Roman"/>
          <w:color w:val="000000" w:themeColor="text1"/>
          <w:sz w:val="28"/>
          <w:szCs w:val="28"/>
        </w:rPr>
        <w:t>декс закoн</w:t>
      </w:r>
      <w:r>
        <w:rPr>
          <w:rFonts w:cs="Times New Roman"/>
          <w:color w:val="000000" w:themeColor="text1"/>
          <w:sz w:val="28"/>
          <w:szCs w:val="28"/>
        </w:rPr>
        <w:t>ів прo працю України [Текст]. </w:t>
      </w:r>
      <w:r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Суми</w:t>
      </w:r>
      <w:proofErr w:type="spellEnd"/>
      <w:proofErr w:type="gramStart"/>
      <w:r w:rsidRPr="00772FBD">
        <w:rPr>
          <w:rFonts w:cs="Times New Roman"/>
          <w:color w:val="000000" w:themeColor="text1"/>
          <w:sz w:val="28"/>
          <w:szCs w:val="28"/>
        </w:rPr>
        <w:t> :</w:t>
      </w:r>
      <w:proofErr w:type="gramEnd"/>
      <w:r w:rsidRPr="00772FBD">
        <w:rPr>
          <w:rFonts w:cs="Times New Roman"/>
          <w:color w:val="000000" w:themeColor="text1"/>
          <w:sz w:val="28"/>
          <w:szCs w:val="28"/>
        </w:rPr>
        <w:t> Ф</w:t>
      </w:r>
      <w:proofErr w:type="gramStart"/>
      <w:r w:rsidRPr="00772FBD">
        <w:rPr>
          <w:rFonts w:cs="Times New Roman"/>
          <w:color w:val="000000" w:themeColor="text1"/>
          <w:sz w:val="28"/>
          <w:szCs w:val="28"/>
        </w:rPr>
        <w:t>O</w:t>
      </w:r>
      <w:proofErr w:type="gramEnd"/>
      <w:r w:rsidRPr="00772FBD">
        <w:rPr>
          <w:rFonts w:cs="Times New Roman"/>
          <w:color w:val="000000" w:themeColor="text1"/>
          <w:sz w:val="28"/>
          <w:szCs w:val="28"/>
        </w:rPr>
        <w:t>П 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Сoкoлик</w:t>
      </w:r>
      <w:proofErr w:type="spellEnd"/>
      <w:r w:rsidRPr="00772FBD">
        <w:rPr>
          <w:rFonts w:cs="Times New Roman"/>
          <w:color w:val="000000" w:themeColor="text1"/>
          <w:sz w:val="28"/>
          <w:szCs w:val="28"/>
        </w:rPr>
        <w:t> Б. В., 2009. — 88 с.</w:t>
      </w:r>
      <w:r w:rsidRPr="00772FBD"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proofErr w:type="spellStart"/>
      <w:r w:rsidRPr="00772FBD"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  <w:t>Задорожній</w:t>
      </w:r>
      <w:proofErr w:type="spellEnd"/>
      <w:r w:rsidRPr="00772FBD"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  <w:t xml:space="preserve"> О. В., </w:t>
      </w:r>
      <w:proofErr w:type="spellStart"/>
      <w:r w:rsidRPr="00772FBD"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  <w:t>Буткевич</w:t>
      </w:r>
      <w:proofErr w:type="spellEnd"/>
      <w:r w:rsidRPr="00772FBD">
        <w:rPr>
          <w:rFonts w:cs="Times New Roman"/>
          <w:iCs/>
          <w:color w:val="000000" w:themeColor="text1"/>
          <w:sz w:val="28"/>
          <w:szCs w:val="28"/>
          <w:shd w:val="clear" w:color="auto" w:fill="FFFFFF"/>
        </w:rPr>
        <w:t xml:space="preserve"> О. В.</w:t>
      </w:r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Європейська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конвенція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про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захист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прав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людини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і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основних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свобод // 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fldChar w:fldCharType="begin"/>
      </w:r>
      <w:r w:rsidRPr="00772FBD">
        <w:rPr>
          <w:rFonts w:cs="Times New Roman"/>
          <w:color w:val="000000" w:themeColor="text1"/>
          <w:sz w:val="28"/>
          <w:szCs w:val="28"/>
        </w:rPr>
        <w:instrText xml:space="preserve"> HYPERLINK "https://uk.wikipedia.org/wiki/%D0%A3%D0%BA%D1%80%D0%B0%D1%97%D0%BD%D1%81%D1%8C%D0%BA%D0%B0_%D0%B4%D0%B8%D0%BF%D0%BB%D0%BE%D0%BC%D0%B0%D1%82%D0%B8%D1%87%D0%BD%D0%B0_%D0%B5%D0%BD%D1%86%D0%B8%D0%BA%D0%BB%D0%BE%D0%BF%D0%B5%D0%B4%D1%96%D1%8F" \o "Українська дипломатична енциклопедія" </w:instrText>
      </w:r>
      <w:r w:rsidRPr="00772FBD">
        <w:rPr>
          <w:rFonts w:cs="Times New Roman"/>
          <w:color w:val="000000" w:themeColor="text1"/>
          <w:sz w:val="28"/>
          <w:szCs w:val="28"/>
        </w:rPr>
        <w:fldChar w:fldCharType="separate"/>
      </w:r>
      <w:r w:rsidRPr="00772FBD">
        <w:rPr>
          <w:rStyle w:val="a6"/>
          <w:rFonts w:cs="Times New Roman"/>
          <w:color w:val="000000" w:themeColor="text1"/>
          <w:sz w:val="28"/>
          <w:szCs w:val="28"/>
          <w:shd w:val="clear" w:color="auto" w:fill="FFFFFF"/>
        </w:rPr>
        <w:t>Українська</w:t>
      </w:r>
      <w:proofErr w:type="spellEnd"/>
      <w:r w:rsidRPr="00772FBD">
        <w:rPr>
          <w:rStyle w:val="a6"/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дипломатична </w:t>
      </w:r>
      <w:proofErr w:type="spellStart"/>
      <w:r w:rsidRPr="00772FBD">
        <w:rPr>
          <w:rStyle w:val="a6"/>
          <w:rFonts w:cs="Times New Roman"/>
          <w:color w:val="000000" w:themeColor="text1"/>
          <w:sz w:val="28"/>
          <w:szCs w:val="28"/>
          <w:shd w:val="clear" w:color="auto" w:fill="FFFFFF"/>
        </w:rPr>
        <w:t>енциклопедія</w:t>
      </w:r>
      <w:proofErr w:type="spellEnd"/>
      <w:r w:rsidRPr="00772FBD">
        <w:rPr>
          <w:rFonts w:cs="Times New Roman"/>
          <w:color w:val="000000" w:themeColor="text1"/>
          <w:sz w:val="28"/>
          <w:szCs w:val="28"/>
        </w:rPr>
        <w:fldChar w:fldCharType="end"/>
      </w:r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 : у 2-х т. /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редкол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.: Л. В. 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Губерський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(голова) та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ін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. — К. :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Знання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Pr="00772FBD">
        <w:rPr>
          <w:rFonts w:cs="Times New Roman"/>
          <w:color w:val="000000" w:themeColor="text1"/>
          <w:sz w:val="28"/>
          <w:szCs w:val="28"/>
          <w:shd w:val="clear" w:color="auto" w:fill="FFFFFF"/>
        </w:rPr>
        <w:t>, 2004. — Т. 1. — 760 с.</w:t>
      </w:r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r w:rsidRP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>Конституція України</w:t>
      </w:r>
      <w:r w:rsid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 xml:space="preserve"> від </w:t>
      </w:r>
      <w:r w:rsidR="00AD0394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>28.06.1996 №254к/96-ВР</w:t>
      </w:r>
      <w:r w:rsidRP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D0394">
        <w:rPr>
          <w:rFonts w:cs="Times New Roman"/>
          <w:color w:val="000000" w:themeColor="text1"/>
          <w:sz w:val="28"/>
          <w:szCs w:val="28"/>
        </w:rPr>
        <w:t>[Еле</w:t>
      </w:r>
      <w:r w:rsidR="00AD0394">
        <w:rPr>
          <w:rFonts w:cs="Times New Roman"/>
          <w:color w:val="000000" w:themeColor="text1"/>
          <w:sz w:val="28"/>
          <w:szCs w:val="28"/>
          <w:lang w:val="uk-UA"/>
        </w:rPr>
        <w:t>к</w:t>
      </w:r>
      <w:proofErr w:type="spellStart"/>
      <w:r w:rsidR="00AD0394" w:rsidRPr="00772FBD">
        <w:rPr>
          <w:rFonts w:cs="Times New Roman"/>
          <w:color w:val="000000" w:themeColor="text1"/>
          <w:sz w:val="28"/>
          <w:szCs w:val="28"/>
        </w:rPr>
        <w:t>тронний</w:t>
      </w:r>
      <w:proofErr w:type="spellEnd"/>
      <w:r w:rsidR="00AD0394" w:rsidRPr="00772FBD">
        <w:rPr>
          <w:rFonts w:cs="Times New Roman"/>
          <w:color w:val="000000" w:themeColor="text1"/>
          <w:sz w:val="28"/>
          <w:szCs w:val="28"/>
        </w:rPr>
        <w:t xml:space="preserve"> ресурс]</w:t>
      </w:r>
      <w:r w:rsidRP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>//</w:t>
      </w:r>
      <w:r w:rsidR="008D5852" w:rsidRP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 xml:space="preserve"> Відомості Верховної Ради </w:t>
      </w:r>
      <w:r w:rsid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>21.02.2019</w:t>
      </w:r>
      <w:r w:rsidRPr="008D5852">
        <w:rPr>
          <w:rFonts w:eastAsia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AD0394" w:rsidRPr="00772FBD">
        <w:rPr>
          <w:rFonts w:cs="Times New Roman"/>
          <w:color w:val="000000" w:themeColor="text1"/>
          <w:sz w:val="28"/>
          <w:szCs w:val="28"/>
        </w:rPr>
        <w:t>– Режим доступу:</w:t>
      </w:r>
      <w:r w:rsidR="00AD0394">
        <w:rPr>
          <w:rFonts w:cs="Times New Roman"/>
          <w:color w:val="000000" w:themeColor="text1"/>
          <w:sz w:val="28"/>
          <w:szCs w:val="28"/>
          <w:lang w:val="uk-UA"/>
        </w:rPr>
        <w:t xml:space="preserve"> </w:t>
      </w:r>
      <w:hyperlink r:id="rId9" w:history="1">
        <w:r w:rsidR="00AD0394">
          <w:rPr>
            <w:rStyle w:val="a6"/>
          </w:rPr>
          <w:t>https://zakon.rada.gov.ua/laws/show/254%D0%BA/96-%D0%B2%D1%80</w:t>
        </w:r>
      </w:hyperlink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Цивільний</w:t>
      </w:r>
      <w:proofErr w:type="spellEnd"/>
      <w:r w:rsidRPr="00772FBD">
        <w:rPr>
          <w:rFonts w:cs="Times New Roman"/>
          <w:color w:val="000000" w:themeColor="text1"/>
          <w:sz w:val="28"/>
          <w:szCs w:val="28"/>
        </w:rPr>
        <w:t xml:space="preserve"> кодекс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Украї</w:t>
      </w:r>
      <w:r w:rsidR="008D5852">
        <w:rPr>
          <w:rFonts w:cs="Times New Roman"/>
          <w:color w:val="000000" w:themeColor="text1"/>
          <w:sz w:val="28"/>
          <w:szCs w:val="28"/>
        </w:rPr>
        <w:t>ни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8D5852">
        <w:rPr>
          <w:rFonts w:cs="Times New Roman"/>
          <w:color w:val="000000" w:themeColor="text1"/>
          <w:sz w:val="28"/>
          <w:szCs w:val="28"/>
        </w:rPr>
        <w:t>від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16.01.2003 № 435-IV [Еле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к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тронний</w:t>
      </w:r>
      <w:proofErr w:type="spellEnd"/>
      <w:r w:rsidRPr="00772FBD">
        <w:rPr>
          <w:rFonts w:cs="Times New Roman"/>
          <w:color w:val="000000" w:themeColor="text1"/>
          <w:sz w:val="28"/>
          <w:szCs w:val="28"/>
        </w:rPr>
        <w:t xml:space="preserve"> ресурс]//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Ві</w:t>
      </w:r>
      <w:r w:rsidR="008D5852">
        <w:rPr>
          <w:rFonts w:cs="Times New Roman"/>
          <w:color w:val="000000" w:themeColor="text1"/>
          <w:sz w:val="28"/>
          <w:szCs w:val="28"/>
        </w:rPr>
        <w:t>домості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8D5852">
        <w:rPr>
          <w:rFonts w:cs="Times New Roman"/>
          <w:color w:val="000000" w:themeColor="text1"/>
          <w:sz w:val="28"/>
          <w:szCs w:val="28"/>
        </w:rPr>
        <w:t>Верховно</w:t>
      </w:r>
      <w:proofErr w:type="gramStart"/>
      <w:r w:rsidR="008D5852">
        <w:rPr>
          <w:rFonts w:cs="Times New Roman"/>
          <w:color w:val="000000" w:themeColor="text1"/>
          <w:sz w:val="28"/>
          <w:szCs w:val="28"/>
        </w:rPr>
        <w:t>ї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Р</w:t>
      </w:r>
      <w:proofErr w:type="gramEnd"/>
      <w:r w:rsidR="008D5852">
        <w:rPr>
          <w:rFonts w:cs="Times New Roman"/>
          <w:color w:val="000000" w:themeColor="text1"/>
          <w:sz w:val="28"/>
          <w:szCs w:val="28"/>
        </w:rPr>
        <w:t xml:space="preserve">ади </w:t>
      </w:r>
      <w:proofErr w:type="spellStart"/>
      <w:r w:rsidR="008D5852">
        <w:rPr>
          <w:rFonts w:cs="Times New Roman"/>
          <w:color w:val="000000" w:themeColor="text1"/>
          <w:sz w:val="28"/>
          <w:szCs w:val="28"/>
        </w:rPr>
        <w:t>України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02</w:t>
      </w:r>
      <w:r w:rsidR="008D5852">
        <w:rPr>
          <w:rFonts w:cs="Times New Roman"/>
          <w:color w:val="000000" w:themeColor="text1"/>
          <w:sz w:val="28"/>
          <w:szCs w:val="28"/>
        </w:rPr>
        <w:t>.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11</w:t>
      </w:r>
      <w:r w:rsidR="008D5852">
        <w:rPr>
          <w:rFonts w:cs="Times New Roman"/>
          <w:color w:val="000000" w:themeColor="text1"/>
          <w:sz w:val="28"/>
          <w:szCs w:val="28"/>
        </w:rPr>
        <w:t>.201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9</w:t>
      </w:r>
      <w:r w:rsidRPr="00772FBD">
        <w:rPr>
          <w:rFonts w:cs="Times New Roman"/>
          <w:color w:val="000000" w:themeColor="text1"/>
          <w:sz w:val="28"/>
          <w:szCs w:val="28"/>
        </w:rPr>
        <w:t xml:space="preserve"> – Режим доступу: </w:t>
      </w:r>
      <w:hyperlink r:id="rId10" w:history="1">
        <w:r w:rsidRPr="00772FBD">
          <w:rPr>
            <w:rStyle w:val="a6"/>
            <w:rFonts w:cs="Times New Roman"/>
            <w:sz w:val="28"/>
            <w:szCs w:val="28"/>
          </w:rPr>
          <w:t>http://zakon2.rada.gov.ua/laws/show/435-15/conv/page</w:t>
        </w:r>
      </w:hyperlink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r w:rsidRPr="00772FBD">
        <w:rPr>
          <w:rFonts w:cs="Times New Roman"/>
          <w:color w:val="000000" w:themeColor="text1"/>
          <w:sz w:val="28"/>
          <w:szCs w:val="28"/>
        </w:rPr>
        <w:lastRenderedPageBreak/>
        <w:t xml:space="preserve">Закон </w:t>
      </w:r>
      <w:proofErr w:type="spellStart"/>
      <w:r w:rsidRPr="00772FBD">
        <w:rPr>
          <w:rFonts w:cs="Times New Roman"/>
          <w:color w:val="000000" w:themeColor="text1"/>
          <w:sz w:val="28"/>
          <w:szCs w:val="28"/>
        </w:rPr>
        <w:t>України</w:t>
      </w:r>
      <w:proofErr w:type="spellEnd"/>
      <w:r w:rsidRPr="00772FBD">
        <w:rPr>
          <w:rFonts w:cs="Times New Roman"/>
          <w:color w:val="000000" w:themeColor="text1"/>
          <w:sz w:val="28"/>
          <w:szCs w:val="28"/>
        </w:rPr>
        <w:t xml:space="preserve"> "Пр</w:t>
      </w:r>
      <w:r w:rsidR="008D5852">
        <w:rPr>
          <w:rFonts w:cs="Times New Roman"/>
          <w:color w:val="000000" w:themeColor="text1"/>
          <w:sz w:val="28"/>
          <w:szCs w:val="28"/>
        </w:rPr>
        <w:t xml:space="preserve">о </w:t>
      </w:r>
      <w:proofErr w:type="spellStart"/>
      <w:r w:rsidR="008D5852">
        <w:rPr>
          <w:rFonts w:cs="Times New Roman"/>
          <w:color w:val="000000" w:themeColor="text1"/>
          <w:sz w:val="28"/>
          <w:szCs w:val="28"/>
        </w:rPr>
        <w:t>захист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8D5852">
        <w:rPr>
          <w:rFonts w:cs="Times New Roman"/>
          <w:color w:val="000000" w:themeColor="text1"/>
          <w:sz w:val="28"/>
          <w:szCs w:val="28"/>
        </w:rPr>
        <w:t>персональних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 </w:t>
      </w:r>
      <w:proofErr w:type="spellStart"/>
      <w:r w:rsidR="008D5852">
        <w:rPr>
          <w:rFonts w:cs="Times New Roman"/>
          <w:color w:val="000000" w:themeColor="text1"/>
          <w:sz w:val="28"/>
          <w:szCs w:val="28"/>
        </w:rPr>
        <w:t>даних</w:t>
      </w:r>
      <w:proofErr w:type="spellEnd"/>
      <w:r w:rsidR="008D5852">
        <w:rPr>
          <w:rFonts w:cs="Times New Roman"/>
          <w:color w:val="000000" w:themeColor="text1"/>
          <w:sz w:val="28"/>
          <w:szCs w:val="28"/>
        </w:rPr>
        <w:t xml:space="preserve">" 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за редакцією від</w:t>
      </w:r>
      <w:r w:rsidR="008D5852">
        <w:rPr>
          <w:rFonts w:cs="Times New Roman"/>
          <w:color w:val="000000" w:themeColor="text1"/>
          <w:sz w:val="28"/>
          <w:szCs w:val="28"/>
        </w:rPr>
        <w:t xml:space="preserve"> 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30</w:t>
      </w:r>
      <w:r w:rsidR="008D5852">
        <w:rPr>
          <w:rFonts w:cs="Times New Roman"/>
          <w:color w:val="000000" w:themeColor="text1"/>
          <w:sz w:val="28"/>
          <w:szCs w:val="28"/>
        </w:rPr>
        <w:t>.0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1</w:t>
      </w:r>
      <w:r w:rsidR="008D5852">
        <w:rPr>
          <w:rFonts w:cs="Times New Roman"/>
          <w:color w:val="000000" w:themeColor="text1"/>
          <w:sz w:val="28"/>
          <w:szCs w:val="28"/>
        </w:rPr>
        <w:t>.201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>8</w:t>
      </w:r>
      <w:r w:rsidRPr="00772FBD">
        <w:rPr>
          <w:rFonts w:cs="Times New Roman"/>
          <w:color w:val="000000" w:themeColor="text1"/>
          <w:sz w:val="28"/>
          <w:szCs w:val="28"/>
        </w:rPr>
        <w:t xml:space="preserve"> р. </w:t>
      </w:r>
      <w:r w:rsidR="008D5852">
        <w:rPr>
          <w:rFonts w:cs="Times New Roman"/>
          <w:color w:val="000000" w:themeColor="text1"/>
          <w:sz w:val="28"/>
          <w:szCs w:val="28"/>
          <w:lang w:val="uk-UA"/>
        </w:rPr>
        <w:t xml:space="preserve">/ Верховна Рада України. – </w:t>
      </w:r>
      <w:proofErr w:type="spellStart"/>
      <w:r w:rsidR="008D5852">
        <w:rPr>
          <w:rFonts w:cs="Times New Roman"/>
          <w:color w:val="000000" w:themeColor="text1"/>
          <w:sz w:val="28"/>
          <w:szCs w:val="28"/>
          <w:lang w:val="uk-UA"/>
        </w:rPr>
        <w:t>Офіц.Вид</w:t>
      </w:r>
      <w:proofErr w:type="spellEnd"/>
      <w:r w:rsidR="008D5852">
        <w:rPr>
          <w:rFonts w:cs="Times New Roman"/>
          <w:color w:val="000000" w:themeColor="text1"/>
          <w:sz w:val="28"/>
          <w:szCs w:val="28"/>
          <w:lang w:val="uk-UA"/>
        </w:rPr>
        <w:t xml:space="preserve">. Київ: </w:t>
      </w:r>
      <w:proofErr w:type="spellStart"/>
      <w:r w:rsidR="008D5852">
        <w:rPr>
          <w:rFonts w:cs="Times New Roman"/>
          <w:color w:val="000000" w:themeColor="text1"/>
          <w:sz w:val="28"/>
          <w:szCs w:val="28"/>
          <w:lang w:val="uk-UA"/>
        </w:rPr>
        <w:t>Парлам</w:t>
      </w:r>
      <w:proofErr w:type="spellEnd"/>
      <w:r w:rsidR="008D5852">
        <w:rPr>
          <w:rFonts w:cs="Times New Roman"/>
          <w:color w:val="000000" w:themeColor="text1"/>
          <w:sz w:val="28"/>
          <w:szCs w:val="28"/>
          <w:lang w:val="uk-UA"/>
        </w:rPr>
        <w:t xml:space="preserve"> Вид-во, 2019</w:t>
      </w:r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r w:rsidRPr="00772FBD">
        <w:rPr>
          <w:rStyle w:val="a8"/>
          <w:rFonts w:cs="Times New Roman"/>
          <w:i w:val="0"/>
          <w:color w:val="000000" w:themeColor="text1"/>
          <w:sz w:val="28"/>
          <w:szCs w:val="28"/>
          <w:shd w:val="clear" w:color="auto" w:fill="FCFCFC"/>
          <w:lang w:val="uk-UA"/>
        </w:rPr>
        <w:t xml:space="preserve">Рішення Конституційного Суду України у справі за конституційним поданням </w:t>
      </w:r>
      <w:proofErr w:type="spellStart"/>
      <w:r w:rsidRPr="00772FBD">
        <w:rPr>
          <w:rStyle w:val="a8"/>
          <w:rFonts w:cs="Times New Roman"/>
          <w:i w:val="0"/>
          <w:color w:val="000000" w:themeColor="text1"/>
          <w:sz w:val="28"/>
          <w:szCs w:val="28"/>
          <w:shd w:val="clear" w:color="auto" w:fill="FCFCFC"/>
          <w:lang w:val="uk-UA"/>
        </w:rPr>
        <w:t>Жашківської</w:t>
      </w:r>
      <w:proofErr w:type="spellEnd"/>
      <w:r w:rsidRPr="00772FBD">
        <w:rPr>
          <w:rStyle w:val="a8"/>
          <w:rFonts w:cs="Times New Roman"/>
          <w:i w:val="0"/>
          <w:color w:val="000000" w:themeColor="text1"/>
          <w:sz w:val="28"/>
          <w:szCs w:val="28"/>
          <w:shd w:val="clear" w:color="auto" w:fill="FCFCFC"/>
          <w:lang w:val="uk-UA"/>
        </w:rPr>
        <w:t xml:space="preserve"> районної ради Черкаської області щодо офіційного тлумачення положень частин першої, другої статті 32, частин другої, третьої статті 34 Конституції України від 20 січня 2012 року № 2-рп/2012</w:t>
      </w:r>
      <w:hyperlink r:id="rId11" w:tgtFrame="_blank" w:history="1">
        <w:r w:rsidRPr="00772FBD">
          <w:rPr>
            <w:rStyle w:val="a6"/>
            <w:rFonts w:cs="Times New Roman"/>
            <w:i/>
            <w:iCs/>
            <w:color w:val="000000" w:themeColor="text1"/>
            <w:sz w:val="28"/>
            <w:szCs w:val="28"/>
          </w:rPr>
          <w:t> </w:t>
        </w:r>
        <w:r w:rsidRPr="00772FBD">
          <w:rPr>
            <w:rStyle w:val="a9"/>
            <w:rFonts w:cs="Times New Roman"/>
            <w:i/>
            <w:iCs/>
            <w:color w:val="000000" w:themeColor="text1"/>
            <w:sz w:val="28"/>
            <w:szCs w:val="28"/>
            <w:lang w:val="uk-UA"/>
          </w:rPr>
          <w:t>№ 2-рп/2012</w:t>
        </w:r>
      </w:hyperlink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r w:rsidRPr="00772FBD">
        <w:rPr>
          <w:rFonts w:cs="Times New Roman"/>
          <w:color w:val="000000" w:themeColor="text1"/>
          <w:sz w:val="28"/>
          <w:szCs w:val="28"/>
          <w:lang w:val="uk-UA"/>
        </w:rPr>
        <w:t xml:space="preserve">Проект Трудового кодексу: як олігархи хочуть закріпачити українців. Електронний ресурс. – </w:t>
      </w:r>
      <w:r w:rsidRPr="00772FBD">
        <w:rPr>
          <w:rFonts w:cs="Times New Roman"/>
          <w:color w:val="000000" w:themeColor="text1"/>
          <w:sz w:val="28"/>
          <w:szCs w:val="28"/>
        </w:rPr>
        <w:t>[</w:t>
      </w:r>
      <w:r w:rsidRPr="00772FBD">
        <w:rPr>
          <w:rFonts w:cs="Times New Roman"/>
          <w:color w:val="000000" w:themeColor="text1"/>
          <w:sz w:val="28"/>
          <w:szCs w:val="28"/>
          <w:lang w:val="uk-UA"/>
        </w:rPr>
        <w:t>Режим доступу</w:t>
      </w:r>
      <w:r w:rsidRPr="00772FBD">
        <w:rPr>
          <w:rFonts w:cs="Times New Roman"/>
          <w:color w:val="000000" w:themeColor="text1"/>
          <w:sz w:val="28"/>
          <w:szCs w:val="28"/>
        </w:rPr>
        <w:t>]</w:t>
      </w:r>
      <w:r w:rsidRPr="00772FBD">
        <w:rPr>
          <w:rFonts w:cs="Times New Roman"/>
          <w:color w:val="000000" w:themeColor="text1"/>
          <w:sz w:val="28"/>
          <w:szCs w:val="28"/>
          <w:lang w:val="uk-UA"/>
        </w:rPr>
        <w:t xml:space="preserve">: </w:t>
      </w:r>
      <w:hyperlink r:id="rId12" w:history="1">
        <w:r w:rsidRPr="00772FBD">
          <w:rPr>
            <w:rStyle w:val="a6"/>
            <w:rFonts w:cs="Times New Roman"/>
            <w:sz w:val="28"/>
            <w:szCs w:val="28"/>
          </w:rPr>
          <w:t>https://blogs.pravda.com.ua/authors/tiahnybok/58c8f2efb8b8d/</w:t>
        </w:r>
      </w:hyperlink>
    </w:p>
    <w:p w:rsidR="00772FBD" w:rsidRPr="00772FBD" w:rsidRDefault="00772FBD" w:rsidP="00772FBD">
      <w:pPr>
        <w:pStyle w:val="a3"/>
        <w:numPr>
          <w:ilvl w:val="0"/>
          <w:numId w:val="2"/>
        </w:numPr>
        <w:spacing w:line="360" w:lineRule="auto"/>
        <w:contextualSpacing/>
        <w:rPr>
          <w:rFonts w:cs="Times New Roman"/>
          <w:color w:val="000000" w:themeColor="text1"/>
          <w:sz w:val="28"/>
          <w:szCs w:val="28"/>
          <w:lang w:val="uk-UA"/>
        </w:rPr>
      </w:pPr>
      <w:r w:rsidRPr="00772FBD">
        <w:rPr>
          <w:rFonts w:cs="Times New Roman"/>
          <w:color w:val="000000" w:themeColor="text1"/>
          <w:sz w:val="28"/>
          <w:szCs w:val="28"/>
          <w:lang w:val="uk-UA"/>
        </w:rPr>
        <w:t xml:space="preserve">Новий трудовий кодекс: головні плюси та мінуси. Електронний ресурс. – </w:t>
      </w:r>
      <w:r w:rsidRPr="00772FBD">
        <w:rPr>
          <w:rFonts w:cs="Times New Roman"/>
          <w:color w:val="000000" w:themeColor="text1"/>
          <w:sz w:val="28"/>
          <w:szCs w:val="28"/>
        </w:rPr>
        <w:t>[</w:t>
      </w:r>
      <w:r w:rsidRPr="00772FBD">
        <w:rPr>
          <w:rFonts w:cs="Times New Roman"/>
          <w:color w:val="000000" w:themeColor="text1"/>
          <w:sz w:val="28"/>
          <w:szCs w:val="28"/>
          <w:lang w:val="uk-UA"/>
        </w:rPr>
        <w:t>Режим доступу</w:t>
      </w:r>
      <w:r w:rsidRPr="00772FBD">
        <w:rPr>
          <w:rFonts w:cs="Times New Roman"/>
          <w:color w:val="000000" w:themeColor="text1"/>
          <w:sz w:val="28"/>
          <w:szCs w:val="28"/>
        </w:rPr>
        <w:t>]</w:t>
      </w:r>
      <w:r w:rsidRPr="00772FBD">
        <w:rPr>
          <w:rFonts w:cs="Times New Roman"/>
          <w:color w:val="000000" w:themeColor="text1"/>
          <w:sz w:val="28"/>
          <w:szCs w:val="28"/>
          <w:lang w:val="uk-UA"/>
        </w:rPr>
        <w:t xml:space="preserve">: </w:t>
      </w:r>
      <w:r w:rsidRPr="00772FBD">
        <w:rPr>
          <w:rFonts w:cs="Times New Roman"/>
          <w:color w:val="000000" w:themeColor="text1"/>
          <w:sz w:val="28"/>
          <w:szCs w:val="28"/>
        </w:rPr>
        <w:t>https://tsn.ua/blogi/themes/law/noviy-trudoviy-kodeks-golovni-plyusi-ta-minusi-939033.html</w:t>
      </w:r>
    </w:p>
    <w:p w:rsidR="00772FBD" w:rsidRPr="00772FBD" w:rsidRDefault="00772FBD" w:rsidP="006E7FB4">
      <w:pPr>
        <w:spacing w:line="360" w:lineRule="auto"/>
        <w:ind w:firstLine="708"/>
        <w:contextualSpacing/>
        <w:rPr>
          <w:szCs w:val="28"/>
        </w:rPr>
      </w:pPr>
    </w:p>
    <w:p w:rsidR="00662D3E" w:rsidRPr="00772FBD" w:rsidRDefault="00662D3E" w:rsidP="006E7FB4">
      <w:pPr>
        <w:spacing w:line="360" w:lineRule="auto"/>
        <w:ind w:firstLine="708"/>
        <w:contextualSpacing/>
        <w:rPr>
          <w:szCs w:val="28"/>
          <w:lang w:val="uk-UA"/>
        </w:rPr>
      </w:pPr>
    </w:p>
    <w:p w:rsidR="00662D3E" w:rsidRPr="00772FBD" w:rsidRDefault="00662D3E" w:rsidP="006E7FB4">
      <w:pPr>
        <w:spacing w:line="360" w:lineRule="auto"/>
        <w:ind w:firstLine="708"/>
        <w:contextualSpacing/>
        <w:rPr>
          <w:szCs w:val="28"/>
          <w:lang w:val="uk-UA"/>
        </w:rPr>
      </w:pPr>
    </w:p>
    <w:p w:rsidR="00662D3E" w:rsidRPr="00772FBD" w:rsidRDefault="00662D3E" w:rsidP="006E7FB4">
      <w:pPr>
        <w:spacing w:line="360" w:lineRule="auto"/>
        <w:ind w:firstLine="708"/>
        <w:contextualSpacing/>
        <w:rPr>
          <w:szCs w:val="28"/>
          <w:lang w:val="uk-UA"/>
        </w:rPr>
      </w:pPr>
    </w:p>
    <w:p w:rsidR="00662D3E" w:rsidRPr="00772FBD" w:rsidRDefault="00662D3E" w:rsidP="0059256B">
      <w:pPr>
        <w:spacing w:line="360" w:lineRule="auto"/>
        <w:contextualSpacing/>
        <w:rPr>
          <w:szCs w:val="28"/>
          <w:lang w:val="uk-UA"/>
        </w:rPr>
      </w:pPr>
    </w:p>
    <w:sectPr w:rsidR="00662D3E" w:rsidRPr="00772FBD" w:rsidSect="00772F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7B6" w:rsidRDefault="007147B6" w:rsidP="00FA4310">
      <w:pPr>
        <w:spacing w:line="240" w:lineRule="auto"/>
      </w:pPr>
      <w:r>
        <w:separator/>
      </w:r>
    </w:p>
  </w:endnote>
  <w:endnote w:type="continuationSeparator" w:id="0">
    <w:p w:rsidR="007147B6" w:rsidRDefault="007147B6" w:rsidP="00FA4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7B6" w:rsidRDefault="007147B6" w:rsidP="00FA4310">
      <w:pPr>
        <w:spacing w:line="240" w:lineRule="auto"/>
      </w:pPr>
      <w:r>
        <w:separator/>
      </w:r>
    </w:p>
  </w:footnote>
  <w:footnote w:type="continuationSeparator" w:id="0">
    <w:p w:rsidR="007147B6" w:rsidRDefault="007147B6" w:rsidP="00FA431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0061F"/>
    <w:multiLevelType w:val="hybridMultilevel"/>
    <w:tmpl w:val="01E03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C7244"/>
    <w:multiLevelType w:val="hybridMultilevel"/>
    <w:tmpl w:val="4A7ABB02"/>
    <w:lvl w:ilvl="0" w:tplc="4C70CF1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51"/>
    <w:rsid w:val="00015E20"/>
    <w:rsid w:val="00036D29"/>
    <w:rsid w:val="001D1C95"/>
    <w:rsid w:val="002C64D9"/>
    <w:rsid w:val="002E586F"/>
    <w:rsid w:val="003456B7"/>
    <w:rsid w:val="003D2EC7"/>
    <w:rsid w:val="003F684B"/>
    <w:rsid w:val="0059256B"/>
    <w:rsid w:val="00662D3E"/>
    <w:rsid w:val="006C496D"/>
    <w:rsid w:val="006D03ED"/>
    <w:rsid w:val="006E7FB4"/>
    <w:rsid w:val="007147B6"/>
    <w:rsid w:val="00772FBD"/>
    <w:rsid w:val="00836251"/>
    <w:rsid w:val="008D5852"/>
    <w:rsid w:val="00932E65"/>
    <w:rsid w:val="00A95010"/>
    <w:rsid w:val="00AB48C1"/>
    <w:rsid w:val="00AD0394"/>
    <w:rsid w:val="00B8389D"/>
    <w:rsid w:val="00BE636C"/>
    <w:rsid w:val="00C50E84"/>
    <w:rsid w:val="00DF42E4"/>
    <w:rsid w:val="00E37139"/>
    <w:rsid w:val="00F22234"/>
    <w:rsid w:val="00F909BB"/>
    <w:rsid w:val="00FA4310"/>
    <w:rsid w:val="00FD4C39"/>
    <w:rsid w:val="00FE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C7"/>
    <w:pPr>
      <w:spacing w:after="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5E2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E2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footnote text"/>
    <w:basedOn w:val="a"/>
    <w:link w:val="a4"/>
    <w:uiPriority w:val="99"/>
    <w:unhideWhenUsed/>
    <w:rsid w:val="00FA4310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A4310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4310"/>
    <w:rPr>
      <w:vertAlign w:val="superscript"/>
    </w:rPr>
  </w:style>
  <w:style w:type="paragraph" w:customStyle="1" w:styleId="StyleZakonu">
    <w:name w:val="StyleZakonu"/>
    <w:basedOn w:val="a"/>
    <w:link w:val="StyleZakonu0"/>
    <w:rsid w:val="006E7FB4"/>
    <w:pPr>
      <w:spacing w:after="60" w:line="220" w:lineRule="exact"/>
      <w:ind w:firstLine="284"/>
    </w:pPr>
    <w:rPr>
      <w:rFonts w:eastAsia="Times New Roman" w:cs="Times New Roman"/>
      <w:sz w:val="20"/>
      <w:szCs w:val="20"/>
      <w:lang w:val="uk-UA" w:eastAsia="ru-RU"/>
    </w:rPr>
  </w:style>
  <w:style w:type="character" w:customStyle="1" w:styleId="StyleZakonu0">
    <w:name w:val="StyleZakonu Знак"/>
    <w:link w:val="StyleZakonu"/>
    <w:locked/>
    <w:rsid w:val="006E7FB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FE0E2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9256B"/>
    <w:pPr>
      <w:spacing w:after="200"/>
      <w:ind w:left="720"/>
      <w:contextualSpacing/>
      <w:jc w:val="left"/>
    </w:pPr>
    <w:rPr>
      <w:rFonts w:asciiTheme="minorHAnsi" w:eastAsia="SimSun" w:hAnsiTheme="minorHAnsi"/>
      <w:sz w:val="22"/>
    </w:rPr>
  </w:style>
  <w:style w:type="character" w:styleId="a8">
    <w:name w:val="Emphasis"/>
    <w:basedOn w:val="a0"/>
    <w:uiPriority w:val="20"/>
    <w:qFormat/>
    <w:rsid w:val="0059256B"/>
    <w:rPr>
      <w:i/>
      <w:iCs/>
    </w:rPr>
  </w:style>
  <w:style w:type="character" w:styleId="a9">
    <w:name w:val="Strong"/>
    <w:basedOn w:val="a0"/>
    <w:uiPriority w:val="22"/>
    <w:qFormat/>
    <w:rsid w:val="005925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EC7"/>
    <w:pPr>
      <w:spacing w:after="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5E2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5E20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a3">
    <w:name w:val="footnote text"/>
    <w:basedOn w:val="a"/>
    <w:link w:val="a4"/>
    <w:uiPriority w:val="99"/>
    <w:unhideWhenUsed/>
    <w:rsid w:val="00FA4310"/>
    <w:pPr>
      <w:spacing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A4310"/>
    <w:rPr>
      <w:rFonts w:ascii="Times New Roman" w:hAnsi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FA4310"/>
    <w:rPr>
      <w:vertAlign w:val="superscript"/>
    </w:rPr>
  </w:style>
  <w:style w:type="paragraph" w:customStyle="1" w:styleId="StyleZakonu">
    <w:name w:val="StyleZakonu"/>
    <w:basedOn w:val="a"/>
    <w:link w:val="StyleZakonu0"/>
    <w:rsid w:val="006E7FB4"/>
    <w:pPr>
      <w:spacing w:after="60" w:line="220" w:lineRule="exact"/>
      <w:ind w:firstLine="284"/>
    </w:pPr>
    <w:rPr>
      <w:rFonts w:eastAsia="Times New Roman" w:cs="Times New Roman"/>
      <w:sz w:val="20"/>
      <w:szCs w:val="20"/>
      <w:lang w:val="uk-UA" w:eastAsia="ru-RU"/>
    </w:rPr>
  </w:style>
  <w:style w:type="character" w:customStyle="1" w:styleId="StyleZakonu0">
    <w:name w:val="StyleZakonu Знак"/>
    <w:link w:val="StyleZakonu"/>
    <w:locked/>
    <w:rsid w:val="006E7FB4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6">
    <w:name w:val="Hyperlink"/>
    <w:basedOn w:val="a0"/>
    <w:uiPriority w:val="99"/>
    <w:unhideWhenUsed/>
    <w:rsid w:val="00FE0E2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59256B"/>
    <w:pPr>
      <w:spacing w:after="200"/>
      <w:ind w:left="720"/>
      <w:contextualSpacing/>
      <w:jc w:val="left"/>
    </w:pPr>
    <w:rPr>
      <w:rFonts w:asciiTheme="minorHAnsi" w:eastAsia="SimSun" w:hAnsiTheme="minorHAnsi"/>
      <w:sz w:val="22"/>
    </w:rPr>
  </w:style>
  <w:style w:type="character" w:styleId="a8">
    <w:name w:val="Emphasis"/>
    <w:basedOn w:val="a0"/>
    <w:uiPriority w:val="20"/>
    <w:qFormat/>
    <w:rsid w:val="0059256B"/>
    <w:rPr>
      <w:i/>
      <w:iCs/>
    </w:rPr>
  </w:style>
  <w:style w:type="character" w:styleId="a9">
    <w:name w:val="Strong"/>
    <w:basedOn w:val="a0"/>
    <w:uiPriority w:val="22"/>
    <w:qFormat/>
    <w:rsid w:val="00592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logs.pravda.com.ua/authors/tiahnybok/58c8f2efb8b8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cu.gov.ua/sites/default/files/ndf/2-rp/2012.doc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akon2.rada.gov.ua/laws/show/435-15/conv/page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on.rada.gov.ua/laws/show/254%D0%BA/96-%D0%B2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9390F-7916-4817-84B6-5AA404822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dcterms:created xsi:type="dcterms:W3CDTF">2019-11-04T20:17:00Z</dcterms:created>
  <dcterms:modified xsi:type="dcterms:W3CDTF">2019-11-05T08:04:00Z</dcterms:modified>
</cp:coreProperties>
</file>