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A06" w:rsidRPr="007A3DF6" w:rsidRDefault="00307A06" w:rsidP="007A3DF6">
      <w:pPr>
        <w:spacing w:line="360" w:lineRule="auto"/>
        <w:ind w:firstLine="567"/>
        <w:contextualSpacing/>
        <w:jc w:val="center"/>
        <w:rPr>
          <w:rFonts w:ascii="Times New Roman" w:hAnsi="Times New Roman" w:cs="Times New Roman"/>
          <w:b/>
          <w:sz w:val="28"/>
          <w:szCs w:val="28"/>
        </w:rPr>
      </w:pPr>
      <w:r w:rsidRPr="007A3DF6">
        <w:rPr>
          <w:rFonts w:ascii="Times New Roman" w:hAnsi="Times New Roman" w:cs="Times New Roman"/>
          <w:b/>
          <w:sz w:val="28"/>
          <w:szCs w:val="28"/>
        </w:rPr>
        <w:t>Кредитна політика комерційного банку</w:t>
      </w:r>
    </w:p>
    <w:sdt>
      <w:sdtPr>
        <w:rPr>
          <w:rFonts w:ascii="Times New Roman" w:eastAsiaTheme="minorHAnsi" w:hAnsi="Times New Roman" w:cs="Times New Roman"/>
          <w:b w:val="0"/>
          <w:bCs w:val="0"/>
          <w:color w:val="auto"/>
        </w:rPr>
        <w:id w:val="16935016"/>
        <w:docPartObj>
          <w:docPartGallery w:val="Table of Contents"/>
          <w:docPartUnique/>
        </w:docPartObj>
      </w:sdtPr>
      <w:sdtEndPr>
        <w:rPr>
          <w:rFonts w:eastAsiaTheme="minorEastAsia"/>
        </w:rPr>
      </w:sdtEndPr>
      <w:sdtContent>
        <w:p w:rsidR="00307A06" w:rsidRPr="00406315" w:rsidRDefault="00307A06" w:rsidP="006F4174">
          <w:pPr>
            <w:pStyle w:val="aa"/>
            <w:ind w:firstLine="567"/>
            <w:contextualSpacing/>
            <w:jc w:val="both"/>
            <w:rPr>
              <w:rFonts w:ascii="Times New Roman" w:hAnsi="Times New Roman" w:cs="Times New Roman"/>
              <w:b w:val="0"/>
              <w:color w:val="auto"/>
            </w:rPr>
          </w:pPr>
          <w:r w:rsidRPr="00406315">
            <w:rPr>
              <w:rFonts w:ascii="Times New Roman" w:hAnsi="Times New Roman" w:cs="Times New Roman"/>
              <w:b w:val="0"/>
              <w:color w:val="auto"/>
            </w:rPr>
            <w:t>Зміст</w:t>
          </w:r>
        </w:p>
        <w:p w:rsidR="00406315" w:rsidRPr="00406315" w:rsidRDefault="00B61631">
          <w:pPr>
            <w:pStyle w:val="11"/>
            <w:tabs>
              <w:tab w:val="right" w:leader="dot" w:pos="9348"/>
            </w:tabs>
            <w:rPr>
              <w:rFonts w:ascii="Times New Roman" w:hAnsi="Times New Roman" w:cs="Times New Roman"/>
              <w:noProof/>
              <w:sz w:val="28"/>
              <w:szCs w:val="28"/>
            </w:rPr>
          </w:pPr>
          <w:r w:rsidRPr="00406315">
            <w:rPr>
              <w:rFonts w:ascii="Times New Roman" w:hAnsi="Times New Roman" w:cs="Times New Roman"/>
              <w:sz w:val="28"/>
              <w:szCs w:val="28"/>
            </w:rPr>
            <w:fldChar w:fldCharType="begin"/>
          </w:r>
          <w:r w:rsidR="00307A06" w:rsidRPr="00406315">
            <w:rPr>
              <w:rFonts w:ascii="Times New Roman" w:hAnsi="Times New Roman" w:cs="Times New Roman"/>
              <w:sz w:val="28"/>
              <w:szCs w:val="28"/>
            </w:rPr>
            <w:instrText xml:space="preserve"> TOC \o "1-3" \h \z \u </w:instrText>
          </w:r>
          <w:r w:rsidRPr="00406315">
            <w:rPr>
              <w:rFonts w:ascii="Times New Roman" w:hAnsi="Times New Roman" w:cs="Times New Roman"/>
              <w:sz w:val="28"/>
              <w:szCs w:val="28"/>
            </w:rPr>
            <w:fldChar w:fldCharType="separate"/>
          </w:r>
          <w:hyperlink w:anchor="_Toc293306701" w:history="1">
            <w:r w:rsidR="00406315" w:rsidRPr="00406315">
              <w:rPr>
                <w:rStyle w:val="a8"/>
                <w:rFonts w:ascii="Times New Roman" w:hAnsi="Times New Roman"/>
                <w:caps/>
                <w:noProof/>
                <w:sz w:val="28"/>
                <w:szCs w:val="28"/>
              </w:rPr>
              <w:t>Розділ І. Теоретичні основи формування кредитної політики банку</w:t>
            </w:r>
            <w:r w:rsidR="00406315" w:rsidRPr="00406315">
              <w:rPr>
                <w:rFonts w:ascii="Times New Roman" w:hAnsi="Times New Roman" w:cs="Times New Roman"/>
                <w:noProof/>
                <w:webHidden/>
                <w:sz w:val="28"/>
                <w:szCs w:val="28"/>
              </w:rPr>
              <w:tab/>
            </w:r>
            <w:r w:rsidR="00406315" w:rsidRPr="00406315">
              <w:rPr>
                <w:rFonts w:ascii="Times New Roman" w:hAnsi="Times New Roman" w:cs="Times New Roman"/>
                <w:noProof/>
                <w:webHidden/>
                <w:sz w:val="28"/>
                <w:szCs w:val="28"/>
              </w:rPr>
              <w:fldChar w:fldCharType="begin"/>
            </w:r>
            <w:r w:rsidR="00406315" w:rsidRPr="00406315">
              <w:rPr>
                <w:rFonts w:ascii="Times New Roman" w:hAnsi="Times New Roman" w:cs="Times New Roman"/>
                <w:noProof/>
                <w:webHidden/>
                <w:sz w:val="28"/>
                <w:szCs w:val="28"/>
              </w:rPr>
              <w:instrText xml:space="preserve"> PAGEREF _Toc293306701 \h </w:instrText>
            </w:r>
            <w:r w:rsidR="00406315" w:rsidRPr="00406315">
              <w:rPr>
                <w:rFonts w:ascii="Times New Roman" w:hAnsi="Times New Roman" w:cs="Times New Roman"/>
                <w:noProof/>
                <w:webHidden/>
                <w:sz w:val="28"/>
                <w:szCs w:val="28"/>
              </w:rPr>
            </w:r>
            <w:r w:rsidR="00406315" w:rsidRPr="00406315">
              <w:rPr>
                <w:rFonts w:ascii="Times New Roman" w:hAnsi="Times New Roman" w:cs="Times New Roman"/>
                <w:noProof/>
                <w:webHidden/>
                <w:sz w:val="28"/>
                <w:szCs w:val="28"/>
              </w:rPr>
              <w:fldChar w:fldCharType="separate"/>
            </w:r>
            <w:r w:rsidR="00406315">
              <w:rPr>
                <w:rFonts w:ascii="Times New Roman" w:hAnsi="Times New Roman" w:cs="Times New Roman"/>
                <w:noProof/>
                <w:webHidden/>
                <w:sz w:val="28"/>
                <w:szCs w:val="28"/>
              </w:rPr>
              <w:t>2</w:t>
            </w:r>
            <w:r w:rsidR="00406315" w:rsidRPr="00406315">
              <w:rPr>
                <w:rFonts w:ascii="Times New Roman" w:hAnsi="Times New Roman" w:cs="Times New Roman"/>
                <w:noProof/>
                <w:webHidden/>
                <w:sz w:val="28"/>
                <w:szCs w:val="28"/>
              </w:rPr>
              <w:fldChar w:fldCharType="end"/>
            </w:r>
          </w:hyperlink>
        </w:p>
        <w:p w:rsidR="00406315" w:rsidRPr="00406315" w:rsidRDefault="00406315">
          <w:pPr>
            <w:pStyle w:val="23"/>
            <w:tabs>
              <w:tab w:val="left" w:pos="880"/>
              <w:tab w:val="right" w:leader="dot" w:pos="9348"/>
            </w:tabs>
            <w:rPr>
              <w:rFonts w:ascii="Times New Roman" w:hAnsi="Times New Roman" w:cs="Times New Roman"/>
              <w:noProof/>
              <w:sz w:val="28"/>
              <w:szCs w:val="28"/>
            </w:rPr>
          </w:pPr>
          <w:hyperlink w:anchor="_Toc293306702" w:history="1">
            <w:r w:rsidRPr="00406315">
              <w:rPr>
                <w:rStyle w:val="a8"/>
                <w:rFonts w:ascii="Times New Roman" w:hAnsi="Times New Roman"/>
                <w:noProof/>
                <w:sz w:val="28"/>
                <w:szCs w:val="28"/>
              </w:rPr>
              <w:t>1.1.</w:t>
            </w:r>
            <w:r w:rsidRPr="00406315">
              <w:rPr>
                <w:rFonts w:ascii="Times New Roman" w:hAnsi="Times New Roman" w:cs="Times New Roman"/>
                <w:noProof/>
                <w:sz w:val="28"/>
                <w:szCs w:val="28"/>
              </w:rPr>
              <w:tab/>
            </w:r>
            <w:r w:rsidRPr="00406315">
              <w:rPr>
                <w:rStyle w:val="a8"/>
                <w:rFonts w:ascii="Times New Roman" w:hAnsi="Times New Roman"/>
                <w:noProof/>
                <w:sz w:val="28"/>
                <w:szCs w:val="28"/>
              </w:rPr>
              <w:t>Сутність та поняття кредитної політики</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_Toc293306702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left" w:pos="880"/>
              <w:tab w:val="right" w:leader="dot" w:pos="9348"/>
            </w:tabs>
            <w:rPr>
              <w:rFonts w:ascii="Times New Roman" w:hAnsi="Times New Roman" w:cs="Times New Roman"/>
              <w:noProof/>
              <w:sz w:val="28"/>
              <w:szCs w:val="28"/>
            </w:rPr>
          </w:pPr>
          <w:hyperlink w:anchor="_Toc293306703" w:history="1">
            <w:r w:rsidRPr="00406315">
              <w:rPr>
                <w:rStyle w:val="a8"/>
                <w:rFonts w:ascii="Times New Roman" w:hAnsi="Times New Roman"/>
                <w:noProof/>
                <w:sz w:val="28"/>
                <w:szCs w:val="28"/>
              </w:rPr>
              <w:t>1.2.</w:t>
            </w:r>
            <w:r w:rsidRPr="00406315">
              <w:rPr>
                <w:rFonts w:ascii="Times New Roman" w:hAnsi="Times New Roman" w:cs="Times New Roman"/>
                <w:noProof/>
                <w:sz w:val="28"/>
                <w:szCs w:val="28"/>
              </w:rPr>
              <w:tab/>
            </w:r>
            <w:r w:rsidRPr="00406315">
              <w:rPr>
                <w:rStyle w:val="a8"/>
                <w:rFonts w:ascii="Times New Roman" w:hAnsi="Times New Roman"/>
                <w:noProof/>
                <w:sz w:val="28"/>
                <w:szCs w:val="28"/>
              </w:rPr>
              <w:t>Принципи кредитної політики</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_Toc293306703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15</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left" w:pos="880"/>
              <w:tab w:val="right" w:leader="dot" w:pos="9348"/>
            </w:tabs>
            <w:rPr>
              <w:rFonts w:ascii="Times New Roman" w:hAnsi="Times New Roman" w:cs="Times New Roman"/>
              <w:noProof/>
              <w:sz w:val="28"/>
              <w:szCs w:val="28"/>
            </w:rPr>
          </w:pPr>
          <w:hyperlink w:anchor="_Toc293306704" w:history="1">
            <w:r w:rsidRPr="00406315">
              <w:rPr>
                <w:rStyle w:val="a8"/>
                <w:rFonts w:ascii="Times New Roman" w:hAnsi="Times New Roman"/>
                <w:noProof/>
                <w:sz w:val="28"/>
                <w:szCs w:val="28"/>
              </w:rPr>
              <w:t>1.3.</w:t>
            </w:r>
            <w:r w:rsidRPr="00406315">
              <w:rPr>
                <w:rFonts w:ascii="Times New Roman" w:hAnsi="Times New Roman" w:cs="Times New Roman"/>
                <w:noProof/>
                <w:sz w:val="28"/>
                <w:szCs w:val="28"/>
              </w:rPr>
              <w:tab/>
            </w:r>
            <w:r w:rsidRPr="00406315">
              <w:rPr>
                <w:rStyle w:val="a8"/>
                <w:rFonts w:ascii="Times New Roman" w:hAnsi="Times New Roman"/>
                <w:noProof/>
                <w:sz w:val="28"/>
                <w:szCs w:val="28"/>
              </w:rPr>
              <w:t>Особливості формування кредитного портфеля банку</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_Toc293306704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05" w:history="1">
            <w:r w:rsidRPr="00406315">
              <w:rPr>
                <w:rStyle w:val="a8"/>
                <w:rFonts w:ascii="Times New Roman" w:hAnsi="Times New Roman"/>
                <w:caps/>
                <w:noProof/>
                <w:sz w:val="28"/>
                <w:szCs w:val="28"/>
              </w:rPr>
              <w:t>РОЗДІЛ ІІ. АНАЛІЗ УПРАВЛІННЯ КРЕДИТНИМИ ОПЕРАЦІЯМИ КОМЕРЦІЙНОГО БАНКУ З ПІДПРИЄМСТВАМИ І УСТАНОВАМИ (НА ПРИКЛАДІ ПАТ "МІЖНАРОДНИЙ ІНВЕСТИЦІЙНИЙ БАНК")</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_Toc293306705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36</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right" w:leader="dot" w:pos="9348"/>
            </w:tabs>
            <w:rPr>
              <w:rFonts w:ascii="Times New Roman" w:hAnsi="Times New Roman" w:cs="Times New Roman"/>
              <w:noProof/>
              <w:sz w:val="28"/>
              <w:szCs w:val="28"/>
            </w:rPr>
          </w:pPr>
          <w:hyperlink w:anchor="_Toc293306706" w:history="1">
            <w:r w:rsidRPr="00406315">
              <w:rPr>
                <w:rStyle w:val="a8"/>
                <w:rFonts w:ascii="Times New Roman" w:hAnsi="Times New Roman"/>
                <w:noProof/>
                <w:sz w:val="28"/>
                <w:szCs w:val="28"/>
              </w:rPr>
              <w:t>2.1.Особливості банківського кредитування підприємств і установ</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_Toc293306706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36</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right" w:leader="dot" w:pos="9348"/>
            </w:tabs>
            <w:rPr>
              <w:rFonts w:ascii="Times New Roman" w:hAnsi="Times New Roman" w:cs="Times New Roman"/>
              <w:noProof/>
              <w:sz w:val="28"/>
              <w:szCs w:val="28"/>
            </w:rPr>
          </w:pPr>
          <w:hyperlink w:anchor="_Toc293306707" w:history="1">
            <w:r w:rsidRPr="00406315">
              <w:rPr>
                <w:rStyle w:val="a8"/>
                <w:rFonts w:ascii="Times New Roman" w:hAnsi="Times New Roman"/>
                <w:noProof/>
                <w:spacing w:val="-8"/>
                <w:sz w:val="28"/>
                <w:szCs w:val="28"/>
              </w:rPr>
              <w:t xml:space="preserve">2.2. Основні показники діяльності та структура кредитного </w:t>
            </w:r>
            <w:r w:rsidRPr="00406315">
              <w:rPr>
                <w:rStyle w:val="a8"/>
                <w:rFonts w:ascii="Times New Roman" w:hAnsi="Times New Roman"/>
                <w:noProof/>
                <w:spacing w:val="-10"/>
                <w:sz w:val="28"/>
                <w:szCs w:val="28"/>
              </w:rPr>
              <w:t>портфелю банку</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_Toc293306707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44</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right" w:leader="dot" w:pos="9348"/>
            </w:tabs>
            <w:rPr>
              <w:rFonts w:ascii="Times New Roman" w:hAnsi="Times New Roman" w:cs="Times New Roman"/>
              <w:noProof/>
              <w:sz w:val="28"/>
              <w:szCs w:val="28"/>
            </w:rPr>
          </w:pPr>
          <w:hyperlink w:anchor="_Toc293306708" w:history="1">
            <w:r w:rsidRPr="00406315">
              <w:rPr>
                <w:rStyle w:val="a8"/>
                <w:rFonts w:ascii="Times New Roman" w:hAnsi="Times New Roman"/>
                <w:noProof/>
                <w:sz w:val="28"/>
                <w:szCs w:val="28"/>
              </w:rPr>
              <w:t>2.3 Оцінка кредитоспроможності підприємств і установ</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_Toc293306708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54</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09" w:history="1">
            <w:r w:rsidRPr="00406315">
              <w:rPr>
                <w:rStyle w:val="a8"/>
                <w:rFonts w:ascii="Times New Roman" w:hAnsi="Times New Roman"/>
                <w:noProof/>
                <w:spacing w:val="-4"/>
                <w:sz w:val="28"/>
                <w:szCs w:val="28"/>
              </w:rPr>
              <w:t xml:space="preserve">РОЗДІЛ ІІІ. </w:t>
            </w:r>
            <w:r w:rsidRPr="00406315">
              <w:rPr>
                <w:rStyle w:val="a8"/>
                <w:rFonts w:ascii="Times New Roman" w:hAnsi="Times New Roman"/>
                <w:noProof/>
                <w:sz w:val="28"/>
                <w:szCs w:val="28"/>
              </w:rPr>
              <w:t>ШЛЯХИ УДОСКОНАЛЕННЯ УПРАВЛІННЯ КРЕДИТНИМИ ОПЕРАЦІЯМИ КОМЕРЦІЙНИХ БАНКІВ</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_Toc293306709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61</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right" w:leader="dot" w:pos="9348"/>
            </w:tabs>
            <w:rPr>
              <w:rFonts w:ascii="Times New Roman" w:hAnsi="Times New Roman" w:cs="Times New Roman"/>
              <w:noProof/>
              <w:sz w:val="28"/>
              <w:szCs w:val="28"/>
            </w:rPr>
          </w:pPr>
          <w:hyperlink w:anchor="_Toc293306710" w:history="1">
            <w:r w:rsidRPr="00406315">
              <w:rPr>
                <w:rStyle w:val="a8"/>
                <w:rFonts w:ascii="Times New Roman" w:hAnsi="Times New Roman"/>
                <w:noProof/>
                <w:spacing w:val="-3"/>
                <w:sz w:val="28"/>
                <w:szCs w:val="28"/>
              </w:rPr>
              <w:t xml:space="preserve">3.1. Зарубіжний досвід управління банківським кредитуванням </w:t>
            </w:r>
            <w:r w:rsidRPr="00406315">
              <w:rPr>
                <w:rStyle w:val="a8"/>
                <w:rFonts w:ascii="Times New Roman" w:hAnsi="Times New Roman"/>
                <w:noProof/>
                <w:sz w:val="28"/>
                <w:szCs w:val="28"/>
              </w:rPr>
              <w:t>та можливості його використання в Україні</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_Toc293306710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61</w:t>
            </w:r>
            <w:r w:rsidRPr="00406315">
              <w:rPr>
                <w:rFonts w:ascii="Times New Roman" w:hAnsi="Times New Roman" w:cs="Times New Roman"/>
                <w:noProof/>
                <w:webHidden/>
                <w:sz w:val="28"/>
                <w:szCs w:val="28"/>
              </w:rPr>
              <w:fldChar w:fldCharType="end"/>
            </w:r>
          </w:hyperlink>
        </w:p>
        <w:p w:rsidR="00406315" w:rsidRPr="00406315" w:rsidRDefault="00406315">
          <w:pPr>
            <w:pStyle w:val="23"/>
            <w:tabs>
              <w:tab w:val="right" w:leader="dot" w:pos="9348"/>
            </w:tabs>
            <w:rPr>
              <w:rFonts w:ascii="Times New Roman" w:hAnsi="Times New Roman" w:cs="Times New Roman"/>
              <w:noProof/>
              <w:sz w:val="28"/>
              <w:szCs w:val="28"/>
            </w:rPr>
          </w:pPr>
          <w:hyperlink w:anchor="_Toc293306711" w:history="1">
            <w:r w:rsidRPr="00406315">
              <w:rPr>
                <w:rStyle w:val="a8"/>
                <w:rFonts w:ascii="Times New Roman" w:hAnsi="Times New Roman"/>
                <w:noProof/>
                <w:spacing w:val="-1"/>
                <w:sz w:val="28"/>
                <w:szCs w:val="28"/>
              </w:rPr>
              <w:t>3.2. Підвищення якості управління кредитним портфелем комерційного банку</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_Toc293306711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76</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2" w:history="1">
            <w:r w:rsidRPr="00406315">
              <w:rPr>
                <w:rStyle w:val="a8"/>
                <w:rFonts w:ascii="Times New Roman" w:hAnsi="Times New Roman"/>
                <w:noProof/>
                <w:sz w:val="28"/>
                <w:szCs w:val="28"/>
              </w:rPr>
              <w:t>ВИСНОВКИ</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_Toc293306712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89</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3" w:history="1">
            <w:r w:rsidRPr="00406315">
              <w:rPr>
                <w:rStyle w:val="a8"/>
                <w:rFonts w:ascii="Times New Roman" w:hAnsi="Times New Roman"/>
                <w:noProof/>
                <w:sz w:val="28"/>
                <w:szCs w:val="28"/>
              </w:rPr>
              <w:t>СПИСОК ВИКОРИСТАНИХ ДЖЕРЕЛ</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_Toc293306713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93</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4" w:history="1">
            <w:r w:rsidRPr="00406315">
              <w:rPr>
                <w:rStyle w:val="a8"/>
                <w:rFonts w:ascii="Times New Roman" w:hAnsi="Times New Roman"/>
                <w:noProof/>
                <w:sz w:val="28"/>
                <w:szCs w:val="28"/>
              </w:rPr>
              <w:t>Додаток А</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_Toc293306714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103</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5" w:history="1">
            <w:r w:rsidRPr="00406315">
              <w:rPr>
                <w:rStyle w:val="a8"/>
                <w:rFonts w:ascii="Times New Roman" w:hAnsi="Times New Roman"/>
                <w:noProof/>
                <w:sz w:val="28"/>
                <w:szCs w:val="28"/>
              </w:rPr>
              <w:t>Додаток Б</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_Toc293306715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104</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6" w:history="1">
            <w:r w:rsidRPr="00406315">
              <w:rPr>
                <w:rStyle w:val="a8"/>
                <w:rFonts w:ascii="Times New Roman" w:hAnsi="Times New Roman"/>
                <w:noProof/>
                <w:sz w:val="28"/>
                <w:szCs w:val="28"/>
              </w:rPr>
              <w:t>Додаток В</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_Toc293306716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105</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7" w:history="1">
            <w:r w:rsidRPr="00406315">
              <w:rPr>
                <w:rStyle w:val="a8"/>
                <w:rFonts w:ascii="Times New Roman" w:hAnsi="Times New Roman"/>
                <w:noProof/>
                <w:sz w:val="28"/>
                <w:szCs w:val="28"/>
              </w:rPr>
              <w:t>Додаток Г</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_Toc293306717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109</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8" w:history="1">
            <w:r w:rsidRPr="00406315">
              <w:rPr>
                <w:rStyle w:val="a8"/>
                <w:rFonts w:ascii="Times New Roman" w:hAnsi="Times New Roman"/>
                <w:noProof/>
                <w:sz w:val="28"/>
                <w:szCs w:val="28"/>
              </w:rPr>
              <w:t>Додаток Д</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_Toc293306718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110</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19" w:history="1">
            <w:r w:rsidRPr="00406315">
              <w:rPr>
                <w:rStyle w:val="a8"/>
                <w:rFonts w:ascii="Times New Roman" w:hAnsi="Times New Roman"/>
                <w:noProof/>
                <w:sz w:val="28"/>
                <w:szCs w:val="28"/>
              </w:rPr>
              <w:t>Додаток Е</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_Toc293306719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112</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20" w:history="1">
            <w:r w:rsidRPr="00406315">
              <w:rPr>
                <w:rStyle w:val="a8"/>
                <w:rFonts w:ascii="Times New Roman" w:hAnsi="Times New Roman"/>
                <w:noProof/>
                <w:sz w:val="28"/>
                <w:szCs w:val="28"/>
              </w:rPr>
              <w:t>Додаток Ж</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_Toc293306720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114</w:t>
            </w:r>
            <w:r w:rsidRPr="00406315">
              <w:rPr>
                <w:rFonts w:ascii="Times New Roman" w:hAnsi="Times New Roman" w:cs="Times New Roman"/>
                <w:noProof/>
                <w:webHidden/>
                <w:sz w:val="28"/>
                <w:szCs w:val="28"/>
              </w:rPr>
              <w:fldChar w:fldCharType="end"/>
            </w:r>
          </w:hyperlink>
        </w:p>
        <w:p w:rsidR="00406315" w:rsidRPr="00406315" w:rsidRDefault="00406315">
          <w:pPr>
            <w:pStyle w:val="11"/>
            <w:tabs>
              <w:tab w:val="right" w:leader="dot" w:pos="9348"/>
            </w:tabs>
            <w:rPr>
              <w:rFonts w:ascii="Times New Roman" w:hAnsi="Times New Roman" w:cs="Times New Roman"/>
              <w:noProof/>
              <w:sz w:val="28"/>
              <w:szCs w:val="28"/>
            </w:rPr>
          </w:pPr>
          <w:hyperlink w:anchor="_Toc293306721" w:history="1">
            <w:r w:rsidRPr="00406315">
              <w:rPr>
                <w:rStyle w:val="a8"/>
                <w:rFonts w:ascii="Times New Roman" w:hAnsi="Times New Roman"/>
                <w:noProof/>
                <w:sz w:val="28"/>
                <w:szCs w:val="28"/>
              </w:rPr>
              <w:t>Додаток З</w:t>
            </w:r>
            <w:r w:rsidRPr="00406315">
              <w:rPr>
                <w:rFonts w:ascii="Times New Roman" w:hAnsi="Times New Roman" w:cs="Times New Roman"/>
                <w:noProof/>
                <w:webHidden/>
                <w:sz w:val="28"/>
                <w:szCs w:val="28"/>
              </w:rPr>
              <w:tab/>
            </w:r>
            <w:r w:rsidRPr="00406315">
              <w:rPr>
                <w:rFonts w:ascii="Times New Roman" w:hAnsi="Times New Roman" w:cs="Times New Roman"/>
                <w:noProof/>
                <w:webHidden/>
                <w:sz w:val="28"/>
                <w:szCs w:val="28"/>
              </w:rPr>
              <w:fldChar w:fldCharType="begin"/>
            </w:r>
            <w:r w:rsidRPr="00406315">
              <w:rPr>
                <w:rFonts w:ascii="Times New Roman" w:hAnsi="Times New Roman" w:cs="Times New Roman"/>
                <w:noProof/>
                <w:webHidden/>
                <w:sz w:val="28"/>
                <w:szCs w:val="28"/>
              </w:rPr>
              <w:instrText xml:space="preserve"> PAGEREF _Toc293306721 \h </w:instrText>
            </w:r>
            <w:r w:rsidRPr="00406315">
              <w:rPr>
                <w:rFonts w:ascii="Times New Roman" w:hAnsi="Times New Roman" w:cs="Times New Roman"/>
                <w:noProof/>
                <w:webHidden/>
                <w:sz w:val="28"/>
                <w:szCs w:val="28"/>
              </w:rPr>
            </w:r>
            <w:r w:rsidRPr="0040631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115</w:t>
            </w:r>
            <w:r w:rsidRPr="00406315">
              <w:rPr>
                <w:rFonts w:ascii="Times New Roman" w:hAnsi="Times New Roman" w:cs="Times New Roman"/>
                <w:noProof/>
                <w:webHidden/>
                <w:sz w:val="28"/>
                <w:szCs w:val="28"/>
              </w:rPr>
              <w:fldChar w:fldCharType="end"/>
            </w:r>
          </w:hyperlink>
        </w:p>
        <w:p w:rsidR="00307A06" w:rsidRPr="00406315" w:rsidRDefault="00B61631" w:rsidP="006F4174">
          <w:pPr>
            <w:pStyle w:val="23"/>
            <w:tabs>
              <w:tab w:val="left" w:pos="880"/>
              <w:tab w:val="right" w:leader="dot" w:pos="9346"/>
            </w:tabs>
            <w:ind w:left="0" w:firstLine="567"/>
            <w:contextualSpacing/>
            <w:rPr>
              <w:rFonts w:ascii="Times New Roman" w:hAnsi="Times New Roman" w:cs="Times New Roman"/>
              <w:sz w:val="28"/>
              <w:szCs w:val="28"/>
            </w:rPr>
          </w:pPr>
          <w:r w:rsidRPr="00406315">
            <w:rPr>
              <w:rFonts w:ascii="Times New Roman" w:hAnsi="Times New Roman" w:cs="Times New Roman"/>
              <w:sz w:val="28"/>
              <w:szCs w:val="28"/>
            </w:rPr>
            <w:fldChar w:fldCharType="end"/>
          </w:r>
        </w:p>
      </w:sdtContent>
    </w:sdt>
    <w:p w:rsidR="00307A06" w:rsidRPr="00B07B79" w:rsidRDefault="00307A06" w:rsidP="00B07B79">
      <w:pPr>
        <w:pStyle w:val="1"/>
        <w:spacing w:line="360" w:lineRule="auto"/>
        <w:ind w:firstLine="567"/>
        <w:contextualSpacing/>
        <w:jc w:val="center"/>
        <w:rPr>
          <w:rFonts w:ascii="Times New Roman" w:hAnsi="Times New Roman" w:cs="Times New Roman"/>
          <w:caps/>
          <w:color w:val="auto"/>
        </w:rPr>
      </w:pPr>
      <w:bookmarkStart w:id="0" w:name="_Toc293306701"/>
      <w:bookmarkStart w:id="1" w:name="_GoBack"/>
      <w:bookmarkEnd w:id="1"/>
      <w:r w:rsidRPr="00B07B79">
        <w:rPr>
          <w:rFonts w:ascii="Times New Roman" w:hAnsi="Times New Roman" w:cs="Times New Roman"/>
          <w:caps/>
          <w:color w:val="auto"/>
        </w:rPr>
        <w:lastRenderedPageBreak/>
        <w:t>Розділ І. Теоретичні основи формування кредитної політики банку</w:t>
      </w:r>
      <w:bookmarkEnd w:id="0"/>
    </w:p>
    <w:p w:rsidR="00307A06" w:rsidRPr="00E37001" w:rsidRDefault="00307A06" w:rsidP="00E37001">
      <w:pPr>
        <w:pStyle w:val="a3"/>
        <w:numPr>
          <w:ilvl w:val="1"/>
          <w:numId w:val="4"/>
        </w:numPr>
        <w:spacing w:line="360" w:lineRule="auto"/>
        <w:ind w:left="0" w:firstLine="567"/>
        <w:jc w:val="both"/>
        <w:outlineLvl w:val="1"/>
        <w:rPr>
          <w:rFonts w:ascii="Times New Roman" w:hAnsi="Times New Roman" w:cs="Times New Roman"/>
          <w:b/>
          <w:sz w:val="28"/>
          <w:szCs w:val="28"/>
        </w:rPr>
      </w:pPr>
      <w:bookmarkStart w:id="2" w:name="_Toc293306702"/>
      <w:r w:rsidRPr="00E37001">
        <w:rPr>
          <w:rFonts w:ascii="Times New Roman" w:hAnsi="Times New Roman" w:cs="Times New Roman"/>
          <w:b/>
          <w:sz w:val="28"/>
          <w:szCs w:val="28"/>
        </w:rPr>
        <w:t>Сутність та поняття кредитної політики</w:t>
      </w:r>
      <w:bookmarkEnd w:id="2"/>
    </w:p>
    <w:p w:rsidR="00307A06" w:rsidRPr="00E37001" w:rsidRDefault="00307A06" w:rsidP="00B07B79">
      <w:pPr>
        <w:pStyle w:val="Style3"/>
        <w:widowControl/>
        <w:spacing w:line="360" w:lineRule="auto"/>
        <w:ind w:firstLine="567"/>
        <w:contextualSpacing/>
        <w:rPr>
          <w:rStyle w:val="FontStyle15"/>
          <w:b w:val="0"/>
          <w:sz w:val="28"/>
          <w:szCs w:val="28"/>
          <w:lang w:eastAsia="uk-UA"/>
        </w:rPr>
      </w:pPr>
      <w:r w:rsidRPr="00E37001">
        <w:rPr>
          <w:rStyle w:val="FontStyle17"/>
          <w:rFonts w:ascii="Times New Roman" w:hAnsi="Times New Roman" w:cs="Times New Roman"/>
          <w:sz w:val="28"/>
          <w:szCs w:val="28"/>
          <w:lang w:eastAsia="uk-UA"/>
        </w:rPr>
        <w:t xml:space="preserve">У </w:t>
      </w:r>
      <w:r w:rsidRPr="00E37001">
        <w:rPr>
          <w:rStyle w:val="FontStyle15"/>
          <w:b w:val="0"/>
          <w:sz w:val="28"/>
          <w:szCs w:val="28"/>
          <w:lang w:eastAsia="uk-UA"/>
        </w:rPr>
        <w:t>сучасних умовах з метою забезпечення організації ефективної кредитної діяльності банки розробляють власну внутрішню кредитну політику та впроваджують механізм її реалізації. Кредитна політика банку є основним документом, яким керуються банки під час формування кредитного портфеля. Цей документ має конфіденційний характер, а тому з ним можуть бути ознайомлені лише ті співробітники банку, що здійснюють кредитування. Фактична структура кредитного портфеля має відповідати положенням кредитної політики банку, інакше не буде забезпечена її ефективна реалізація</w:t>
      </w:r>
      <w:r w:rsidR="002E487A" w:rsidRPr="002E487A">
        <w:rPr>
          <w:rStyle w:val="FontStyle15"/>
          <w:b w:val="0"/>
          <w:sz w:val="28"/>
          <w:szCs w:val="28"/>
          <w:lang w:val="ru-RU" w:eastAsia="uk-UA"/>
        </w:rPr>
        <w:t xml:space="preserve"> [91]</w:t>
      </w:r>
      <w:r w:rsidRPr="00E37001">
        <w:rPr>
          <w:rStyle w:val="FontStyle15"/>
          <w:b w:val="0"/>
          <w:sz w:val="28"/>
          <w:szCs w:val="28"/>
          <w:lang w:eastAsia="uk-UA"/>
        </w:rPr>
        <w:t>.</w:t>
      </w:r>
    </w:p>
    <w:p w:rsidR="00307A06" w:rsidRPr="00E37001" w:rsidRDefault="00307A06" w:rsidP="00B07B79">
      <w:pPr>
        <w:pStyle w:val="Style3"/>
        <w:widowControl/>
        <w:spacing w:line="360" w:lineRule="auto"/>
        <w:ind w:firstLine="567"/>
        <w:contextualSpacing/>
        <w:rPr>
          <w:rStyle w:val="FontStyle15"/>
          <w:b w:val="0"/>
          <w:sz w:val="28"/>
          <w:szCs w:val="28"/>
          <w:lang w:eastAsia="uk-UA"/>
        </w:rPr>
      </w:pPr>
      <w:r w:rsidRPr="00E37001">
        <w:rPr>
          <w:rStyle w:val="FontStyle15"/>
          <w:b w:val="0"/>
          <w:sz w:val="28"/>
          <w:szCs w:val="28"/>
          <w:lang w:eastAsia="uk-UA"/>
        </w:rPr>
        <w:t xml:space="preserve">Кредитна політика складається зі </w:t>
      </w:r>
      <w:r w:rsidRPr="00E37001">
        <w:rPr>
          <w:rStyle w:val="FontStyle13"/>
          <w:b w:val="0"/>
          <w:i w:val="0"/>
          <w:sz w:val="28"/>
          <w:szCs w:val="28"/>
          <w:lang w:eastAsia="uk-UA"/>
        </w:rPr>
        <w:t xml:space="preserve">стратегії </w:t>
      </w:r>
      <w:r w:rsidRPr="00E37001">
        <w:rPr>
          <w:rStyle w:val="FontStyle15"/>
          <w:b w:val="0"/>
          <w:sz w:val="28"/>
          <w:szCs w:val="28"/>
          <w:lang w:eastAsia="uk-UA"/>
        </w:rPr>
        <w:t xml:space="preserve">і </w:t>
      </w:r>
      <w:r w:rsidRPr="00E37001">
        <w:rPr>
          <w:rStyle w:val="FontStyle13"/>
          <w:b w:val="0"/>
          <w:i w:val="0"/>
          <w:sz w:val="28"/>
          <w:szCs w:val="28"/>
          <w:lang w:eastAsia="uk-UA"/>
        </w:rPr>
        <w:t xml:space="preserve">тактики банку щодо організації процесу кредитування. </w:t>
      </w:r>
      <w:r w:rsidRPr="00E37001">
        <w:rPr>
          <w:rStyle w:val="FontStyle15"/>
          <w:b w:val="0"/>
          <w:sz w:val="28"/>
          <w:szCs w:val="28"/>
          <w:lang w:eastAsia="uk-UA"/>
        </w:rPr>
        <w:t xml:space="preserve">Тобто кредитна політика визначає основні напрями кредитного процесу, пріоритети, принципи та цілі певного банку на кредитному ринку — </w:t>
      </w:r>
      <w:r w:rsidRPr="00E37001">
        <w:rPr>
          <w:rStyle w:val="FontStyle14"/>
          <w:i w:val="0"/>
          <w:sz w:val="28"/>
          <w:szCs w:val="28"/>
          <w:lang w:eastAsia="uk-UA"/>
        </w:rPr>
        <w:t xml:space="preserve">стратегія </w:t>
      </w:r>
      <w:r w:rsidRPr="00E37001">
        <w:rPr>
          <w:rStyle w:val="FontStyle15"/>
          <w:b w:val="0"/>
          <w:sz w:val="28"/>
          <w:szCs w:val="28"/>
          <w:lang w:eastAsia="uk-UA"/>
        </w:rPr>
        <w:t xml:space="preserve">кредитної діяльності банку, і передбачає застосування конкретних фінансових та інших інструментів, що використовуються в процесі реалізації кредитних угод — </w:t>
      </w:r>
      <w:r w:rsidRPr="00E37001">
        <w:rPr>
          <w:rStyle w:val="FontStyle14"/>
          <w:i w:val="0"/>
          <w:sz w:val="28"/>
          <w:szCs w:val="28"/>
          <w:lang w:eastAsia="uk-UA"/>
        </w:rPr>
        <w:t xml:space="preserve">тактика </w:t>
      </w:r>
      <w:r w:rsidRPr="00E37001">
        <w:rPr>
          <w:rStyle w:val="FontStyle15"/>
          <w:b w:val="0"/>
          <w:sz w:val="28"/>
          <w:szCs w:val="28"/>
          <w:lang w:eastAsia="uk-UA"/>
        </w:rPr>
        <w:t>банку щодо організації процесу кредитування</w:t>
      </w:r>
      <w:r w:rsidR="00776A19" w:rsidRPr="00776A19">
        <w:rPr>
          <w:rStyle w:val="FontStyle15"/>
          <w:b w:val="0"/>
          <w:sz w:val="28"/>
          <w:szCs w:val="28"/>
          <w:lang w:eastAsia="uk-UA"/>
        </w:rPr>
        <w:t xml:space="preserve"> [</w:t>
      </w:r>
      <w:r w:rsidR="00776A19">
        <w:rPr>
          <w:rStyle w:val="FontStyle15"/>
          <w:b w:val="0"/>
          <w:sz w:val="28"/>
          <w:szCs w:val="28"/>
          <w:lang w:eastAsia="uk-UA"/>
        </w:rPr>
        <w:t>17</w:t>
      </w:r>
      <w:r w:rsidR="00776A19" w:rsidRPr="00776A19">
        <w:rPr>
          <w:rStyle w:val="FontStyle15"/>
          <w:b w:val="0"/>
          <w:sz w:val="28"/>
          <w:szCs w:val="28"/>
          <w:lang w:eastAsia="uk-UA"/>
        </w:rPr>
        <w:t xml:space="preserve">, </w:t>
      </w:r>
      <w:r w:rsidR="00776A19">
        <w:rPr>
          <w:rStyle w:val="FontStyle15"/>
          <w:b w:val="0"/>
          <w:sz w:val="28"/>
          <w:szCs w:val="28"/>
          <w:lang w:val="en-US" w:eastAsia="uk-UA"/>
        </w:rPr>
        <w:t>c</w:t>
      </w:r>
      <w:r w:rsidR="00776A19" w:rsidRPr="00776A19">
        <w:rPr>
          <w:rStyle w:val="FontStyle15"/>
          <w:b w:val="0"/>
          <w:sz w:val="28"/>
          <w:szCs w:val="28"/>
          <w:lang w:eastAsia="uk-UA"/>
        </w:rPr>
        <w:t>.55]</w:t>
      </w:r>
      <w:r w:rsidRPr="00E37001">
        <w:rPr>
          <w:rStyle w:val="FontStyle15"/>
          <w:b w:val="0"/>
          <w:sz w:val="28"/>
          <w:szCs w:val="28"/>
          <w:lang w:eastAsia="uk-UA"/>
        </w:rPr>
        <w:t>.</w:t>
      </w:r>
    </w:p>
    <w:p w:rsidR="00307A06" w:rsidRPr="00E37001" w:rsidRDefault="00307A06" w:rsidP="00B07B79">
      <w:pPr>
        <w:pStyle w:val="4"/>
        <w:keepNext w:val="0"/>
        <w:widowControl w:val="0"/>
        <w:spacing w:before="0" w:after="0" w:line="360" w:lineRule="auto"/>
        <w:ind w:firstLine="567"/>
        <w:contextualSpacing/>
        <w:jc w:val="both"/>
        <w:rPr>
          <w:b w:val="0"/>
          <w:bCs w:val="0"/>
          <w:color w:val="000000"/>
        </w:rPr>
      </w:pPr>
      <w:r w:rsidRPr="00E37001">
        <w:rPr>
          <w:b w:val="0"/>
          <w:bCs w:val="0"/>
          <w:color w:val="000000"/>
        </w:rPr>
        <w:t xml:space="preserve">Кредитна політика </w:t>
      </w:r>
      <w:r w:rsidRPr="00E37001">
        <w:rPr>
          <w:rStyle w:val="FontStyle15"/>
          <w:sz w:val="28"/>
          <w:szCs w:val="28"/>
          <w:lang w:eastAsia="uk-UA"/>
        </w:rPr>
        <w:t>—</w:t>
      </w:r>
      <w:r w:rsidRPr="00E37001">
        <w:rPr>
          <w:b w:val="0"/>
          <w:bCs w:val="0"/>
          <w:color w:val="000000"/>
        </w:rPr>
        <w:t xml:space="preserve"> розробка концепції організації грошово-кредитних відносин між комерційним банком та його клієнтами на мікроекономічному рівні шляхом визначення послідовності дій при наданні кредитних послуг.</w:t>
      </w:r>
    </w:p>
    <w:p w:rsidR="00307A06" w:rsidRPr="00E37001" w:rsidRDefault="00307A06" w:rsidP="00B07B79">
      <w:pPr>
        <w:pStyle w:val="a4"/>
        <w:widowControl w:val="0"/>
        <w:spacing w:before="0" w:line="360" w:lineRule="auto"/>
        <w:ind w:firstLine="567"/>
        <w:contextualSpacing/>
        <w:jc w:val="both"/>
        <w:rPr>
          <w:color w:val="000000"/>
        </w:rPr>
      </w:pPr>
      <w:r w:rsidRPr="00E37001">
        <w:rPr>
          <w:color w:val="000000"/>
        </w:rPr>
        <w:t xml:space="preserve">Кредитна політика базується на умінні співробітників банку правильно й обґрунтовано вибрати: сектор економіки, що доцільно кредитувати в даний момент, а також «свого клієнта» виходячи з його кредитоспроможності й інших факторів, що мають першорядне значення для банку при вирішенні питання про можливість надання кредиту. Кредитна політика визначається також тими кредитними продуктами, якими володіє банк сьогодні чи припускає впровадити завтра. Наприклад, стосовно до підприємств це </w:t>
      </w:r>
      <w:r w:rsidRPr="00E37001">
        <w:rPr>
          <w:color w:val="000000"/>
        </w:rPr>
        <w:lastRenderedPageBreak/>
        <w:t>можуть бути короткострокові кредити (на поповнення оборотних коштів) і довгострокові інвестиційні кредити (на розширення, модернізацію, технічне переозброєння виробництва, упровадження науково-технічних інновацій).</w:t>
      </w:r>
    </w:p>
    <w:p w:rsidR="00307A06" w:rsidRPr="00631A1C" w:rsidRDefault="00307A06" w:rsidP="00B07B79">
      <w:pPr>
        <w:pStyle w:val="a4"/>
        <w:widowControl w:val="0"/>
        <w:spacing w:before="0" w:line="360" w:lineRule="auto"/>
        <w:ind w:firstLine="567"/>
        <w:contextualSpacing/>
        <w:jc w:val="both"/>
        <w:rPr>
          <w:color w:val="000000"/>
        </w:rPr>
      </w:pPr>
      <w:r w:rsidRPr="00E37001">
        <w:rPr>
          <w:color w:val="000000"/>
        </w:rPr>
        <w:t>Ретельно розроблена кредитна політика, схвалена і цілком підтримувана вищим керівництвом банку, донесена до всіх службовців, залучених у кредитну діяльність, є найважливішим чинником успішного функціонування системи</w:t>
      </w:r>
      <w:r w:rsidR="00631A1C">
        <w:rPr>
          <w:color w:val="000000"/>
        </w:rPr>
        <w:t xml:space="preserve"> управління кредитним ризиком</w:t>
      </w:r>
      <w:r w:rsidR="00631A1C" w:rsidRPr="00631A1C">
        <w:rPr>
          <w:color w:val="000000"/>
        </w:rPr>
        <w:t xml:space="preserve"> </w:t>
      </w:r>
      <w:r w:rsidR="00776A19">
        <w:rPr>
          <w:color w:val="000000"/>
        </w:rPr>
        <w:t>[</w:t>
      </w:r>
      <w:r w:rsidR="00776A19" w:rsidRPr="00776A19">
        <w:rPr>
          <w:color w:val="000000"/>
        </w:rPr>
        <w:t>2</w:t>
      </w:r>
      <w:r w:rsidRPr="00E37001">
        <w:rPr>
          <w:color w:val="000000"/>
        </w:rPr>
        <w:t>0</w:t>
      </w:r>
      <w:r w:rsidR="00776A19" w:rsidRPr="00776A19">
        <w:rPr>
          <w:color w:val="000000"/>
        </w:rPr>
        <w:t xml:space="preserve">, </w:t>
      </w:r>
      <w:r w:rsidR="00776A19">
        <w:rPr>
          <w:color w:val="000000"/>
          <w:lang w:val="en-US"/>
        </w:rPr>
        <w:t>c</w:t>
      </w:r>
      <w:r w:rsidR="00776A19" w:rsidRPr="00776A19">
        <w:rPr>
          <w:color w:val="000000"/>
        </w:rPr>
        <w:t>.80</w:t>
      </w:r>
      <w:r w:rsidRPr="00E37001">
        <w:rPr>
          <w:color w:val="000000"/>
        </w:rPr>
        <w:t>]</w:t>
      </w:r>
      <w:r w:rsidR="00631A1C" w:rsidRPr="00631A1C">
        <w:rPr>
          <w:color w:val="000000"/>
        </w:rPr>
        <w:t>.</w:t>
      </w:r>
    </w:p>
    <w:p w:rsidR="00307A06" w:rsidRPr="00E37001" w:rsidRDefault="00307A06" w:rsidP="00B07B79">
      <w:pPr>
        <w:pStyle w:val="a4"/>
        <w:widowControl w:val="0"/>
        <w:spacing w:before="0" w:line="360" w:lineRule="auto"/>
        <w:ind w:firstLine="567"/>
        <w:contextualSpacing/>
        <w:jc w:val="both"/>
        <w:rPr>
          <w:color w:val="000000"/>
        </w:rPr>
      </w:pPr>
      <w:r w:rsidRPr="00E37001">
        <w:rPr>
          <w:color w:val="000000"/>
        </w:rPr>
        <w:t>Відповідальність за розробку й удосконалювання кредитної політики та вибір її видів лягає на директорів і вище керівництво. Вони ж відповідають за розвиток культури кредитування в банку і забезпечення виконання цілей кредитування. Тому кредитна політика не тільки встановлює основні правила й орієнтири кредитної діяльності, але і сприяє формуванню культури кредитування</w:t>
      </w:r>
      <w:r w:rsidR="002E487A" w:rsidRPr="002E487A">
        <w:rPr>
          <w:color w:val="000000"/>
          <w:lang w:val="ru-RU"/>
        </w:rPr>
        <w:t xml:space="preserve"> [92]</w:t>
      </w:r>
      <w:r w:rsidRPr="00E37001">
        <w:rPr>
          <w:color w:val="000000"/>
        </w:rPr>
        <w:t>.</w:t>
      </w:r>
    </w:p>
    <w:p w:rsidR="00307A06" w:rsidRPr="00E37001" w:rsidRDefault="00307A06" w:rsidP="00B07B79">
      <w:pPr>
        <w:pStyle w:val="a4"/>
        <w:widowControl w:val="0"/>
        <w:spacing w:before="0" w:line="360" w:lineRule="auto"/>
        <w:ind w:firstLine="567"/>
        <w:contextualSpacing/>
        <w:jc w:val="both"/>
        <w:rPr>
          <w:color w:val="000000"/>
        </w:rPr>
      </w:pPr>
      <w:r w:rsidRPr="00E37001">
        <w:rPr>
          <w:color w:val="000000"/>
        </w:rPr>
        <w:t>Виходячи з вищезазначеного комерційний банк повинен чітко сформулювати кредитну політику, розробляючи її з урахуванням стратегії банку, його політики в області управління ризиками. Діяльність банку за цих умов буде спрямована в основних напрямках кредитної політики. (рис. 1.1.).</w:t>
      </w:r>
    </w:p>
    <w:p w:rsidR="00307A06" w:rsidRPr="00E37001" w:rsidRDefault="00776A19" w:rsidP="00B07B79">
      <w:pPr>
        <w:pStyle w:val="a4"/>
        <w:widowControl w:val="0"/>
        <w:spacing w:before="0" w:line="360" w:lineRule="auto"/>
        <w:ind w:firstLine="0"/>
        <w:contextualSpacing/>
        <w:jc w:val="both"/>
        <w:rPr>
          <w:color w:val="000000"/>
        </w:rPr>
      </w:pPr>
      <w:r>
        <w:rPr>
          <w:noProof/>
          <w:color w:val="000000"/>
          <w:lang w:eastAsia="uk-UA"/>
        </w:rPr>
        <mc:AlternateContent>
          <mc:Choice Requires="wps">
            <w:drawing>
              <wp:anchor distT="0" distB="0" distL="114300" distR="114300" simplePos="0" relativeHeight="251660288" behindDoc="0" locked="0" layoutInCell="1" allowOverlap="1">
                <wp:simplePos x="0" y="0"/>
                <wp:positionH relativeFrom="column">
                  <wp:posOffset>7085965</wp:posOffset>
                </wp:positionH>
                <wp:positionV relativeFrom="paragraph">
                  <wp:posOffset>8114030</wp:posOffset>
                </wp:positionV>
                <wp:extent cx="0" cy="402590"/>
                <wp:effectExtent l="41275" t="7620" r="44450" b="18415"/>
                <wp:wrapNone/>
                <wp:docPr id="225"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9525">
                          <a:solidFill>
                            <a:srgbClr val="333333"/>
                          </a:solidFill>
                          <a:round/>
                          <a:headEnd/>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95pt,638.9pt" to="557.95pt,6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" strokecolor="#333">
                <v:stroke endarrow="classic" endarrowwidth="narrow" endarrowlength="long"/>
              </v:line>
            </w:pict>
          </mc:Fallback>
        </mc:AlternateContent>
      </w:r>
      <w:r>
        <w:rPr>
          <w:noProof/>
          <w:color w:val="000000"/>
          <w:lang w:eastAsia="uk-UA"/>
        </w:rPr>
        <mc:AlternateContent>
          <mc:Choice Requires="wpc">
            <w:drawing>
              <wp:inline distT="0" distB="0" distL="0" distR="0">
                <wp:extent cx="5829300" cy="3543300"/>
                <wp:effectExtent l="3810" t="0" r="0" b="635"/>
                <wp:docPr id="224" name="Полотно 1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14" name="Group 104"/>
                        <wpg:cNvGrpSpPr>
                          <a:grpSpLocks/>
                        </wpg:cNvGrpSpPr>
                        <wpg:grpSpPr bwMode="auto">
                          <a:xfrm>
                            <a:off x="228551" y="114673"/>
                            <a:ext cx="5372197" cy="3314780"/>
                            <a:chOff x="2634" y="-159"/>
                            <a:chExt cx="6511" cy="4018"/>
                          </a:xfrm>
                        </wpg:grpSpPr>
                        <wps:wsp>
                          <wps:cNvPr id="215" name="Text Box 105"/>
                          <wps:cNvSpPr txBox="1">
                            <a:spLocks noChangeArrowheads="1"/>
                          </wps:cNvSpPr>
                          <wps:spPr bwMode="auto">
                            <a:xfrm>
                              <a:off x="3604" y="-159"/>
                              <a:ext cx="4437" cy="415"/>
                            </a:xfrm>
                            <a:prstGeom prst="rect">
                              <a:avLst/>
                            </a:prstGeom>
                            <a:solidFill>
                              <a:srgbClr val="FFFFFF"/>
                            </a:solidFill>
                            <a:ln w="47625" cmpd="thinThick">
                              <a:solidFill>
                                <a:srgbClr val="333333"/>
                              </a:solidFill>
                              <a:miter lim="800000"/>
                              <a:headEnd/>
                              <a:tailEnd/>
                            </a:ln>
                          </wps:spPr>
                          <wps:txbx>
                            <w:txbxContent>
                              <w:p w:rsidR="00631A1C" w:rsidRPr="009652C4" w:rsidRDefault="00631A1C" w:rsidP="00307A06">
                                <w:pPr>
                                  <w:jc w:val="center"/>
                                  <w:rPr>
                                    <w:rFonts w:ascii="Times New Roman" w:hAnsi="Times New Roman" w:cs="Times New Roman"/>
                                    <w:color w:val="333333"/>
                                    <w:sz w:val="28"/>
                                    <w:szCs w:val="28"/>
                                  </w:rPr>
                                </w:pPr>
                                <w:r w:rsidRPr="009652C4">
                                  <w:rPr>
                                    <w:rFonts w:ascii="Times New Roman" w:hAnsi="Times New Roman" w:cs="Times New Roman"/>
                                    <w:color w:val="333333"/>
                                    <w:sz w:val="28"/>
                                    <w:szCs w:val="28"/>
                                  </w:rPr>
                                  <w:t>Кредитна політика</w:t>
                                </w:r>
                              </w:p>
                            </w:txbxContent>
                          </wps:txbx>
                          <wps:bodyPr rot="0" vert="horz" wrap="square" lIns="91440" tIns="45720" rIns="91440" bIns="45720" anchor="t" anchorCtr="0" upright="1">
                            <a:noAutofit/>
                          </wps:bodyPr>
                        </wps:wsp>
                        <wps:wsp>
                          <wps:cNvPr id="216" name="Line 106"/>
                          <wps:cNvCnPr/>
                          <wps:spPr bwMode="auto">
                            <a:xfrm>
                              <a:off x="5825" y="256"/>
                              <a:ext cx="1" cy="416"/>
                            </a:xfrm>
                            <a:prstGeom prst="line">
                              <a:avLst/>
                            </a:prstGeom>
                            <a:noFill/>
                            <a:ln w="9525">
                              <a:solidFill>
                                <a:srgbClr val="333333"/>
                              </a:solidFill>
                              <a:round/>
                              <a:headEnd/>
                              <a:tailEnd type="stealth" w="sm" len="lg"/>
                            </a:ln>
                            <a:extLst>
                              <a:ext uri="{909E8E84-426E-40DD-AFC4-6F175D3DCCD1}">
                                <a14:hiddenFill xmlns:a14="http://schemas.microsoft.com/office/drawing/2010/main">
                                  <a:noFill/>
                                </a14:hiddenFill>
                              </a:ext>
                            </a:extLst>
                          </wps:spPr>
                          <wps:bodyPr/>
                        </wps:wsp>
                        <wps:wsp>
                          <wps:cNvPr id="217" name="Text Box 107"/>
                          <wps:cNvSpPr txBox="1">
                            <a:spLocks noChangeArrowheads="1"/>
                          </wps:cNvSpPr>
                          <wps:spPr bwMode="auto">
                            <a:xfrm>
                              <a:off x="3604" y="672"/>
                              <a:ext cx="4437" cy="416"/>
                            </a:xfrm>
                            <a:prstGeom prst="rect">
                              <a:avLst/>
                            </a:prstGeom>
                            <a:solidFill>
                              <a:srgbClr val="FFFFFF"/>
                            </a:solidFill>
                            <a:ln w="34925" cmpd="thinThick">
                              <a:solidFill>
                                <a:srgbClr val="333333"/>
                              </a:solidFill>
                              <a:miter lim="800000"/>
                              <a:headEnd/>
                              <a:tailEnd/>
                            </a:ln>
                          </wps:spPr>
                          <wps:txbx>
                            <w:txbxContent>
                              <w:p w:rsidR="00631A1C" w:rsidRPr="00D44B75" w:rsidRDefault="00631A1C" w:rsidP="00307A06">
                                <w:pPr>
                                  <w:pStyle w:val="6"/>
                                  <w:spacing w:before="0" w:after="0"/>
                                  <w:jc w:val="center"/>
                                  <w:rPr>
                                    <w:b w:val="0"/>
                                    <w:bCs w:val="0"/>
                                    <w:color w:val="333333"/>
                                    <w:sz w:val="28"/>
                                    <w:szCs w:val="28"/>
                                  </w:rPr>
                                </w:pPr>
                                <w:r w:rsidRPr="00D44B75">
                                  <w:rPr>
                                    <w:b w:val="0"/>
                                    <w:bCs w:val="0"/>
                                    <w:color w:val="333333"/>
                                    <w:sz w:val="28"/>
                                    <w:szCs w:val="28"/>
                                  </w:rPr>
                                  <w:t>Основні напрямки кредитної діяльності</w:t>
                                </w:r>
                              </w:p>
                            </w:txbxContent>
                          </wps:txbx>
                          <wps:bodyPr rot="0" vert="horz" wrap="square" lIns="91440" tIns="45720" rIns="91440" bIns="45720" anchor="t" anchorCtr="0" upright="1">
                            <a:noAutofit/>
                          </wps:bodyPr>
                        </wps:wsp>
                        <wps:wsp>
                          <wps:cNvPr id="218" name="Line 108"/>
                          <wps:cNvCnPr/>
                          <wps:spPr bwMode="auto">
                            <a:xfrm>
                              <a:off x="5826" y="1088"/>
                              <a:ext cx="2" cy="415"/>
                            </a:xfrm>
                            <a:prstGeom prst="line">
                              <a:avLst/>
                            </a:prstGeom>
                            <a:noFill/>
                            <a:ln w="12700">
                              <a:solidFill>
                                <a:srgbClr val="333333"/>
                              </a:solidFill>
                              <a:round/>
                              <a:headEnd/>
                              <a:tailEnd type="stealth" w="sm" len="lg"/>
                            </a:ln>
                            <a:extLst>
                              <a:ext uri="{909E8E84-426E-40DD-AFC4-6F175D3DCCD1}">
                                <a14:hiddenFill xmlns:a14="http://schemas.microsoft.com/office/drawing/2010/main">
                                  <a:noFill/>
                                </a14:hiddenFill>
                              </a:ext>
                            </a:extLst>
                          </wps:spPr>
                          <wps:bodyPr/>
                        </wps:wsp>
                        <wps:wsp>
                          <wps:cNvPr id="219" name="Line 109"/>
                          <wps:cNvCnPr/>
                          <wps:spPr bwMode="auto">
                            <a:xfrm>
                              <a:off x="3742" y="1088"/>
                              <a:ext cx="1" cy="415"/>
                            </a:xfrm>
                            <a:prstGeom prst="line">
                              <a:avLst/>
                            </a:prstGeom>
                            <a:noFill/>
                            <a:ln w="12700">
                              <a:solidFill>
                                <a:srgbClr val="333333"/>
                              </a:solidFill>
                              <a:round/>
                              <a:headEnd/>
                              <a:tailEnd type="stealth" w="sm" len="lg"/>
                            </a:ln>
                            <a:extLst>
                              <a:ext uri="{909E8E84-426E-40DD-AFC4-6F175D3DCCD1}">
                                <a14:hiddenFill xmlns:a14="http://schemas.microsoft.com/office/drawing/2010/main">
                                  <a:noFill/>
                                </a14:hiddenFill>
                              </a:ext>
                            </a:extLst>
                          </wps:spPr>
                          <wps:bodyPr/>
                        </wps:wsp>
                        <wps:wsp>
                          <wps:cNvPr id="220" name="Line 110"/>
                          <wps:cNvCnPr/>
                          <wps:spPr bwMode="auto">
                            <a:xfrm>
                              <a:off x="7898" y="1088"/>
                              <a:ext cx="1" cy="415"/>
                            </a:xfrm>
                            <a:prstGeom prst="line">
                              <a:avLst/>
                            </a:prstGeom>
                            <a:noFill/>
                            <a:ln w="12700">
                              <a:solidFill>
                                <a:srgbClr val="333333"/>
                              </a:solidFill>
                              <a:round/>
                              <a:headEnd/>
                              <a:tailEnd type="stealth" w="sm" len="lg"/>
                            </a:ln>
                            <a:extLst>
                              <a:ext uri="{909E8E84-426E-40DD-AFC4-6F175D3DCCD1}">
                                <a14:hiddenFill xmlns:a14="http://schemas.microsoft.com/office/drawing/2010/main">
                                  <a:noFill/>
                                </a14:hiddenFill>
                              </a:ext>
                            </a:extLst>
                          </wps:spPr>
                          <wps:bodyPr/>
                        </wps:wsp>
                        <wps:wsp>
                          <wps:cNvPr id="221" name="Text Box 111"/>
                          <wps:cNvSpPr txBox="1">
                            <a:spLocks noChangeArrowheads="1"/>
                          </wps:cNvSpPr>
                          <wps:spPr bwMode="auto">
                            <a:xfrm>
                              <a:off x="2634" y="1503"/>
                              <a:ext cx="2217" cy="2355"/>
                            </a:xfrm>
                            <a:prstGeom prst="rect">
                              <a:avLst/>
                            </a:prstGeom>
                            <a:solidFill>
                              <a:srgbClr val="FFFFFF"/>
                            </a:solidFill>
                            <a:ln w="9525">
                              <a:solidFill>
                                <a:srgbClr val="333333"/>
                              </a:solidFill>
                              <a:miter lim="800000"/>
                              <a:headEnd/>
                              <a:tailEnd/>
                            </a:ln>
                          </wps:spPr>
                          <wps:txbx>
                            <w:txbxContent>
                              <w:p w:rsidR="00631A1C" w:rsidRPr="009652C4" w:rsidRDefault="00631A1C" w:rsidP="00307A06">
                                <w:pPr>
                                  <w:rPr>
                                    <w:rFonts w:ascii="Times New Roman" w:hAnsi="Times New Roman" w:cs="Times New Roman"/>
                                    <w:color w:val="333333"/>
                                    <w:sz w:val="28"/>
                                    <w:szCs w:val="28"/>
                                  </w:rPr>
                                </w:pPr>
                                <w:r w:rsidRPr="009652C4">
                                  <w:rPr>
                                    <w:rFonts w:ascii="Times New Roman" w:hAnsi="Times New Roman" w:cs="Times New Roman"/>
                                    <w:color w:val="333333"/>
                                    <w:sz w:val="28"/>
                                    <w:szCs w:val="28"/>
                                  </w:rPr>
                                  <w:t>принципи контролю за якістю управління кредитною діяльністю в банку і роботою служб внутрішнього і зовнішнього аудита</w:t>
                                </w:r>
                              </w:p>
                            </w:txbxContent>
                          </wps:txbx>
                          <wps:bodyPr rot="0" vert="horz" wrap="square" lIns="91440" tIns="45720" rIns="91440" bIns="45720" anchor="t" anchorCtr="0" upright="1">
                            <a:noAutofit/>
                          </wps:bodyPr>
                        </wps:wsp>
                        <wps:wsp>
                          <wps:cNvPr id="222" name="Text Box 112"/>
                          <wps:cNvSpPr txBox="1">
                            <a:spLocks noChangeArrowheads="1"/>
                          </wps:cNvSpPr>
                          <wps:spPr bwMode="auto">
                            <a:xfrm>
                              <a:off x="4989" y="1504"/>
                              <a:ext cx="1662" cy="2354"/>
                            </a:xfrm>
                            <a:prstGeom prst="rect">
                              <a:avLst/>
                            </a:prstGeom>
                            <a:solidFill>
                              <a:srgbClr val="FFFFFF"/>
                            </a:solidFill>
                            <a:ln w="9525">
                              <a:solidFill>
                                <a:srgbClr val="333333"/>
                              </a:solidFill>
                              <a:miter lim="800000"/>
                              <a:headEnd/>
                              <a:tailEnd/>
                            </a:ln>
                          </wps:spPr>
                          <wps:txbx>
                            <w:txbxContent>
                              <w:p w:rsidR="00631A1C" w:rsidRPr="009652C4" w:rsidRDefault="00631A1C" w:rsidP="00307A06">
                                <w:pPr>
                                  <w:pStyle w:val="a6"/>
                                  <w:jc w:val="left"/>
                                  <w:rPr>
                                    <w:color w:val="333333"/>
                                  </w:rPr>
                                </w:pPr>
                                <w:r w:rsidRPr="009652C4">
                                  <w:rPr>
                                    <w:color w:val="333333"/>
                                  </w:rPr>
                                  <w:t>основні дії осіб, що приймають стратегічні вирішення в області кредитування</w:t>
                                </w:r>
                              </w:p>
                            </w:txbxContent>
                          </wps:txbx>
                          <wps:bodyPr rot="0" vert="horz" wrap="square" lIns="91440" tIns="45720" rIns="91440" bIns="45720" anchor="t" anchorCtr="0" upright="1">
                            <a:noAutofit/>
                          </wps:bodyPr>
                        </wps:wsp>
                        <wps:wsp>
                          <wps:cNvPr id="223" name="Text Box 113"/>
                          <wps:cNvSpPr txBox="1">
                            <a:spLocks noChangeArrowheads="1"/>
                          </wps:cNvSpPr>
                          <wps:spPr bwMode="auto">
                            <a:xfrm>
                              <a:off x="6790" y="1504"/>
                              <a:ext cx="2355" cy="2355"/>
                            </a:xfrm>
                            <a:prstGeom prst="rect">
                              <a:avLst/>
                            </a:prstGeom>
                            <a:solidFill>
                              <a:srgbClr val="FFFFFF"/>
                            </a:solidFill>
                            <a:ln w="9525">
                              <a:solidFill>
                                <a:srgbClr val="333333"/>
                              </a:solidFill>
                              <a:miter lim="800000"/>
                              <a:headEnd/>
                              <a:tailEnd/>
                            </a:ln>
                          </wps:spPr>
                          <wps:txbx>
                            <w:txbxContent>
                              <w:p w:rsidR="00631A1C" w:rsidRPr="009652C4" w:rsidRDefault="00631A1C" w:rsidP="00307A06">
                                <w:pPr>
                                  <w:rPr>
                                    <w:rFonts w:ascii="Times New Roman" w:hAnsi="Times New Roman" w:cs="Times New Roman"/>
                                    <w:color w:val="333333"/>
                                    <w:sz w:val="28"/>
                                    <w:szCs w:val="28"/>
                                  </w:rPr>
                                </w:pPr>
                                <w:r w:rsidRPr="009652C4">
                                  <w:rPr>
                                    <w:rFonts w:ascii="Times New Roman" w:hAnsi="Times New Roman" w:cs="Times New Roman"/>
                                    <w:color w:val="333333"/>
                                    <w:sz w:val="28"/>
                                    <w:szCs w:val="28"/>
                                  </w:rPr>
                                  <w:t>об'єктивні стандарти і критерії, якими повинні керуватися банківські працівники, що відповідають за видачу кредитів і управління кредитним портфелем</w:t>
                                </w:r>
                              </w:p>
                            </w:txbxContent>
                          </wps:txbx>
                          <wps:bodyPr rot="0" vert="horz" wrap="square" lIns="91440" tIns="45720" rIns="91440" bIns="45720" anchor="t" anchorCtr="0" upright="1">
                            <a:noAutofit/>
                          </wps:bodyPr>
                        </wps:wsp>
                      </wpg:wgp>
                    </wpc:wpc>
                  </a:graphicData>
                </a:graphic>
              </wp:inline>
            </w:drawing>
          </mc:Choice>
          <mc:Fallback>
            <w:pict>
              <v:group id="Полотно 102" o:spid="_x0000_s1026"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group id="Group 104" o:spid="_x0000_s1028" style="position:absolute;left:2285;top:1146;width:53722;height:33148" coordorigin="2634,-159" coordsize="6511,4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type id="_x0000_t202" coordsize="21600,21600" o:spt="202" path="m,l,21600r21600,l21600,xe">
                    <v:stroke joinstyle="miter"/>
                    <v:path gradientshapeok="t" o:connecttype="rect"/>
                  </v:shapetype>
                  <v:shape id="Text Box 105" o:spid="_x0000_s1029" type="#_x0000_t202" style="position:absolute;left:3604;top:-159;width:4437;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A+rMUA&#10;AADcAAAADwAAAGRycy9kb3ducmV2LnhtbESPQWsCMRSE74X+h/AKvWl2Fyq6GmURhfbQQ9XS63Pz&#10;3CxuXpYk1W1/vSkIPQ4z8w2zWA22ExfyoXWsIB9nIIhrp1tuFBz229EURIjIGjvHpOCHAqyWjw8L&#10;LLW78gdddrERCcKhRAUmxr6UMtSGLIax64mTd3LeYkzSN1J7vCa47WSRZRNpseW0YLCntaH6vPu2&#10;Cr7eqvfN0bSmL7DYTGc+H36rT6Wen4ZqDiLSEP/D9/arVlDkL/B3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D6sxQAAANwAAAAPAAAAAAAAAAAAAAAAAJgCAABkcnMv&#10;ZG93bnJldi54bWxQSwUGAAAAAAQABAD1AAAAigMAAAAA&#10;" strokecolor="#333" strokeweight="3.75pt">
                    <v:stroke linestyle="thinThick"/>
                    <v:textbox>
                      <w:txbxContent>
                        <w:p w:rsidR="00631A1C" w:rsidRPr="009652C4" w:rsidRDefault="00631A1C" w:rsidP="00307A06">
                          <w:pPr>
                            <w:jc w:val="center"/>
                            <w:rPr>
                              <w:rFonts w:ascii="Times New Roman" w:hAnsi="Times New Roman" w:cs="Times New Roman"/>
                              <w:color w:val="333333"/>
                              <w:sz w:val="28"/>
                              <w:szCs w:val="28"/>
                            </w:rPr>
                          </w:pPr>
                          <w:r w:rsidRPr="009652C4">
                            <w:rPr>
                              <w:rFonts w:ascii="Times New Roman" w:hAnsi="Times New Roman" w:cs="Times New Roman"/>
                              <w:color w:val="333333"/>
                              <w:sz w:val="28"/>
                              <w:szCs w:val="28"/>
                            </w:rPr>
                            <w:t>Кредитна політика</w:t>
                          </w:r>
                        </w:p>
                      </w:txbxContent>
                    </v:textbox>
                  </v:shape>
                  <v:line id="Line 106" o:spid="_x0000_s1030" style="position:absolute;visibility:visible;mso-wrap-style:square" from="5825,256" to="58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kstsgAAADcAAAADwAAAGRycy9kb3ducmV2LnhtbESPQWvCQBSE74X+h+UVeim60YOUmFVE&#10;kFZLKRqV9vbIPpNg9m2a3cbYX+8KgsdhZr5hkmlnKtFS40rLCgb9CARxZnXJuYJtuui9gnAeWWNl&#10;mRScycF08viQYKztidfUbnwuAoRdjAoK7+tYSpcVZND1bU0cvINtDPogm1zqBk8Bbio5jKKRNFhy&#10;WCiwpnlB2XHzZxQsVy+/+9lPu/v6/PhP9+nb91kvrVLPT91sDMJT5+/hW/tdKxgORnA9E46AnF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akstsgAAADcAAAADwAAAAAA&#10;AAAAAAAAAAChAgAAZHJzL2Rvd25yZXYueG1sUEsFBgAAAAAEAAQA+QAAAJYDAAAAAA==&#10;" strokecolor="#333">
                    <v:stroke endarrow="classic" endarrowwidth="narrow" endarrowlength="long"/>
                  </v:line>
                  <v:shape id="Text Box 107" o:spid="_x0000_s1031" type="#_x0000_t202" style="position:absolute;left:3604;top:672;width:4437;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i81sQA&#10;AADcAAAADwAAAGRycy9kb3ducmV2LnhtbESPT4vCMBTE7wv7HcJb8LamLaKlaxTZRfAk+Ad3j4/m&#10;bVtsXkoSa/32RhA8DjPzG2a+HEwrenK+sawgHScgiEurG64UHA/rzxyED8gaW8uk4EYelov3tzkW&#10;2l55R/0+VCJC2BeooA6hK6T0ZU0G/dh2xNH7t85giNJVUju8RrhpZZYkU2mw4bhQY0ffNZXn/cUo&#10;mPQ/q98bu78+tX4322an/JxnSo0+htUXiEBDeIWf7Y1WkKUz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ovNbEAAAA3AAAAA8AAAAAAAAAAAAAAAAAmAIAAGRycy9k&#10;b3ducmV2LnhtbFBLBQYAAAAABAAEAPUAAACJAwAAAAA=&#10;" strokecolor="#333" strokeweight="2.75pt">
                    <v:stroke linestyle="thinThick"/>
                    <v:textbox>
                      <w:txbxContent>
                        <w:p w:rsidR="00631A1C" w:rsidRPr="00D44B75" w:rsidRDefault="00631A1C" w:rsidP="00307A06">
                          <w:pPr>
                            <w:pStyle w:val="6"/>
                            <w:spacing w:before="0" w:after="0"/>
                            <w:jc w:val="center"/>
                            <w:rPr>
                              <w:b w:val="0"/>
                              <w:bCs w:val="0"/>
                              <w:color w:val="333333"/>
                              <w:sz w:val="28"/>
                              <w:szCs w:val="28"/>
                            </w:rPr>
                          </w:pPr>
                          <w:r w:rsidRPr="00D44B75">
                            <w:rPr>
                              <w:b w:val="0"/>
                              <w:bCs w:val="0"/>
                              <w:color w:val="333333"/>
                              <w:sz w:val="28"/>
                              <w:szCs w:val="28"/>
                            </w:rPr>
                            <w:t>Основні напрямки кредитної діяльності</w:t>
                          </w:r>
                        </w:p>
                      </w:txbxContent>
                    </v:textbox>
                  </v:shape>
                  <v:line id="Line 108" o:spid="_x0000_s1032" style="position:absolute;visibility:visible;mso-wrap-style:square" from="5826,1088" to="5828,1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R0O8IAAADcAAAADwAAAGRycy9kb3ducmV2LnhtbERPy2oCMRTdF/yHcAV3NeMgpU6NIoJF&#10;tA+0Xbi8TG4ng5ObNIk6/ftmUejycN7zZW87caUQW8cKJuMCBHHtdMuNgs+Pzf0jiJiQNXaOScEP&#10;RVguBndzrLS78YGux9SIHMKxQgUmJV9JGWtDFuPYeeLMfblgMWUYGqkD3nK47WRZFA/SYsu5waCn&#10;taH6fLxYBVv/HV6eX0u/P83e3BTN5bR7J6VGw371BCJRn/7Ff+6tVlBO8tp8Jh8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R0O8IAAADcAAAADwAAAAAAAAAAAAAA&#10;AAChAgAAZHJzL2Rvd25yZXYueG1sUEsFBgAAAAAEAAQA+QAAAJADAAAAAA==&#10;" strokecolor="#333" strokeweight="1pt">
                    <v:stroke endarrow="classic" endarrowwidth="narrow" endarrowlength="long"/>
                  </v:line>
                  <v:line id="Line 109" o:spid="_x0000_s1033" style="position:absolute;visibility:visible;mso-wrap-style:square" from="3742,1088" to="3743,1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jRoMUAAADcAAAADwAAAGRycy9kb3ducmV2LnhtbESPQWsCMRSE70L/Q3gFb5p1kVJXo5RC&#10;i7S2perB42Pz3CzdvKRJ1O2/N4VCj8PMfMMsVr3txJlCbB0rmIwLEMS10y03Cva7p9E9iJiQNXaO&#10;ScEPRVgtbwYLrLS78Cedt6kRGcKxQgUmJV9JGWtDFuPYeeLsHV2wmLIMjdQBLxluO1kWxZ202HJe&#10;MOjp0VD9tT1ZBWv/HTbPb6V/Pcze3RTN6fDyQUoNb/uHOYhEffoP/7XXWkE5mcHvmXw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jRoMUAAADcAAAADwAAAAAAAAAA&#10;AAAAAAChAgAAZHJzL2Rvd25yZXYueG1sUEsFBgAAAAAEAAQA+QAAAJMDAAAAAA==&#10;" strokecolor="#333" strokeweight="1pt">
                    <v:stroke endarrow="classic" endarrowwidth="narrow" endarrowlength="long"/>
                  </v:line>
                  <v:line id="Line 110" o:spid="_x0000_s1034" style="position:absolute;visibility:visible;mso-wrap-style:square" from="7898,1088" to="7899,1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6ygMIAAADcAAAADwAAAGRycy9kb3ducmV2LnhtbERPTWsCMRC9F/wPYYTearZLkXZrlCIo&#10;otZS24PHYTPdLN1MYhJ1/ffmUOjx8b4ns9524kwhto4VPI4KEMS10y03Cr6/Fg/PIGJC1tg5JgVX&#10;ijCbDu4mWGl34U8671MjcgjHChWYlHwlZawNWYwj54kz9+OCxZRhaKQOeMnhtpNlUYylxZZzg0FP&#10;c0P17/5kFaz8MWyX76XfHF527gnN6bD+IKXuh/3bK4hEffoX/7lXWkFZ5vn5TD4Ccn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46ygMIAAADcAAAADwAAAAAAAAAAAAAA&#10;AAChAgAAZHJzL2Rvd25yZXYueG1sUEsFBgAAAAAEAAQA+QAAAJADAAAAAA==&#10;" strokecolor="#333" strokeweight="1pt">
                    <v:stroke endarrow="classic" endarrowwidth="narrow" endarrowlength="long"/>
                  </v:line>
                  <v:shape id="Text Box 111" o:spid="_x0000_s1035" type="#_x0000_t202" style="position:absolute;left:2634;top:1503;width:2217;height:2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3ysQA&#10;AADcAAAADwAAAGRycy9kb3ducmV2LnhtbESPQWvCQBSE74L/YXlCb2ZjDqXGrFKFFHNsVGhvj+wz&#10;Cc2+DdnVpP++WxA8DjPzDZPtJtOJOw2utaxgFcUgiCurW64VnE/58g2E88gaO8uk4Jcc7LbzWYap&#10;tiN/0r30tQgQdikqaLzvUyld1ZBBF9meOHhXOxj0QQ611AOOAW46mcTxqzTYclhosKdDQ9VPeTMK&#10;xo+6L7Te5926uHztdZt/V8dcqZfF9L4B4Wnyz/CjfdQKkmQF/2fC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Ad8rEAAAA3AAAAA8AAAAAAAAAAAAAAAAAmAIAAGRycy9k&#10;b3ducmV2LnhtbFBLBQYAAAAABAAEAPUAAACJAwAAAAA=&#10;" strokecolor="#333">
                    <v:textbox>
                      <w:txbxContent>
                        <w:p w:rsidR="00631A1C" w:rsidRPr="009652C4" w:rsidRDefault="00631A1C" w:rsidP="00307A06">
                          <w:pPr>
                            <w:rPr>
                              <w:rFonts w:ascii="Times New Roman" w:hAnsi="Times New Roman" w:cs="Times New Roman"/>
                              <w:color w:val="333333"/>
                              <w:sz w:val="28"/>
                              <w:szCs w:val="28"/>
                            </w:rPr>
                          </w:pPr>
                          <w:r w:rsidRPr="009652C4">
                            <w:rPr>
                              <w:rFonts w:ascii="Times New Roman" w:hAnsi="Times New Roman" w:cs="Times New Roman"/>
                              <w:color w:val="333333"/>
                              <w:sz w:val="28"/>
                              <w:szCs w:val="28"/>
                            </w:rPr>
                            <w:t>принципи контролю за якістю управління кредитною діяльністю в банку і роботою служб внутрішнього і зовнішнього аудита</w:t>
                          </w:r>
                        </w:p>
                      </w:txbxContent>
                    </v:textbox>
                  </v:shape>
                  <v:shape id="Text Box 112" o:spid="_x0000_s1036" type="#_x0000_t202" style="position:absolute;left:4989;top:1504;width:1662;height:2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pvcEA&#10;AADcAAAADwAAAGRycy9kb3ducmV2LnhtbESPQYvCMBSE7wv+h/AEb2tqD+JWo6hQ0aOugt4ezbMt&#10;Ni+libb+eyMIHoeZ+YaZLTpTiQc1rrSsYDSMQBBnVpecKzj+p78TEM4ja6wsk4InOVjMez8zTLRt&#10;eU+Pg89FgLBLUEHhfZ1I6bKCDLqhrYmDd7WNQR9kk0vdYBvgppJxFI2lwZLDQoE1rQvKboe7UdBu&#10;8nqn9Sqt/nan80qX6SXbpkoN+t1yCsJT57/hT3urFcRxDO8z4Qj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S6b3BAAAA3AAAAA8AAAAAAAAAAAAAAAAAmAIAAGRycy9kb3du&#10;cmV2LnhtbFBLBQYAAAAABAAEAPUAAACGAwAAAAA=&#10;" strokecolor="#333">
                    <v:textbox>
                      <w:txbxContent>
                        <w:p w:rsidR="00631A1C" w:rsidRPr="009652C4" w:rsidRDefault="00631A1C" w:rsidP="00307A06">
                          <w:pPr>
                            <w:pStyle w:val="a6"/>
                            <w:jc w:val="left"/>
                            <w:rPr>
                              <w:color w:val="333333"/>
                            </w:rPr>
                          </w:pPr>
                          <w:r w:rsidRPr="009652C4">
                            <w:rPr>
                              <w:color w:val="333333"/>
                            </w:rPr>
                            <w:t>основні дії осіб, що приймають стратегічні вирішення в області кредитування</w:t>
                          </w:r>
                        </w:p>
                      </w:txbxContent>
                    </v:textbox>
                  </v:shape>
                  <v:shape id="Text Box 113" o:spid="_x0000_s1037" type="#_x0000_t202" style="position:absolute;left:6790;top:1504;width:2355;height:2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5MJsIA&#10;AADcAAAADwAAAGRycy9kb3ducmV2LnhtbESPT4vCMBTE7wt+h/AEb2tqhWWtRlGhokf/gd4ezbMt&#10;Ni+libZ+e7Mg7HGYmd8ws0VnKvGkxpWWFYyGEQjizOqScwWnY/r9C8J5ZI2VZVLwIgeLee9rhom2&#10;Le/pefC5CBB2CSoovK8TKV1WkEE3tDVx8G62MeiDbHKpG2wD3FQyjqIfabDksFBgTeuCsvvhYRS0&#10;m7zeab1Kq8nufFnpMr1m21SpQb9bTkF46vx/+NPeagVxPIa/M+EI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kwmwgAAANwAAAAPAAAAAAAAAAAAAAAAAJgCAABkcnMvZG93&#10;bnJldi54bWxQSwUGAAAAAAQABAD1AAAAhwMAAAAA&#10;" strokecolor="#333">
                    <v:textbox>
                      <w:txbxContent>
                        <w:p w:rsidR="00631A1C" w:rsidRPr="009652C4" w:rsidRDefault="00631A1C" w:rsidP="00307A06">
                          <w:pPr>
                            <w:rPr>
                              <w:rFonts w:ascii="Times New Roman" w:hAnsi="Times New Roman" w:cs="Times New Roman"/>
                              <w:color w:val="333333"/>
                              <w:sz w:val="28"/>
                              <w:szCs w:val="28"/>
                            </w:rPr>
                          </w:pPr>
                          <w:r w:rsidRPr="009652C4">
                            <w:rPr>
                              <w:rFonts w:ascii="Times New Roman" w:hAnsi="Times New Roman" w:cs="Times New Roman"/>
                              <w:color w:val="333333"/>
                              <w:sz w:val="28"/>
                              <w:szCs w:val="28"/>
                            </w:rPr>
                            <w:t>об'єктивні стандарти і критерії, якими повинні керуватися банківські працівники, що відповідають за видачу кредитів і управління кредитним портфелем</w:t>
                          </w:r>
                        </w:p>
                      </w:txbxContent>
                    </v:textbox>
                  </v:shape>
                </v:group>
                <w10:anchorlock/>
              </v:group>
            </w:pict>
          </mc:Fallback>
        </mc:AlternateContent>
      </w:r>
    </w:p>
    <w:p w:rsidR="00307A06" w:rsidRPr="00E37001" w:rsidRDefault="00307A06" w:rsidP="00B07B79">
      <w:pPr>
        <w:pStyle w:val="a4"/>
        <w:widowControl w:val="0"/>
        <w:spacing w:before="0" w:line="360" w:lineRule="auto"/>
        <w:ind w:firstLine="567"/>
        <w:contextualSpacing/>
        <w:jc w:val="both"/>
        <w:rPr>
          <w:color w:val="000000"/>
        </w:rPr>
      </w:pPr>
      <w:r w:rsidRPr="00E37001">
        <w:rPr>
          <w:color w:val="000000"/>
        </w:rPr>
        <w:t>Рис. 1.1. Напрямки кредитно</w:t>
      </w:r>
      <w:r w:rsidR="00776A19">
        <w:rPr>
          <w:color w:val="000000"/>
        </w:rPr>
        <w:t>ї політики комерційного банку [</w:t>
      </w:r>
      <w:r w:rsidR="00776A19" w:rsidRPr="00776A19">
        <w:rPr>
          <w:color w:val="000000"/>
          <w:lang w:val="ru-RU"/>
        </w:rPr>
        <w:t>2</w:t>
      </w:r>
      <w:r w:rsidRPr="00E37001">
        <w:rPr>
          <w:color w:val="000000"/>
        </w:rPr>
        <w:t>0]</w:t>
      </w:r>
    </w:p>
    <w:p w:rsidR="00307A06" w:rsidRPr="00E37001" w:rsidRDefault="00307A06" w:rsidP="00B07B79">
      <w:pPr>
        <w:widowControl w:val="0"/>
        <w:spacing w:line="360" w:lineRule="auto"/>
        <w:ind w:firstLine="567"/>
        <w:contextualSpacing/>
        <w:jc w:val="both"/>
        <w:rPr>
          <w:rFonts w:ascii="Times New Roman" w:hAnsi="Times New Roman" w:cs="Times New Roman"/>
          <w:color w:val="000000"/>
          <w:sz w:val="28"/>
          <w:szCs w:val="28"/>
        </w:rPr>
      </w:pPr>
    </w:p>
    <w:p w:rsidR="00307A06" w:rsidRPr="00E37001" w:rsidRDefault="00307A06" w:rsidP="00B07B79">
      <w:pPr>
        <w:widowControl w:val="0"/>
        <w:spacing w:line="360" w:lineRule="auto"/>
        <w:ind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Напрямки кредитної політики, в свою чергу, розбиваються на елементи, головними серед яких є:</w:t>
      </w:r>
    </w:p>
    <w:p w:rsidR="00307A06" w:rsidRPr="00E37001" w:rsidRDefault="00307A06" w:rsidP="00B07B79">
      <w:pPr>
        <w:widowControl w:val="0"/>
        <w:numPr>
          <w:ilvl w:val="0"/>
          <w:numId w:val="1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складання інструкції щодо кредитування;</w:t>
      </w:r>
    </w:p>
    <w:p w:rsidR="00307A06" w:rsidRPr="00E37001" w:rsidRDefault="00307A06" w:rsidP="00B07B79">
      <w:pPr>
        <w:widowControl w:val="0"/>
        <w:numPr>
          <w:ilvl w:val="0"/>
          <w:numId w:val="1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оцінка кредитних заявок та укладання кредитної угоди;</w:t>
      </w:r>
    </w:p>
    <w:p w:rsidR="00307A06" w:rsidRPr="00E37001" w:rsidRDefault="00307A06" w:rsidP="00B07B79">
      <w:pPr>
        <w:widowControl w:val="0"/>
        <w:numPr>
          <w:ilvl w:val="0"/>
          <w:numId w:val="1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ведення кредитних справ і кредитний моніторинг;</w:t>
      </w:r>
    </w:p>
    <w:p w:rsidR="00307A06" w:rsidRPr="00E37001" w:rsidRDefault="00307A06" w:rsidP="00B07B79">
      <w:pPr>
        <w:widowControl w:val="0"/>
        <w:numPr>
          <w:ilvl w:val="0"/>
          <w:numId w:val="1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кредитне оздоровлення;</w:t>
      </w:r>
    </w:p>
    <w:p w:rsidR="00307A06" w:rsidRPr="00E37001" w:rsidRDefault="00307A06" w:rsidP="00B07B79">
      <w:pPr>
        <w:widowControl w:val="0"/>
        <w:numPr>
          <w:ilvl w:val="0"/>
          <w:numId w:val="1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аналіз кредитного портфелю;</w:t>
      </w:r>
    </w:p>
    <w:p w:rsidR="00307A06" w:rsidRPr="00E37001" w:rsidRDefault="00307A06" w:rsidP="00B07B79">
      <w:pPr>
        <w:widowControl w:val="0"/>
        <w:numPr>
          <w:ilvl w:val="0"/>
          <w:numId w:val="1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складання звітів щодо кредитування.</w:t>
      </w:r>
    </w:p>
    <w:p w:rsidR="00307A06" w:rsidRPr="00776A19" w:rsidRDefault="00307A06" w:rsidP="00B07B79">
      <w:pPr>
        <w:widowControl w:val="0"/>
        <w:spacing w:line="360" w:lineRule="auto"/>
        <w:ind w:firstLine="567"/>
        <w:contextualSpacing/>
        <w:jc w:val="both"/>
        <w:rPr>
          <w:rFonts w:ascii="Times New Roman" w:hAnsi="Times New Roman" w:cs="Times New Roman"/>
          <w:color w:val="000000"/>
          <w:sz w:val="28"/>
          <w:szCs w:val="28"/>
          <w:lang w:val="ru-RU"/>
        </w:rPr>
      </w:pPr>
      <w:r w:rsidRPr="00E37001">
        <w:rPr>
          <w:rFonts w:ascii="Times New Roman" w:hAnsi="Times New Roman" w:cs="Times New Roman"/>
          <w:color w:val="000000"/>
          <w:sz w:val="28"/>
          <w:szCs w:val="28"/>
        </w:rPr>
        <w:t>Отже, ми бачимо, що вказані елементи перегукуються з етапами кредитування. Так, кредитна інструкція являє собою опис послідовних дій (кроків), що закріплюють загальний алгоритм реалізації кредитної процедури. Іншими словами, вона відноситься тільки до одного конкретного напрямку кредитної діяльності, але є в більшій мірі вказівкою на певні практичні дії, ніж детальний опис того</w:t>
      </w:r>
      <w:r w:rsidR="00776A19">
        <w:rPr>
          <w:rFonts w:ascii="Times New Roman" w:hAnsi="Times New Roman" w:cs="Times New Roman"/>
          <w:color w:val="000000"/>
          <w:sz w:val="28"/>
          <w:szCs w:val="28"/>
        </w:rPr>
        <w:t>, як вони повинні здійснюватися</w:t>
      </w:r>
      <w:r w:rsidR="00776A19" w:rsidRPr="00776A19">
        <w:rPr>
          <w:rFonts w:ascii="Times New Roman" w:hAnsi="Times New Roman" w:cs="Times New Roman"/>
          <w:color w:val="000000"/>
          <w:sz w:val="28"/>
          <w:szCs w:val="28"/>
          <w:lang w:val="ru-RU"/>
        </w:rPr>
        <w:t xml:space="preserve"> </w:t>
      </w:r>
      <w:r w:rsidRPr="00E37001">
        <w:rPr>
          <w:rFonts w:ascii="Times New Roman" w:hAnsi="Times New Roman" w:cs="Times New Roman"/>
          <w:color w:val="000000"/>
          <w:sz w:val="28"/>
          <w:szCs w:val="28"/>
        </w:rPr>
        <w:t>[35</w:t>
      </w:r>
      <w:r w:rsidR="00776A19" w:rsidRPr="00776A19">
        <w:rPr>
          <w:rFonts w:ascii="Times New Roman" w:hAnsi="Times New Roman" w:cs="Times New Roman"/>
          <w:color w:val="000000"/>
          <w:sz w:val="28"/>
          <w:szCs w:val="28"/>
          <w:lang w:val="ru-RU"/>
        </w:rPr>
        <w:t xml:space="preserve">, </w:t>
      </w:r>
      <w:r w:rsidR="00776A19">
        <w:rPr>
          <w:rFonts w:ascii="Times New Roman" w:hAnsi="Times New Roman" w:cs="Times New Roman"/>
          <w:color w:val="000000"/>
          <w:sz w:val="28"/>
          <w:szCs w:val="28"/>
          <w:lang w:val="en-US"/>
        </w:rPr>
        <w:t>c</w:t>
      </w:r>
      <w:r w:rsidR="00776A19" w:rsidRPr="00776A19">
        <w:rPr>
          <w:rFonts w:ascii="Times New Roman" w:hAnsi="Times New Roman" w:cs="Times New Roman"/>
          <w:color w:val="000000"/>
          <w:sz w:val="28"/>
          <w:szCs w:val="28"/>
          <w:lang w:val="ru-RU"/>
        </w:rPr>
        <w:t>.100</w:t>
      </w:r>
      <w:r w:rsidRPr="00E37001">
        <w:rPr>
          <w:rFonts w:ascii="Times New Roman" w:hAnsi="Times New Roman" w:cs="Times New Roman"/>
          <w:color w:val="000000"/>
          <w:sz w:val="28"/>
          <w:szCs w:val="28"/>
        </w:rPr>
        <w:t>]</w:t>
      </w:r>
      <w:r w:rsidR="00776A19" w:rsidRPr="00776A19">
        <w:rPr>
          <w:rFonts w:ascii="Times New Roman" w:hAnsi="Times New Roman" w:cs="Times New Roman"/>
          <w:color w:val="000000"/>
          <w:sz w:val="28"/>
          <w:szCs w:val="28"/>
          <w:lang w:val="ru-RU"/>
        </w:rPr>
        <w:t>.</w:t>
      </w:r>
    </w:p>
    <w:p w:rsidR="00307A06" w:rsidRPr="00E37001" w:rsidRDefault="00307A06" w:rsidP="00B07B79">
      <w:pPr>
        <w:widowControl w:val="0"/>
        <w:spacing w:line="360" w:lineRule="auto"/>
        <w:ind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В основу оцінки кредитної заявки покладено різні критерії, серед яких можна виділити такі, як репутація (відносини позичальника з кредиторами, клієнтами та постачальниками), з’ясування платоспроможності, наявність власного капіталу, поточний стан економіки або галузі та забезпечення (застава, гарантія або страхування). Також в межах даного елементу визначаються джерела ризику і оцінюється кожне з цих джерел та сукупний ризик щодо потенційної кредитної угоди.</w:t>
      </w:r>
    </w:p>
    <w:p w:rsidR="00307A06" w:rsidRPr="00E37001" w:rsidRDefault="00307A06" w:rsidP="00B07B79">
      <w:pPr>
        <w:pStyle w:val="3"/>
        <w:widowControl w:val="0"/>
        <w:spacing w:after="0" w:line="360" w:lineRule="auto"/>
        <w:ind w:left="0" w:firstLine="567"/>
        <w:contextualSpacing/>
        <w:jc w:val="both"/>
        <w:rPr>
          <w:color w:val="000000"/>
          <w:sz w:val="28"/>
          <w:szCs w:val="28"/>
        </w:rPr>
      </w:pPr>
      <w:r w:rsidRPr="00E37001">
        <w:rPr>
          <w:color w:val="000000"/>
          <w:sz w:val="28"/>
          <w:szCs w:val="28"/>
        </w:rPr>
        <w:t>Окрім цього аналізується вплив, який справляє потенційна кредитна угода на вже сформований кредитний портфель банку. На основі проведеного аналізу визначається ставка відсотку за кредит з урахуванням всіх раніше визначених аспектів</w:t>
      </w:r>
      <w:r w:rsidR="00631A1C" w:rsidRPr="00631A1C">
        <w:rPr>
          <w:color w:val="000000"/>
          <w:sz w:val="28"/>
          <w:szCs w:val="28"/>
          <w:lang w:val="ru-RU"/>
        </w:rPr>
        <w:t xml:space="preserve"> [19, </w:t>
      </w:r>
      <w:r w:rsidR="00631A1C">
        <w:rPr>
          <w:color w:val="000000"/>
          <w:sz w:val="28"/>
          <w:szCs w:val="28"/>
          <w:lang w:val="en-US"/>
        </w:rPr>
        <w:t>c</w:t>
      </w:r>
      <w:r w:rsidR="00631A1C" w:rsidRPr="00631A1C">
        <w:rPr>
          <w:color w:val="000000"/>
          <w:sz w:val="28"/>
          <w:szCs w:val="28"/>
          <w:lang w:val="ru-RU"/>
        </w:rPr>
        <w:t>.123]</w:t>
      </w:r>
      <w:r w:rsidRPr="00E37001">
        <w:rPr>
          <w:color w:val="000000"/>
          <w:sz w:val="28"/>
          <w:szCs w:val="28"/>
        </w:rPr>
        <w:t>.</w:t>
      </w:r>
    </w:p>
    <w:p w:rsidR="00307A06" w:rsidRPr="00E37001" w:rsidRDefault="00307A06" w:rsidP="00B07B79">
      <w:pPr>
        <w:pStyle w:val="4"/>
        <w:keepNext w:val="0"/>
        <w:widowControl w:val="0"/>
        <w:spacing w:before="0" w:after="0" w:line="360" w:lineRule="auto"/>
        <w:ind w:firstLine="567"/>
        <w:contextualSpacing/>
        <w:jc w:val="both"/>
        <w:rPr>
          <w:b w:val="0"/>
          <w:bCs w:val="0"/>
          <w:color w:val="000000"/>
        </w:rPr>
      </w:pPr>
      <w:r w:rsidRPr="00E37001">
        <w:rPr>
          <w:b w:val="0"/>
          <w:bCs w:val="0"/>
          <w:color w:val="000000"/>
        </w:rPr>
        <w:t xml:space="preserve">Сутність такого елементу кредитної політики як кредитний моніторинг полягає в тому, що за допомогою цього елемента контролюється </w:t>
      </w:r>
      <w:r w:rsidRPr="00E37001">
        <w:rPr>
          <w:b w:val="0"/>
          <w:bCs w:val="0"/>
          <w:color w:val="000000"/>
        </w:rPr>
        <w:lastRenderedPageBreak/>
        <w:t>використання кредиту за призначенням, аналізуються зміни у фінансовому стані позичальника, здійснюється контроль за наданим забезпеченням. Якщо останнім виступає застава, то потрібно слідкувати за її зберіганням, а якщо забезпеченням виступає гарантія, то проводити систематичний аналіз фінансової діяльності гаранта або страховика. Ключовим моментом даної процедури є підтримання тісних контактів з клієнтом для отримання оперативної інформації та її своєчасного аналізу</w:t>
      </w:r>
      <w:r w:rsidR="00776A19" w:rsidRPr="00776A19">
        <w:rPr>
          <w:b w:val="0"/>
          <w:bCs w:val="0"/>
          <w:color w:val="000000"/>
        </w:rPr>
        <w:t xml:space="preserve"> [18, </w:t>
      </w:r>
      <w:r w:rsidR="00776A19">
        <w:rPr>
          <w:b w:val="0"/>
          <w:bCs w:val="0"/>
          <w:color w:val="000000"/>
          <w:lang w:val="en-US"/>
        </w:rPr>
        <w:t>c</w:t>
      </w:r>
      <w:r w:rsidR="00776A19" w:rsidRPr="00776A19">
        <w:rPr>
          <w:b w:val="0"/>
          <w:bCs w:val="0"/>
          <w:color w:val="000000"/>
        </w:rPr>
        <w:t>.66]</w:t>
      </w:r>
      <w:r w:rsidRPr="00E37001">
        <w:rPr>
          <w:b w:val="0"/>
          <w:bCs w:val="0"/>
          <w:color w:val="000000"/>
        </w:rPr>
        <w:t>.</w:t>
      </w:r>
    </w:p>
    <w:p w:rsidR="00307A06" w:rsidRPr="00E37001" w:rsidRDefault="00307A06" w:rsidP="00B07B79">
      <w:pPr>
        <w:pStyle w:val="4"/>
        <w:keepNext w:val="0"/>
        <w:widowControl w:val="0"/>
        <w:spacing w:before="0" w:after="0" w:line="360" w:lineRule="auto"/>
        <w:ind w:firstLine="567"/>
        <w:contextualSpacing/>
        <w:jc w:val="both"/>
        <w:rPr>
          <w:b w:val="0"/>
          <w:bCs w:val="0"/>
          <w:color w:val="000000"/>
        </w:rPr>
      </w:pPr>
      <w:r w:rsidRPr="00E37001">
        <w:rPr>
          <w:b w:val="0"/>
          <w:bCs w:val="0"/>
          <w:color w:val="000000"/>
        </w:rPr>
        <w:t>Особливу увагу і додатковий контроль в процесі реалізації кредитної політики потрібно приділяти роботі з проблемними кредитами. Слід зазначити, що по сигналам раннього попередження можливих втрат в майбутньому службовці банка повинні здійснювати всі можливі заходи із забезпечення повернення проблемних кредитів.</w:t>
      </w:r>
    </w:p>
    <w:p w:rsidR="00307A06" w:rsidRPr="00776A19" w:rsidRDefault="00307A06" w:rsidP="00B07B79">
      <w:pPr>
        <w:pStyle w:val="4"/>
        <w:keepNext w:val="0"/>
        <w:widowControl w:val="0"/>
        <w:spacing w:before="0" w:after="0" w:line="360" w:lineRule="auto"/>
        <w:ind w:firstLine="567"/>
        <w:contextualSpacing/>
        <w:jc w:val="both"/>
        <w:rPr>
          <w:b w:val="0"/>
          <w:bCs w:val="0"/>
          <w:color w:val="000000"/>
          <w:lang w:val="ru-RU"/>
        </w:rPr>
      </w:pPr>
      <w:r w:rsidRPr="00E37001">
        <w:rPr>
          <w:b w:val="0"/>
          <w:bCs w:val="0"/>
          <w:color w:val="000000"/>
        </w:rPr>
        <w:t xml:space="preserve">Аналіз кредитного портфеля полягає в тому, що службовці банка проводять систематичний аналіз кредитного портфеля (сукупності всіх кредитних угод) за різними критеріями. Серед них можна виділити такі: галузева ознака, вид кредиту (короткостроковий, довгостроковий), спосіб забезпечення повернення кредиту (гарантія, страхування, застава) та розмір кредиту. На основі аналізу кредитного портфеля за цими критеріями робиться висновок щодо ступеня його диверсифікації в цілому та за кожним напрямком зокрема. Аналіз питомої ваги пролонгованих та прострочених кредитів дозволяє зробити висновок </w:t>
      </w:r>
      <w:r w:rsidR="00776A19">
        <w:rPr>
          <w:b w:val="0"/>
          <w:bCs w:val="0"/>
          <w:color w:val="000000"/>
        </w:rPr>
        <w:t>щодо якості кредитного портфеля</w:t>
      </w:r>
      <w:r w:rsidR="00776A19" w:rsidRPr="00776A19">
        <w:rPr>
          <w:b w:val="0"/>
          <w:bCs w:val="0"/>
          <w:color w:val="000000"/>
          <w:lang w:val="ru-RU"/>
        </w:rPr>
        <w:t xml:space="preserve"> </w:t>
      </w:r>
      <w:r w:rsidRPr="00E37001">
        <w:rPr>
          <w:b w:val="0"/>
          <w:bCs w:val="0"/>
          <w:color w:val="000000"/>
        </w:rPr>
        <w:t>[41</w:t>
      </w:r>
      <w:r w:rsidR="00776A19" w:rsidRPr="00776A19">
        <w:rPr>
          <w:b w:val="0"/>
          <w:bCs w:val="0"/>
          <w:color w:val="000000"/>
          <w:lang w:val="ru-RU"/>
        </w:rPr>
        <w:t xml:space="preserve">, </w:t>
      </w:r>
      <w:r w:rsidR="00776A19">
        <w:rPr>
          <w:b w:val="0"/>
          <w:bCs w:val="0"/>
          <w:color w:val="000000"/>
          <w:lang w:val="en-US"/>
        </w:rPr>
        <w:t>c</w:t>
      </w:r>
      <w:r w:rsidR="00776A19" w:rsidRPr="00776A19">
        <w:rPr>
          <w:b w:val="0"/>
          <w:bCs w:val="0"/>
          <w:color w:val="000000"/>
          <w:lang w:val="ru-RU"/>
        </w:rPr>
        <w:t>.70</w:t>
      </w:r>
      <w:r w:rsidRPr="00E37001">
        <w:rPr>
          <w:b w:val="0"/>
          <w:bCs w:val="0"/>
          <w:color w:val="000000"/>
        </w:rPr>
        <w:t>]</w:t>
      </w:r>
      <w:r w:rsidR="00776A19" w:rsidRPr="00776A19">
        <w:rPr>
          <w:b w:val="0"/>
          <w:bCs w:val="0"/>
          <w:color w:val="000000"/>
          <w:lang w:val="ru-RU"/>
        </w:rPr>
        <w:t>.</w:t>
      </w:r>
    </w:p>
    <w:p w:rsidR="00307A06" w:rsidRPr="00E37001" w:rsidRDefault="00307A06" w:rsidP="00B07B79">
      <w:pPr>
        <w:pStyle w:val="4"/>
        <w:keepNext w:val="0"/>
        <w:widowControl w:val="0"/>
        <w:spacing w:before="0" w:after="0" w:line="360" w:lineRule="auto"/>
        <w:ind w:firstLine="567"/>
        <w:contextualSpacing/>
        <w:jc w:val="both"/>
        <w:rPr>
          <w:b w:val="0"/>
          <w:bCs w:val="0"/>
          <w:color w:val="000000"/>
        </w:rPr>
      </w:pPr>
      <w:r w:rsidRPr="00E37001">
        <w:rPr>
          <w:b w:val="0"/>
          <w:bCs w:val="0"/>
          <w:color w:val="000000"/>
        </w:rPr>
        <w:t xml:space="preserve">Таким чином, усі розглянуті вище етапи організації кредитування комерційним банком позичальника у своїй сукупності утворюють єдиний, цілісний технологічний процес, результатом якого є надання кредитних послуг. Регламентація порядку здійснення відповідних операцій при формуванні кредитної політики є важливим засобом не лише уніфікації технології цих операцій для всіх його структурних підрозділів, а й підпорядкування практичних дій банківського персоналу у сфері організації грошово-кредитних відносин єдиним цілям і завданням, досягнення яких </w:t>
      </w:r>
      <w:r w:rsidRPr="00E37001">
        <w:rPr>
          <w:b w:val="0"/>
          <w:bCs w:val="0"/>
          <w:color w:val="000000"/>
        </w:rPr>
        <w:lastRenderedPageBreak/>
        <w:t>визначено затвердженою керівництвом банку кредитною політикою</w:t>
      </w:r>
      <w:r w:rsidR="002E487A" w:rsidRPr="002E487A">
        <w:rPr>
          <w:b w:val="0"/>
          <w:bCs w:val="0"/>
          <w:color w:val="000000"/>
        </w:rPr>
        <w:t xml:space="preserve"> </w:t>
      </w:r>
      <w:r w:rsidR="002E487A">
        <w:rPr>
          <w:b w:val="0"/>
          <w:bCs w:val="0"/>
          <w:color w:val="000000"/>
          <w:lang w:val="en-US"/>
        </w:rPr>
        <w:t>[90]</w:t>
      </w:r>
      <w:r w:rsidRPr="00E37001">
        <w:rPr>
          <w:b w:val="0"/>
          <w:bCs w:val="0"/>
          <w:color w:val="000000"/>
        </w:rPr>
        <w:t>.</w:t>
      </w:r>
    </w:p>
    <w:p w:rsidR="00307A06" w:rsidRPr="00E37001" w:rsidRDefault="00307A06" w:rsidP="00B07B79">
      <w:pPr>
        <w:pStyle w:val="Style3"/>
        <w:widowControl/>
        <w:spacing w:line="360" w:lineRule="auto"/>
        <w:ind w:firstLine="567"/>
        <w:contextualSpacing/>
        <w:rPr>
          <w:rStyle w:val="FontStyle15"/>
          <w:b w:val="0"/>
          <w:sz w:val="28"/>
          <w:szCs w:val="28"/>
          <w:lang w:eastAsia="uk-UA"/>
        </w:rPr>
      </w:pPr>
      <w:r w:rsidRPr="00E37001">
        <w:rPr>
          <w:rStyle w:val="FontStyle15"/>
          <w:b w:val="0"/>
          <w:sz w:val="28"/>
          <w:szCs w:val="28"/>
          <w:lang w:eastAsia="uk-UA"/>
        </w:rPr>
        <w:t>Отже, кредитна політика створює основу організації кредитного процесу та визначає</w:t>
      </w:r>
      <w:r w:rsidR="00631A1C" w:rsidRPr="00631A1C">
        <w:rPr>
          <w:rStyle w:val="FontStyle15"/>
          <w:b w:val="0"/>
          <w:sz w:val="28"/>
          <w:szCs w:val="28"/>
          <w:lang w:val="ru-RU" w:eastAsia="uk-UA"/>
        </w:rPr>
        <w:t xml:space="preserve"> [21,</w:t>
      </w:r>
      <w:r w:rsidR="00631A1C">
        <w:rPr>
          <w:rStyle w:val="FontStyle15"/>
          <w:b w:val="0"/>
          <w:sz w:val="28"/>
          <w:szCs w:val="28"/>
          <w:lang w:val="en-US" w:eastAsia="uk-UA"/>
        </w:rPr>
        <w:t>c</w:t>
      </w:r>
      <w:r w:rsidR="00631A1C" w:rsidRPr="00631A1C">
        <w:rPr>
          <w:rStyle w:val="FontStyle15"/>
          <w:b w:val="0"/>
          <w:sz w:val="28"/>
          <w:szCs w:val="28"/>
          <w:lang w:val="ru-RU" w:eastAsia="uk-UA"/>
        </w:rPr>
        <w:t>.94]</w:t>
      </w:r>
      <w:r w:rsidRPr="00E37001">
        <w:rPr>
          <w:rStyle w:val="FontStyle15"/>
          <w:b w:val="0"/>
          <w:sz w:val="28"/>
          <w:szCs w:val="28"/>
          <w:lang w:eastAsia="uk-UA"/>
        </w:rPr>
        <w:t>:</w:t>
      </w:r>
    </w:p>
    <w:p w:rsidR="00307A06" w:rsidRPr="00E37001" w:rsidRDefault="00307A06" w:rsidP="00B07B79">
      <w:pPr>
        <w:pStyle w:val="Style3"/>
        <w:widowControl/>
        <w:numPr>
          <w:ilvl w:val="0"/>
          <w:numId w:val="14"/>
        </w:numPr>
        <w:tabs>
          <w:tab w:val="left" w:pos="562"/>
        </w:tabs>
        <w:spacing w:line="360" w:lineRule="auto"/>
        <w:ind w:left="0" w:firstLine="567"/>
        <w:contextualSpacing/>
        <w:rPr>
          <w:rStyle w:val="FontStyle15"/>
          <w:b w:val="0"/>
          <w:sz w:val="28"/>
          <w:szCs w:val="28"/>
        </w:rPr>
      </w:pPr>
      <w:r w:rsidRPr="00E37001">
        <w:rPr>
          <w:rStyle w:val="FontStyle15"/>
          <w:b w:val="0"/>
          <w:sz w:val="28"/>
          <w:szCs w:val="28"/>
          <w:lang w:eastAsia="uk-UA"/>
        </w:rPr>
        <w:t>пріоритетні напрями кредитування та специфіку діяльності банку на кредитному ринку;</w:t>
      </w:r>
    </w:p>
    <w:p w:rsidR="00307A06" w:rsidRPr="00E37001" w:rsidRDefault="00307A06" w:rsidP="00B07B79">
      <w:pPr>
        <w:pStyle w:val="Style3"/>
        <w:widowControl/>
        <w:numPr>
          <w:ilvl w:val="0"/>
          <w:numId w:val="14"/>
        </w:numPr>
        <w:tabs>
          <w:tab w:val="left" w:pos="562"/>
        </w:tabs>
        <w:spacing w:line="360" w:lineRule="auto"/>
        <w:ind w:left="0" w:firstLine="567"/>
        <w:contextualSpacing/>
        <w:rPr>
          <w:rStyle w:val="FontStyle15"/>
          <w:b w:val="0"/>
          <w:sz w:val="28"/>
          <w:szCs w:val="28"/>
        </w:rPr>
      </w:pPr>
      <w:r w:rsidRPr="00E37001">
        <w:rPr>
          <w:rStyle w:val="FontStyle15"/>
          <w:b w:val="0"/>
          <w:sz w:val="28"/>
          <w:szCs w:val="28"/>
          <w:lang w:eastAsia="uk-UA"/>
        </w:rPr>
        <w:t>цілі, відповідно до яких формується кредитний портфель (види, строк, обсяг і ризик наданих кредитів);</w:t>
      </w:r>
    </w:p>
    <w:p w:rsidR="00307A06" w:rsidRPr="00E37001" w:rsidRDefault="00307A06" w:rsidP="00B07B79">
      <w:pPr>
        <w:pStyle w:val="Style3"/>
        <w:widowControl/>
        <w:numPr>
          <w:ilvl w:val="0"/>
          <w:numId w:val="14"/>
        </w:numPr>
        <w:tabs>
          <w:tab w:val="left" w:pos="571"/>
        </w:tabs>
        <w:spacing w:line="360" w:lineRule="auto"/>
        <w:ind w:left="0" w:firstLine="567"/>
        <w:contextualSpacing/>
        <w:rPr>
          <w:rStyle w:val="FontStyle15"/>
          <w:b w:val="0"/>
          <w:sz w:val="28"/>
          <w:szCs w:val="28"/>
        </w:rPr>
      </w:pPr>
      <w:r w:rsidRPr="00E37001">
        <w:rPr>
          <w:rStyle w:val="FontStyle15"/>
          <w:b w:val="0"/>
          <w:sz w:val="28"/>
          <w:szCs w:val="28"/>
        </w:rPr>
        <w:t>опис стандартів, за допомогою яких визначається якість кредитів;</w:t>
      </w:r>
    </w:p>
    <w:p w:rsidR="00307A06" w:rsidRPr="00E37001" w:rsidRDefault="00307A06" w:rsidP="00B07B79">
      <w:pPr>
        <w:pStyle w:val="Style3"/>
        <w:widowControl/>
        <w:numPr>
          <w:ilvl w:val="0"/>
          <w:numId w:val="14"/>
        </w:numPr>
        <w:tabs>
          <w:tab w:val="left" w:pos="576"/>
        </w:tabs>
        <w:spacing w:line="360" w:lineRule="auto"/>
        <w:ind w:left="0" w:firstLine="567"/>
        <w:contextualSpacing/>
        <w:rPr>
          <w:rStyle w:val="FontStyle15"/>
          <w:b w:val="0"/>
          <w:sz w:val="28"/>
          <w:szCs w:val="28"/>
        </w:rPr>
      </w:pPr>
      <w:r w:rsidRPr="00E37001">
        <w:rPr>
          <w:rStyle w:val="FontStyle15"/>
          <w:b w:val="0"/>
          <w:sz w:val="28"/>
          <w:szCs w:val="28"/>
          <w:lang w:eastAsia="uk-UA"/>
        </w:rPr>
        <w:t>рівень допустимого ризику;</w:t>
      </w:r>
    </w:p>
    <w:p w:rsidR="00307A06" w:rsidRPr="00E37001" w:rsidRDefault="00307A06" w:rsidP="00B07B79">
      <w:pPr>
        <w:pStyle w:val="Style3"/>
        <w:widowControl/>
        <w:numPr>
          <w:ilvl w:val="0"/>
          <w:numId w:val="14"/>
        </w:numPr>
        <w:tabs>
          <w:tab w:val="left" w:pos="576"/>
        </w:tabs>
        <w:spacing w:line="360" w:lineRule="auto"/>
        <w:ind w:left="0" w:firstLine="567"/>
        <w:contextualSpacing/>
        <w:rPr>
          <w:rStyle w:val="FontStyle15"/>
          <w:b w:val="0"/>
          <w:sz w:val="28"/>
          <w:szCs w:val="28"/>
        </w:rPr>
      </w:pPr>
      <w:r w:rsidRPr="00E37001">
        <w:rPr>
          <w:rStyle w:val="FontStyle15"/>
          <w:b w:val="0"/>
          <w:sz w:val="28"/>
          <w:szCs w:val="28"/>
          <w:lang w:eastAsia="uk-UA"/>
        </w:rPr>
        <w:t>критерії сприятливих і несприятливих кредитів;</w:t>
      </w:r>
    </w:p>
    <w:p w:rsidR="00307A06" w:rsidRPr="00E37001" w:rsidRDefault="00307A06" w:rsidP="00B07B79">
      <w:pPr>
        <w:pStyle w:val="Style3"/>
        <w:widowControl/>
        <w:numPr>
          <w:ilvl w:val="0"/>
          <w:numId w:val="14"/>
        </w:numPr>
        <w:tabs>
          <w:tab w:val="left" w:pos="576"/>
        </w:tabs>
        <w:spacing w:line="360" w:lineRule="auto"/>
        <w:ind w:left="0" w:firstLine="567"/>
        <w:contextualSpacing/>
        <w:rPr>
          <w:rStyle w:val="FontStyle15"/>
          <w:b w:val="0"/>
          <w:sz w:val="28"/>
          <w:szCs w:val="28"/>
        </w:rPr>
      </w:pPr>
      <w:r w:rsidRPr="00E37001">
        <w:rPr>
          <w:rStyle w:val="FontStyle15"/>
          <w:b w:val="0"/>
          <w:sz w:val="28"/>
          <w:szCs w:val="28"/>
          <w:lang w:eastAsia="uk-UA"/>
        </w:rPr>
        <w:t>можливості банку та його клієнтів;</w:t>
      </w:r>
    </w:p>
    <w:p w:rsidR="00307A06" w:rsidRPr="00E37001" w:rsidRDefault="00307A06" w:rsidP="00B07B79">
      <w:pPr>
        <w:pStyle w:val="Style3"/>
        <w:widowControl/>
        <w:numPr>
          <w:ilvl w:val="0"/>
          <w:numId w:val="14"/>
        </w:numPr>
        <w:tabs>
          <w:tab w:val="left" w:pos="571"/>
        </w:tabs>
        <w:spacing w:line="360" w:lineRule="auto"/>
        <w:ind w:left="0" w:firstLine="567"/>
        <w:contextualSpacing/>
        <w:rPr>
          <w:rStyle w:val="FontStyle15"/>
          <w:b w:val="0"/>
          <w:sz w:val="28"/>
          <w:szCs w:val="28"/>
        </w:rPr>
      </w:pPr>
      <w:r w:rsidRPr="00E37001">
        <w:rPr>
          <w:rStyle w:val="FontStyle15"/>
          <w:b w:val="0"/>
          <w:sz w:val="28"/>
          <w:szCs w:val="28"/>
          <w:lang w:eastAsia="uk-UA"/>
        </w:rPr>
        <w:t>правила формування резервів для відшкодування можливих втрат за кредитними операціями банків;</w:t>
      </w:r>
    </w:p>
    <w:p w:rsidR="00307A06" w:rsidRPr="00E37001" w:rsidRDefault="00307A06" w:rsidP="00B07B79">
      <w:pPr>
        <w:pStyle w:val="Style3"/>
        <w:widowControl/>
        <w:numPr>
          <w:ilvl w:val="0"/>
          <w:numId w:val="14"/>
        </w:numPr>
        <w:tabs>
          <w:tab w:val="left" w:pos="571"/>
        </w:tabs>
        <w:spacing w:line="360" w:lineRule="auto"/>
        <w:ind w:left="0" w:firstLine="567"/>
        <w:contextualSpacing/>
        <w:rPr>
          <w:rStyle w:val="FontStyle15"/>
          <w:b w:val="0"/>
          <w:sz w:val="28"/>
          <w:szCs w:val="28"/>
        </w:rPr>
      </w:pPr>
      <w:r w:rsidRPr="00E37001">
        <w:rPr>
          <w:rStyle w:val="FontStyle15"/>
          <w:b w:val="0"/>
          <w:sz w:val="28"/>
          <w:szCs w:val="28"/>
          <w:lang w:eastAsia="uk-UA"/>
        </w:rPr>
        <w:t>порядок використання резерву під нестандартну заборгованість за кредитами;</w:t>
      </w:r>
    </w:p>
    <w:p w:rsidR="00307A06" w:rsidRPr="00E37001" w:rsidRDefault="00307A06" w:rsidP="00B07B79">
      <w:pPr>
        <w:pStyle w:val="Style3"/>
        <w:widowControl/>
        <w:numPr>
          <w:ilvl w:val="0"/>
          <w:numId w:val="14"/>
        </w:numPr>
        <w:tabs>
          <w:tab w:val="left" w:pos="571"/>
        </w:tabs>
        <w:spacing w:before="5" w:line="360" w:lineRule="auto"/>
        <w:ind w:left="0" w:firstLine="567"/>
        <w:contextualSpacing/>
        <w:rPr>
          <w:rStyle w:val="FontStyle15"/>
          <w:b w:val="0"/>
          <w:sz w:val="28"/>
          <w:szCs w:val="28"/>
        </w:rPr>
      </w:pPr>
      <w:r w:rsidRPr="00E37001">
        <w:rPr>
          <w:rStyle w:val="FontStyle15"/>
          <w:b w:val="0"/>
          <w:sz w:val="28"/>
          <w:szCs w:val="28"/>
          <w:lang w:eastAsia="uk-UA"/>
        </w:rPr>
        <w:t>основні правила приймання, оцінки і реалізації забезпечення за кредитом;</w:t>
      </w:r>
    </w:p>
    <w:p w:rsidR="00307A06" w:rsidRPr="00E37001" w:rsidRDefault="00307A06" w:rsidP="00B07B79">
      <w:pPr>
        <w:pStyle w:val="Style3"/>
        <w:widowControl/>
        <w:numPr>
          <w:ilvl w:val="0"/>
          <w:numId w:val="14"/>
        </w:numPr>
        <w:tabs>
          <w:tab w:val="left" w:pos="571"/>
        </w:tabs>
        <w:spacing w:line="360" w:lineRule="auto"/>
        <w:ind w:left="0" w:firstLine="567"/>
        <w:contextualSpacing/>
        <w:rPr>
          <w:rStyle w:val="FontStyle15"/>
          <w:b w:val="0"/>
          <w:sz w:val="28"/>
          <w:szCs w:val="28"/>
        </w:rPr>
      </w:pPr>
      <w:r w:rsidRPr="00E37001">
        <w:rPr>
          <w:rStyle w:val="FontStyle15"/>
          <w:b w:val="0"/>
          <w:sz w:val="28"/>
          <w:szCs w:val="28"/>
          <w:lang w:eastAsia="uk-UA"/>
        </w:rPr>
        <w:t>повноваження й обов'язки працівників кредитного відділу.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Відповідальність за розробку кредитної політики та механізмів її реалізації покладається на Кредитний комітет, який очолює, як правило, перший керівник комерційного банку</w:t>
      </w:r>
      <w:r w:rsidR="002E487A" w:rsidRPr="002E487A">
        <w:rPr>
          <w:sz w:val="28"/>
          <w:szCs w:val="28"/>
          <w:lang w:val="ru-RU"/>
        </w:rPr>
        <w:t xml:space="preserve"> [89]</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Розробка внутрішньої кредитної політики потребує від керівництва банку чіткого формулювання цілей кредитування і визначення, наскільки вони збігаються із загальною політикою і стратегією банку.</w:t>
      </w:r>
    </w:p>
    <w:p w:rsidR="00307A06" w:rsidRPr="00E37001" w:rsidRDefault="00307A06" w:rsidP="00B07B79">
      <w:pPr>
        <w:pStyle w:val="a9"/>
        <w:spacing w:line="360" w:lineRule="auto"/>
        <w:ind w:firstLine="567"/>
        <w:contextualSpacing/>
        <w:jc w:val="both"/>
        <w:rPr>
          <w:rStyle w:val="FontStyle15"/>
          <w:b w:val="0"/>
          <w:bCs w:val="0"/>
          <w:sz w:val="28"/>
          <w:szCs w:val="28"/>
        </w:rPr>
      </w:pPr>
      <w:r w:rsidRPr="00E37001">
        <w:rPr>
          <w:rStyle w:val="FontStyle15"/>
          <w:b w:val="0"/>
          <w:sz w:val="28"/>
          <w:szCs w:val="28"/>
          <w:lang w:eastAsia="uk-UA"/>
        </w:rPr>
        <w:t>Кредитна політика банку формується з урахуванням факторів, що визначаються величиною його капіталу й активів, складом клієнтської бази, спеціалізацією, місцезнаходженням, розгалуженістю мережі філій, станом економічної кон'юнктури, ситуацією на грошовому ринку</w:t>
      </w:r>
      <w:r w:rsidR="00631A1C" w:rsidRPr="00631A1C">
        <w:rPr>
          <w:rStyle w:val="FontStyle15"/>
          <w:b w:val="0"/>
          <w:sz w:val="28"/>
          <w:szCs w:val="28"/>
          <w:lang w:eastAsia="uk-UA"/>
        </w:rPr>
        <w:t>[55]</w:t>
      </w:r>
      <w:r w:rsidRPr="00E37001">
        <w:rPr>
          <w:rStyle w:val="FontStyle15"/>
          <w:b w:val="0"/>
          <w:sz w:val="28"/>
          <w:szCs w:val="28"/>
          <w:lang w:eastAsia="uk-UA"/>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Основними етапами розробки кредитної політики банку є:</w:t>
      </w:r>
    </w:p>
    <w:p w:rsidR="00307A06" w:rsidRPr="00E37001" w:rsidRDefault="00307A06" w:rsidP="00B07B79">
      <w:pPr>
        <w:pStyle w:val="a9"/>
        <w:spacing w:line="360" w:lineRule="auto"/>
        <w:ind w:firstLine="567"/>
        <w:contextualSpacing/>
        <w:jc w:val="both"/>
        <w:rPr>
          <w:sz w:val="28"/>
          <w:szCs w:val="28"/>
        </w:rPr>
      </w:pPr>
      <w:r w:rsidRPr="00E37001">
        <w:rPr>
          <w:sz w:val="28"/>
          <w:szCs w:val="28"/>
        </w:rPr>
        <w:lastRenderedPageBreak/>
        <w:t>1. Аналіз кредитної діяльності банку в попередньому періоді, який має на меті визначення динаміки обсягу, складу та рівня ефективності цієї діяльності, а саме, аналізують:</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загальний обсяг кредитного обігу;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обіг та рівень використання кредитного потенціалу;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структуру кредитного обігу за окремими формами та видами кредиту;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питому вагу неповернених кредитів;</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середній рівень процентних ставок загалом та в тому числі за формами та видами кредиту тощо.</w:t>
      </w:r>
    </w:p>
    <w:p w:rsidR="00307A06" w:rsidRPr="00E37001" w:rsidRDefault="00307A06" w:rsidP="00B07B79">
      <w:pPr>
        <w:pStyle w:val="a9"/>
        <w:spacing w:line="360" w:lineRule="auto"/>
        <w:ind w:firstLine="567"/>
        <w:contextualSpacing/>
        <w:jc w:val="both"/>
        <w:rPr>
          <w:sz w:val="28"/>
          <w:szCs w:val="28"/>
        </w:rPr>
      </w:pPr>
      <w:r w:rsidRPr="00E37001">
        <w:rPr>
          <w:sz w:val="28"/>
          <w:szCs w:val="28"/>
        </w:rPr>
        <w:t>2. Дослідження факторів зовнішнього кредитного середовища та прогнозування розвитку, що має на меті визначення впливу форм державного регулювання економічного стану країни.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3. Оцінка внутрішнього ресурсного потенціалу банку та можливість його розвитку, а саме:</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розмір статутного капіталу банку та можливість його нарощення;</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рівень прогресивності інноваційних технологій у галузі кредитного менеджменту;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ефективність діючої структури та методів управління кредитної діяльності</w:t>
      </w:r>
      <w:r w:rsidR="002E487A" w:rsidRPr="002E487A">
        <w:rPr>
          <w:sz w:val="28"/>
          <w:szCs w:val="28"/>
          <w:lang w:val="ru-RU"/>
        </w:rPr>
        <w:t xml:space="preserve"> [93]</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4. Формування системи стратегічних цілей кредитної політики є найбільш відповідальним етапом. Вони повинні бути узгоджені зі стратегічними цілями банку, мати альтернативний характер та визначати основні напрями стратегії у галузі кредитування</w:t>
      </w:r>
      <w:r w:rsidR="002E487A" w:rsidRPr="002E487A">
        <w:rPr>
          <w:sz w:val="28"/>
          <w:szCs w:val="28"/>
          <w:lang w:val="ru-RU"/>
        </w:rPr>
        <w:t xml:space="preserve"> [88]</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5. Обґрунтування типу кредитної політики. Критерієм такого обґрунтування виступає рівень ризику цих операцій, які будуть здійснюватись у процесі кредитування. Зі загальної сукупності виокремлюють три типи кредитної політики: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1) консервативний;</w:t>
      </w:r>
    </w:p>
    <w:p w:rsidR="00307A06" w:rsidRPr="00E37001" w:rsidRDefault="00307A06" w:rsidP="00B07B79">
      <w:pPr>
        <w:pStyle w:val="a9"/>
        <w:spacing w:line="360" w:lineRule="auto"/>
        <w:ind w:firstLine="567"/>
        <w:contextualSpacing/>
        <w:jc w:val="both"/>
        <w:rPr>
          <w:sz w:val="28"/>
          <w:szCs w:val="28"/>
        </w:rPr>
      </w:pPr>
      <w:r w:rsidRPr="00E37001">
        <w:rPr>
          <w:sz w:val="28"/>
          <w:szCs w:val="28"/>
        </w:rPr>
        <w:t>2) помірний;</w:t>
      </w:r>
    </w:p>
    <w:p w:rsidR="00307A06" w:rsidRPr="00E37001" w:rsidRDefault="00307A06" w:rsidP="00B07B79">
      <w:pPr>
        <w:pStyle w:val="a9"/>
        <w:spacing w:line="360" w:lineRule="auto"/>
        <w:ind w:firstLine="567"/>
        <w:contextualSpacing/>
        <w:jc w:val="both"/>
        <w:rPr>
          <w:sz w:val="28"/>
          <w:szCs w:val="28"/>
        </w:rPr>
      </w:pPr>
      <w:r w:rsidRPr="00E37001">
        <w:rPr>
          <w:sz w:val="28"/>
          <w:szCs w:val="28"/>
        </w:rPr>
        <w:t>3) агресивний.</w:t>
      </w:r>
    </w:p>
    <w:p w:rsidR="00307A06" w:rsidRPr="00E37001" w:rsidRDefault="00307A06" w:rsidP="00B07B79">
      <w:pPr>
        <w:pStyle w:val="a9"/>
        <w:spacing w:line="360" w:lineRule="auto"/>
        <w:ind w:firstLine="567"/>
        <w:contextualSpacing/>
        <w:jc w:val="both"/>
        <w:rPr>
          <w:sz w:val="28"/>
          <w:szCs w:val="28"/>
        </w:rPr>
      </w:pPr>
      <w:r w:rsidRPr="00E37001">
        <w:rPr>
          <w:sz w:val="28"/>
          <w:szCs w:val="28"/>
        </w:rPr>
        <w:lastRenderedPageBreak/>
        <w:t>6. Розробка основних параметрів організації кредитного процесу та визначення ступеня відповідальності кредитних менеджерів різного рівня. Цей етап має на меті визначення алгоритмів дій щодо прийняття відповідних управлінських рішень за кредитами, що стосується встановлення конкретних вимог, а саме:</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до прийняття на розгляд кредитної заявки від клієнта;</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до перевірки окремих даних, наведених у кредитній заявці;</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до процедури інкасації дебіторської заборгованості за наданими кредитами.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7. Формування механізму контролю за здійсненням кредитної політики, що має на меті розробку системи заходів щодо її реалізації в певному періоді.</w:t>
      </w:r>
    </w:p>
    <w:p w:rsidR="00307A06" w:rsidRPr="00E37001" w:rsidRDefault="00307A06" w:rsidP="00B07B79">
      <w:pPr>
        <w:pStyle w:val="a9"/>
        <w:spacing w:line="360" w:lineRule="auto"/>
        <w:ind w:firstLine="567"/>
        <w:contextualSpacing/>
        <w:jc w:val="both"/>
        <w:rPr>
          <w:sz w:val="28"/>
          <w:szCs w:val="28"/>
        </w:rPr>
      </w:pPr>
      <w:r w:rsidRPr="00E37001">
        <w:rPr>
          <w:sz w:val="28"/>
          <w:szCs w:val="28"/>
        </w:rPr>
        <w:t>8. Загальна оцінка розробленої кредитної політики банку. Вона включає:</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внутрішню збалансованість цільових показників за окремими напрямами кредитної політики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допустимість рівня ризиків, економічний ефект, пов'язаний із реалізацією кредитної політики тощо</w:t>
      </w:r>
      <w:r w:rsidR="00631A1C" w:rsidRPr="00631A1C">
        <w:rPr>
          <w:sz w:val="28"/>
          <w:szCs w:val="28"/>
        </w:rPr>
        <w:t xml:space="preserve"> [22]</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xml:space="preserve">Кредитна політика розробляється на </w:t>
      </w:r>
      <w:proofErr w:type="spellStart"/>
      <w:r w:rsidRPr="00E37001">
        <w:rPr>
          <w:sz w:val="28"/>
          <w:szCs w:val="28"/>
        </w:rPr>
        <w:t>макро-</w:t>
      </w:r>
      <w:proofErr w:type="spellEnd"/>
      <w:r w:rsidRPr="00E37001">
        <w:rPr>
          <w:sz w:val="28"/>
          <w:szCs w:val="28"/>
        </w:rPr>
        <w:t xml:space="preserve"> та </w:t>
      </w:r>
      <w:proofErr w:type="spellStart"/>
      <w:r w:rsidRPr="00E37001">
        <w:rPr>
          <w:sz w:val="28"/>
          <w:szCs w:val="28"/>
        </w:rPr>
        <w:t>мікрорівні</w:t>
      </w:r>
      <w:proofErr w:type="spellEnd"/>
      <w:r w:rsidRPr="00E37001">
        <w:rPr>
          <w:sz w:val="28"/>
          <w:szCs w:val="28"/>
        </w:rPr>
        <w:t xml:space="preserve"> економіки.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На макрорівні банківську кредитну політику розробляє Національний банк України, встановлюючи нормативи її проведення, рівень облікової ставки, що становить основу формування ціни на кредитні ресурси.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xml:space="preserve">На </w:t>
      </w:r>
      <w:proofErr w:type="spellStart"/>
      <w:r w:rsidRPr="00E37001">
        <w:rPr>
          <w:sz w:val="28"/>
          <w:szCs w:val="28"/>
        </w:rPr>
        <w:t>мікрорівні</w:t>
      </w:r>
      <w:proofErr w:type="spellEnd"/>
      <w:r w:rsidRPr="00E37001">
        <w:rPr>
          <w:sz w:val="28"/>
          <w:szCs w:val="28"/>
        </w:rPr>
        <w:t xml:space="preserve"> кредитна політика спрямована на забезпечення зв'язку кредитної політики банку зі загальною стратегією його розвитку</w:t>
      </w:r>
      <w:r w:rsidR="002E487A" w:rsidRPr="002E487A">
        <w:rPr>
          <w:sz w:val="28"/>
          <w:szCs w:val="28"/>
          <w:lang w:val="ru-RU"/>
        </w:rPr>
        <w:t xml:space="preserve"> [87]</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Кредитна політика як основа процесу управління кредитом визначає пріоритети в процесі розвитку кредитних відносин, з одного боку, та функціонування кредитного механізму — з другого. Вона створює необхідні загальні передумови ефективної праці персоналу банку і прийняття раціональних рішень, знижує ймовірність помилок, передбачає створення відповідної організаційної структури й розподілу обов'язків між персоналом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lastRenderedPageBreak/>
        <w:t>Кредитна політика банку в сфері кредитування фізичних осіб визначає завдання і пріоритети діяльності банку щодо споживчого кредитування, засоби, методи їх реалізації, а також принципи та порядок організації власне кредитного процесу</w:t>
      </w:r>
      <w:r w:rsidR="002E487A" w:rsidRPr="002E487A">
        <w:rPr>
          <w:sz w:val="28"/>
          <w:szCs w:val="28"/>
        </w:rPr>
        <w:t xml:space="preserve"> [94]</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Правильна організація процесу банківського кредитування, розробка ефективної та гнучкої системи управління кредитними операціями — основа фінансової та ринкової стабільності банків з урахуванням визначального місця, що посідають кредитні операції у портфелі банківських активів</w:t>
      </w:r>
      <w:r w:rsidR="002E487A" w:rsidRPr="002E487A">
        <w:rPr>
          <w:sz w:val="28"/>
          <w:szCs w:val="28"/>
        </w:rPr>
        <w:t xml:space="preserve"> [86]</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В Україні кредитна політика банків загалом і кредитна політика у сфері кредитування фізичних осіб, зокрема, залежить від двох груп чинників;</w:t>
      </w:r>
    </w:p>
    <w:p w:rsidR="00307A06" w:rsidRPr="00E37001" w:rsidRDefault="00307A06" w:rsidP="00B07B79">
      <w:pPr>
        <w:pStyle w:val="a9"/>
        <w:spacing w:line="360" w:lineRule="auto"/>
        <w:ind w:firstLine="567"/>
        <w:contextualSpacing/>
        <w:jc w:val="both"/>
        <w:rPr>
          <w:sz w:val="28"/>
          <w:szCs w:val="28"/>
        </w:rPr>
      </w:pPr>
      <w:r w:rsidRPr="00E37001">
        <w:rPr>
          <w:sz w:val="28"/>
          <w:szCs w:val="28"/>
        </w:rPr>
        <w:t>1) зовнішніх;</w:t>
      </w:r>
    </w:p>
    <w:p w:rsidR="00307A06" w:rsidRPr="00E37001" w:rsidRDefault="00307A06" w:rsidP="00B07B79">
      <w:pPr>
        <w:pStyle w:val="a9"/>
        <w:spacing w:line="360" w:lineRule="auto"/>
        <w:ind w:firstLine="567"/>
        <w:contextualSpacing/>
        <w:jc w:val="both"/>
        <w:rPr>
          <w:sz w:val="28"/>
          <w:szCs w:val="28"/>
        </w:rPr>
      </w:pPr>
      <w:r w:rsidRPr="00E37001">
        <w:rPr>
          <w:sz w:val="28"/>
          <w:szCs w:val="28"/>
        </w:rPr>
        <w:t>2) внутрішніх.</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До найважливіших зовнішніх чинників належать</w:t>
      </w:r>
      <w:r w:rsidR="002E487A" w:rsidRPr="002E487A">
        <w:rPr>
          <w:sz w:val="28"/>
          <w:szCs w:val="28"/>
          <w:lang w:val="ru-RU"/>
        </w:rPr>
        <w:t xml:space="preserve"> [95]</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загальний стан економіки країни, темпи інфляції;</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грошово-кредитна політика Національного банку України;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рівень доходів населення, здатність споживати банківські послуги, наявність соціальних пільг;</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регіональна та галузева специфіка функціонування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рівень цін на банківські продукти та послуги;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соціальна напруженість;</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політизованість суспільства;</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попит на кредити банку його клієнтів.</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До найважливіших внутрішніх чинників, які визначають кредитну політику банку щодо кредитування фізичних осіб, належать</w:t>
      </w:r>
      <w:r w:rsidR="00631A1C" w:rsidRPr="00631A1C">
        <w:rPr>
          <w:sz w:val="28"/>
          <w:szCs w:val="28"/>
        </w:rPr>
        <w:t xml:space="preserve"> [30]</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кредитний потенціал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ступінь ризику та придатності окремих видів споживчих позик;</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стабільність депозитів;</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спектр виконуваних операцій і послуг;</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забезпеченість позик;</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професійна підготовленість, кваліфікація та досвід персоналу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lastRenderedPageBreak/>
        <w:t>— клієнтура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цінова політика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Основними елементами внутрішньої структури кредитної політики банку є:</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стратегія щодо основних напрямів кредитного процесу;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тактика банку щодо організації кредитування;</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контроль і моніторинг щодо здійснення обраної (узгодженої) стратегії і тактики.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У кредитній політиці важливим є визначення обсягу ефективних (допустимих) ресурсів, що можуть бути спрямовані на кредитні вкладення.</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При розробленні кредитної політики необхідно враховувати вплив різних ризиків: кредитного, ризику депозитних операцій, процентного, валютного, ризику незбалансованої ліквідності тощо</w:t>
      </w:r>
      <w:r w:rsidR="00631A1C" w:rsidRPr="00631A1C">
        <w:rPr>
          <w:sz w:val="28"/>
          <w:szCs w:val="28"/>
          <w:lang w:val="ru-RU"/>
        </w:rPr>
        <w:t xml:space="preserve"> [23]</w:t>
      </w:r>
      <w:r w:rsidRPr="00E37001">
        <w:rPr>
          <w:sz w:val="28"/>
          <w:szCs w:val="28"/>
        </w:rPr>
        <w:t>.</w:t>
      </w:r>
    </w:p>
    <w:p w:rsidR="00307A06" w:rsidRPr="00E37001" w:rsidRDefault="00307A06" w:rsidP="00B07B79">
      <w:pPr>
        <w:pStyle w:val="a9"/>
        <w:spacing w:line="360" w:lineRule="auto"/>
        <w:ind w:firstLine="567"/>
        <w:contextualSpacing/>
        <w:jc w:val="both"/>
        <w:rPr>
          <w:rStyle w:val="FontStyle13"/>
          <w:b w:val="0"/>
          <w:bCs w:val="0"/>
          <w:i w:val="0"/>
          <w:iCs w:val="0"/>
          <w:sz w:val="28"/>
          <w:szCs w:val="28"/>
        </w:rPr>
      </w:pPr>
      <w:r w:rsidRPr="00E37001">
        <w:rPr>
          <w:sz w:val="28"/>
          <w:szCs w:val="28"/>
        </w:rPr>
        <w:t>Отже, кредитна політика є основою стратегії мінімізації ризику в діяльності банку. Основу кредитної політики становить стратегія банку, зорієнтована на зростання його капіталу чи збільшення доходів.</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1"/>
          <w:sz w:val="28"/>
          <w:szCs w:val="28"/>
          <w:lang w:eastAsia="uk-UA"/>
        </w:rPr>
        <w:t xml:space="preserve">Цілі та стандарти кредитування </w:t>
      </w:r>
      <w:r w:rsidRPr="00E37001">
        <w:rPr>
          <w:rStyle w:val="FontStyle12"/>
          <w:b w:val="0"/>
          <w:sz w:val="28"/>
          <w:szCs w:val="28"/>
          <w:lang w:eastAsia="uk-UA"/>
        </w:rPr>
        <w:t>визначаються відповідно до стратегічного плану розвитку банку і можуть бути сформульовані як у довгостроковому плані розвитку, так і в бюджеті банку на поточний рік.</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До основних цілей кредитної політики можна віднести:</w:t>
      </w:r>
    </w:p>
    <w:p w:rsidR="00307A06" w:rsidRPr="00E37001" w:rsidRDefault="00307A06" w:rsidP="00B07B79">
      <w:pPr>
        <w:pStyle w:val="Style1"/>
        <w:widowControl/>
        <w:numPr>
          <w:ilvl w:val="0"/>
          <w:numId w:val="15"/>
        </w:numPr>
        <w:tabs>
          <w:tab w:val="left" w:pos="566"/>
        </w:tabs>
        <w:spacing w:line="360" w:lineRule="auto"/>
        <w:ind w:left="0" w:firstLine="567"/>
        <w:contextualSpacing/>
        <w:jc w:val="both"/>
        <w:rPr>
          <w:rStyle w:val="FontStyle12"/>
          <w:b w:val="0"/>
          <w:sz w:val="28"/>
          <w:szCs w:val="28"/>
        </w:rPr>
      </w:pPr>
      <w:r w:rsidRPr="00E37001">
        <w:rPr>
          <w:rStyle w:val="FontStyle12"/>
          <w:b w:val="0"/>
          <w:sz w:val="28"/>
          <w:szCs w:val="28"/>
          <w:lang w:eastAsia="uk-UA"/>
        </w:rPr>
        <w:t>забезпечення максимального рівня дохідності кредитного портфеля та акціонерного капіталу банку за допустимого рівня ризику;</w:t>
      </w:r>
    </w:p>
    <w:p w:rsidR="00307A06" w:rsidRPr="00E37001" w:rsidRDefault="00307A06" w:rsidP="00B07B79">
      <w:pPr>
        <w:pStyle w:val="Style1"/>
        <w:widowControl/>
        <w:numPr>
          <w:ilvl w:val="0"/>
          <w:numId w:val="15"/>
        </w:numPr>
        <w:tabs>
          <w:tab w:val="left" w:pos="566"/>
        </w:tabs>
        <w:spacing w:line="360" w:lineRule="auto"/>
        <w:ind w:left="0" w:firstLine="567"/>
        <w:contextualSpacing/>
        <w:jc w:val="both"/>
        <w:rPr>
          <w:rStyle w:val="FontStyle12"/>
          <w:b w:val="0"/>
          <w:sz w:val="28"/>
          <w:szCs w:val="28"/>
        </w:rPr>
      </w:pPr>
      <w:r w:rsidRPr="00E37001">
        <w:rPr>
          <w:rStyle w:val="FontStyle12"/>
          <w:b w:val="0"/>
          <w:sz w:val="28"/>
          <w:szCs w:val="28"/>
          <w:lang w:eastAsia="uk-UA"/>
        </w:rPr>
        <w:t>забезпечення зваженого та оптимального використання кредитних ресурсів;</w:t>
      </w:r>
    </w:p>
    <w:p w:rsidR="00307A06" w:rsidRPr="00E37001" w:rsidRDefault="00307A06" w:rsidP="00B07B79">
      <w:pPr>
        <w:pStyle w:val="Style1"/>
        <w:widowControl/>
        <w:numPr>
          <w:ilvl w:val="0"/>
          <w:numId w:val="15"/>
        </w:numPr>
        <w:tabs>
          <w:tab w:val="left" w:pos="566"/>
        </w:tabs>
        <w:spacing w:line="360" w:lineRule="auto"/>
        <w:ind w:left="0" w:firstLine="567"/>
        <w:contextualSpacing/>
        <w:jc w:val="both"/>
        <w:rPr>
          <w:rStyle w:val="FontStyle12"/>
          <w:b w:val="0"/>
          <w:sz w:val="28"/>
          <w:szCs w:val="28"/>
        </w:rPr>
      </w:pPr>
      <w:r w:rsidRPr="00E37001">
        <w:rPr>
          <w:rStyle w:val="FontStyle12"/>
          <w:b w:val="0"/>
          <w:sz w:val="28"/>
          <w:szCs w:val="28"/>
          <w:lang w:eastAsia="uk-UA"/>
        </w:rPr>
        <w:t>досягнення оптимального балансу між зростанням обсягу кредитного портфеля та темпами покращання його якості;</w:t>
      </w:r>
    </w:p>
    <w:p w:rsidR="00307A06" w:rsidRPr="00E37001" w:rsidRDefault="00307A06" w:rsidP="00B07B79">
      <w:pPr>
        <w:pStyle w:val="Style1"/>
        <w:widowControl/>
        <w:numPr>
          <w:ilvl w:val="0"/>
          <w:numId w:val="15"/>
        </w:numPr>
        <w:tabs>
          <w:tab w:val="left" w:pos="566"/>
        </w:tabs>
        <w:spacing w:line="360" w:lineRule="auto"/>
        <w:ind w:left="0" w:firstLine="567"/>
        <w:contextualSpacing/>
        <w:jc w:val="both"/>
        <w:rPr>
          <w:rStyle w:val="FontStyle12"/>
          <w:b w:val="0"/>
          <w:sz w:val="28"/>
          <w:szCs w:val="28"/>
        </w:rPr>
      </w:pPr>
      <w:r w:rsidRPr="00E37001">
        <w:rPr>
          <w:rStyle w:val="FontStyle12"/>
          <w:b w:val="0"/>
          <w:sz w:val="28"/>
          <w:szCs w:val="28"/>
          <w:lang w:eastAsia="uk-UA"/>
        </w:rPr>
        <w:t xml:space="preserve">виконання всіх вимог і нормативних показників, встановлених Національним банком щодо обсягів кредитних вкладень, максимальних сум </w:t>
      </w:r>
      <w:r w:rsidRPr="00E37001">
        <w:rPr>
          <w:rStyle w:val="FontStyle12"/>
          <w:b w:val="0"/>
          <w:sz w:val="28"/>
          <w:szCs w:val="28"/>
          <w:lang w:eastAsia="uk-UA"/>
        </w:rPr>
        <w:lastRenderedPageBreak/>
        <w:t>кредитів, наданих одному позичальнику (в тому числі інсайдерам, пов'язаним та асоційованим особам);</w:t>
      </w:r>
    </w:p>
    <w:p w:rsidR="00307A06" w:rsidRPr="00E37001" w:rsidRDefault="00307A06" w:rsidP="00B07B79">
      <w:pPr>
        <w:pStyle w:val="Style1"/>
        <w:widowControl/>
        <w:numPr>
          <w:ilvl w:val="0"/>
          <w:numId w:val="15"/>
        </w:numPr>
        <w:tabs>
          <w:tab w:val="left" w:pos="566"/>
        </w:tabs>
        <w:spacing w:line="360" w:lineRule="auto"/>
        <w:ind w:left="0" w:firstLine="567"/>
        <w:contextualSpacing/>
        <w:jc w:val="both"/>
        <w:rPr>
          <w:rStyle w:val="FontStyle12"/>
          <w:b w:val="0"/>
          <w:sz w:val="28"/>
          <w:szCs w:val="28"/>
        </w:rPr>
      </w:pPr>
      <w:r w:rsidRPr="00E37001">
        <w:rPr>
          <w:rStyle w:val="FontStyle12"/>
          <w:b w:val="0"/>
          <w:sz w:val="28"/>
          <w:szCs w:val="28"/>
          <w:lang w:eastAsia="uk-UA"/>
        </w:rPr>
        <w:t>розширення клієнтської бази шляхом підвищення якості кредитного обслуговування клієнтів</w:t>
      </w:r>
      <w:r w:rsidR="000D7F29" w:rsidRPr="000D7F29">
        <w:rPr>
          <w:rStyle w:val="FontStyle12"/>
          <w:b w:val="0"/>
          <w:sz w:val="28"/>
          <w:szCs w:val="28"/>
          <w:lang w:eastAsia="uk-UA"/>
        </w:rPr>
        <w:t xml:space="preserve"> [85]</w:t>
      </w:r>
      <w:r w:rsidRPr="00E37001">
        <w:rPr>
          <w:rStyle w:val="FontStyle12"/>
          <w:b w:val="0"/>
          <w:sz w:val="28"/>
          <w:szCs w:val="28"/>
          <w:lang w:eastAsia="uk-UA"/>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Способи і методи реалізації кредитної політики формалізуються у відповідних внутрішньобанківських документах, основними серед яких є</w:t>
      </w:r>
      <w:r w:rsidR="00631A1C" w:rsidRPr="00631A1C">
        <w:rPr>
          <w:sz w:val="28"/>
          <w:szCs w:val="28"/>
          <w:lang w:val="ru-RU"/>
        </w:rPr>
        <w:t xml:space="preserve"> [31]</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стандарти кредитування;</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кредитні інструкції.</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1"/>
          <w:sz w:val="28"/>
          <w:szCs w:val="28"/>
          <w:lang w:eastAsia="uk-UA"/>
        </w:rPr>
        <w:t xml:space="preserve">Стандарти кредитування </w:t>
      </w:r>
      <w:r w:rsidRPr="00E37001">
        <w:rPr>
          <w:rStyle w:val="FontStyle12"/>
          <w:b w:val="0"/>
          <w:sz w:val="28"/>
          <w:szCs w:val="28"/>
          <w:lang w:eastAsia="uk-UA"/>
        </w:rPr>
        <w:t>містять зразки документів, з якими працюють робітники кредитного відділу, перелік дій працівників банку, відповідальних за здійснення процесу банківського кредитування, та їх повноважень. Основне завдання стандартів кредитування — визначити практичні дії працівників кредитного відділу для реалізації кредитної політики банку</w:t>
      </w:r>
      <w:r w:rsidR="000D7F29" w:rsidRPr="000D7F29">
        <w:rPr>
          <w:rStyle w:val="FontStyle12"/>
          <w:b w:val="0"/>
          <w:sz w:val="28"/>
          <w:szCs w:val="28"/>
          <w:lang w:val="ru-RU" w:eastAsia="uk-UA"/>
        </w:rPr>
        <w:t xml:space="preserve"> [84]</w:t>
      </w:r>
      <w:r w:rsidRPr="00E37001">
        <w:rPr>
          <w:rStyle w:val="FontStyle12"/>
          <w:b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У стандартах кредитування мають бути відображені такі основні моменти:</w:t>
      </w:r>
    </w:p>
    <w:p w:rsidR="00307A06" w:rsidRPr="00E37001" w:rsidRDefault="00307A06" w:rsidP="00B07B79">
      <w:pPr>
        <w:pStyle w:val="Style1"/>
        <w:widowControl/>
        <w:numPr>
          <w:ilvl w:val="0"/>
          <w:numId w:val="6"/>
        </w:numPr>
        <w:tabs>
          <w:tab w:val="left" w:pos="566"/>
        </w:tabs>
        <w:spacing w:line="360" w:lineRule="auto"/>
        <w:ind w:firstLine="567"/>
        <w:contextualSpacing/>
        <w:jc w:val="both"/>
        <w:rPr>
          <w:rStyle w:val="FontStyle12"/>
          <w:b w:val="0"/>
          <w:sz w:val="28"/>
          <w:szCs w:val="28"/>
        </w:rPr>
      </w:pPr>
      <w:r w:rsidRPr="00E37001">
        <w:rPr>
          <w:rStyle w:val="FontStyle12"/>
          <w:b w:val="0"/>
          <w:sz w:val="28"/>
          <w:szCs w:val="28"/>
          <w:lang w:eastAsia="uk-UA"/>
        </w:rPr>
        <w:t>перелік документів, що подаються в банк позичальником для отримання кредиту;</w:t>
      </w:r>
    </w:p>
    <w:p w:rsidR="00307A06" w:rsidRPr="00E37001" w:rsidRDefault="00307A06" w:rsidP="00B07B79">
      <w:pPr>
        <w:pStyle w:val="Style1"/>
        <w:widowControl/>
        <w:numPr>
          <w:ilvl w:val="0"/>
          <w:numId w:val="6"/>
        </w:numPr>
        <w:tabs>
          <w:tab w:val="left" w:pos="566"/>
        </w:tabs>
        <w:spacing w:line="360" w:lineRule="auto"/>
        <w:ind w:firstLine="567"/>
        <w:contextualSpacing/>
        <w:jc w:val="both"/>
        <w:rPr>
          <w:rStyle w:val="FontStyle12"/>
          <w:b w:val="0"/>
          <w:sz w:val="28"/>
          <w:szCs w:val="28"/>
        </w:rPr>
      </w:pPr>
      <w:r w:rsidRPr="00E37001">
        <w:rPr>
          <w:rStyle w:val="FontStyle12"/>
          <w:b w:val="0"/>
          <w:sz w:val="28"/>
          <w:szCs w:val="28"/>
          <w:lang w:eastAsia="uk-UA"/>
        </w:rPr>
        <w:t>порядок проведення попередньої співбесіди (інтерв'ю) з позичальником;</w:t>
      </w:r>
    </w:p>
    <w:p w:rsidR="00307A06" w:rsidRPr="00E37001" w:rsidRDefault="00307A06" w:rsidP="00B07B79">
      <w:pPr>
        <w:pStyle w:val="Style1"/>
        <w:widowControl/>
        <w:numPr>
          <w:ilvl w:val="0"/>
          <w:numId w:val="7"/>
        </w:numPr>
        <w:tabs>
          <w:tab w:val="left" w:pos="571"/>
        </w:tabs>
        <w:spacing w:before="5" w:line="360" w:lineRule="auto"/>
        <w:ind w:firstLine="567"/>
        <w:contextualSpacing/>
        <w:jc w:val="both"/>
        <w:rPr>
          <w:rStyle w:val="FontStyle12"/>
          <w:b w:val="0"/>
          <w:sz w:val="28"/>
          <w:szCs w:val="28"/>
          <w:lang w:eastAsia="uk-UA"/>
        </w:rPr>
      </w:pPr>
      <w:r w:rsidRPr="00E37001">
        <w:rPr>
          <w:rStyle w:val="FontStyle12"/>
          <w:b w:val="0"/>
          <w:sz w:val="28"/>
          <w:szCs w:val="28"/>
          <w:lang w:eastAsia="uk-UA"/>
        </w:rPr>
        <w:t>вимоги щодо забезпечення кредитів, гарантій і поручительств;</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правила організації кредитного процесу;</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порядок оцінки кредитоспроможності позичальника;</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вимоги щодо оформлення кредитної документації;</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зразки документів (кредитна угода, договір застави, поручительства)</w:t>
      </w:r>
      <w:r w:rsidR="000D7F29" w:rsidRPr="000D7F29">
        <w:rPr>
          <w:rStyle w:val="FontStyle12"/>
          <w:b w:val="0"/>
          <w:sz w:val="28"/>
          <w:szCs w:val="28"/>
          <w:lang w:val="ru-RU" w:eastAsia="uk-UA"/>
        </w:rPr>
        <w:t xml:space="preserve"> [83]</w:t>
      </w:r>
      <w:r w:rsidRPr="00E37001">
        <w:rPr>
          <w:rStyle w:val="FontStyle12"/>
          <w:b w:val="0"/>
          <w:sz w:val="28"/>
          <w:szCs w:val="28"/>
          <w:lang w:eastAsia="uk-UA"/>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Зміст і структура стандартів кредитування можуть відрізнятись у різних банків, але, як правило, в них містяться такі важливі моменти: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lastRenderedPageBreak/>
        <w:t>— опис системи кредитних повноважень працівників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перелік видів кредитів, видача яких відповідає кредитній політиці банку, а також перелік неприйнятних для банку видів кредитів;</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назви сфер господарювання та регіонів, де кредитна активність банку є пріоритетною;</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процедура стягнення простроченої кредитної заборгованості;</w:t>
      </w:r>
    </w:p>
    <w:p w:rsidR="00307A06" w:rsidRPr="00E37001" w:rsidRDefault="00307A06" w:rsidP="00B07B79">
      <w:pPr>
        <w:pStyle w:val="a9"/>
        <w:spacing w:line="360" w:lineRule="auto"/>
        <w:ind w:firstLine="567"/>
        <w:contextualSpacing/>
        <w:jc w:val="both"/>
        <w:rPr>
          <w:sz w:val="28"/>
          <w:szCs w:val="28"/>
        </w:rPr>
      </w:pPr>
      <w:r w:rsidRPr="00E37001">
        <w:rPr>
          <w:sz w:val="28"/>
          <w:szCs w:val="28"/>
        </w:rPr>
        <w:t>— порядок видачі позик працівникам банку тощо. Другою складовою методичного забезпечення процесу реалізації кредитної політики виступають кредитні інструкції</w:t>
      </w:r>
      <w:r w:rsidR="000D7F29" w:rsidRPr="000D7F29">
        <w:rPr>
          <w:sz w:val="28"/>
          <w:szCs w:val="28"/>
          <w:lang w:val="ru-RU"/>
        </w:rPr>
        <w:t xml:space="preserve"> [82]</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rStyle w:val="ad"/>
          <w:b w:val="0"/>
          <w:sz w:val="28"/>
          <w:szCs w:val="28"/>
        </w:rPr>
        <w:t>Кредитна інструкція</w:t>
      </w:r>
      <w:r w:rsidRPr="00E37001">
        <w:rPr>
          <w:sz w:val="28"/>
          <w:szCs w:val="28"/>
        </w:rPr>
        <w:t xml:space="preserve"> — це опис послідовних дій з реалізації конкретної кредитної процедури. Інструкція, що відповідає окремій кредитній процедурі, виглядає як опис послідовності взаємопов'язаних кроків із визначенням відповідальних виконавців та їх повноважень. Наприклад, інструкції можуть визначати, які повинні бути етапи процедури оформлення кредитної документації, які необхідно зробити кроки з </w:t>
      </w:r>
      <w:proofErr w:type="spellStart"/>
      <w:r w:rsidRPr="00E37001">
        <w:rPr>
          <w:sz w:val="28"/>
          <w:szCs w:val="28"/>
        </w:rPr>
        <w:t>відстежуванням</w:t>
      </w:r>
      <w:proofErr w:type="spellEnd"/>
      <w:r w:rsidRPr="00E37001">
        <w:rPr>
          <w:sz w:val="28"/>
          <w:szCs w:val="28"/>
        </w:rPr>
        <w:t xml:space="preserve"> кредитної історії або яких заходів необхідно вжити для мінімізації частки проблемних кредитів у портфелі банку</w:t>
      </w:r>
      <w:r w:rsidR="00631A1C" w:rsidRPr="00631A1C">
        <w:rPr>
          <w:sz w:val="28"/>
          <w:szCs w:val="28"/>
        </w:rPr>
        <w:t xml:space="preserve"> [25]</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Отже, порядок кредитування, закріплений у банківських кредитних інструкціях, визначає конкретні етапи процесу банківського кредитування і забезпечує його здійснення відповідно до вимог кредитної політики банку.</w:t>
      </w:r>
    </w:p>
    <w:p w:rsidR="00307A06" w:rsidRPr="00E37001" w:rsidRDefault="00307A06" w:rsidP="00B07B79">
      <w:pPr>
        <w:pStyle w:val="a9"/>
        <w:spacing w:line="360" w:lineRule="auto"/>
        <w:ind w:firstLine="567"/>
        <w:contextualSpacing/>
        <w:jc w:val="both"/>
        <w:rPr>
          <w:sz w:val="28"/>
          <w:szCs w:val="28"/>
        </w:rPr>
      </w:pPr>
      <w:r w:rsidRPr="00E37001">
        <w:rPr>
          <w:sz w:val="28"/>
          <w:szCs w:val="28"/>
        </w:rPr>
        <w:t>Розробка кредитної політики повинна включати підготовку Меморандуму (керівництва) з кредитної політики, покликаного забезпечити реалізацію стратегічних цілей банківської діяльності у сфері кредитування. Підготовкою цього документа, як і здійсненням контролю за виконанням його вимог, повинен займатись Кредитний комітет банку. Меморандум є конфіденційним документом, оскільки він містить стратегію та методи банківської кредитної політики, і навіть у межах банку доводиться до відома тільки тих працівників, що безпосередньо беруть участь у процесі банківського кредитування</w:t>
      </w:r>
      <w:r w:rsidR="00631A1C" w:rsidRPr="00631A1C">
        <w:rPr>
          <w:sz w:val="28"/>
          <w:szCs w:val="28"/>
        </w:rPr>
        <w:t xml:space="preserve"> [33]</w:t>
      </w:r>
      <w:r w:rsidRPr="00E37001">
        <w:rPr>
          <w:sz w:val="28"/>
          <w:szCs w:val="28"/>
        </w:rPr>
        <w:t>.</w:t>
      </w:r>
    </w:p>
    <w:p w:rsidR="00307A06" w:rsidRPr="00E37001" w:rsidRDefault="00307A06" w:rsidP="00B07B79">
      <w:pPr>
        <w:pStyle w:val="a9"/>
        <w:spacing w:line="360" w:lineRule="auto"/>
        <w:ind w:firstLine="567"/>
        <w:contextualSpacing/>
        <w:jc w:val="both"/>
        <w:rPr>
          <w:sz w:val="28"/>
          <w:szCs w:val="28"/>
        </w:rPr>
      </w:pPr>
      <w:r w:rsidRPr="00E37001">
        <w:rPr>
          <w:sz w:val="28"/>
          <w:szCs w:val="28"/>
        </w:rPr>
        <w:lastRenderedPageBreak/>
        <w:t xml:space="preserve">У цілому в Меморандумі з кредитної політики повинні бути відображені всі етапи кредитного процесу </w:t>
      </w:r>
      <w:r w:rsidRPr="00E37001">
        <w:rPr>
          <w:rStyle w:val="FontStyle15"/>
          <w:b w:val="0"/>
          <w:sz w:val="28"/>
          <w:szCs w:val="28"/>
          <w:lang w:eastAsia="uk-UA"/>
        </w:rPr>
        <w:t>—</w:t>
      </w:r>
      <w:r w:rsidRPr="00E37001">
        <w:rPr>
          <w:sz w:val="28"/>
          <w:szCs w:val="28"/>
        </w:rPr>
        <w:t xml:space="preserve"> від збирання інформації і вивчення кредитної історії позичальника до кредитного моніторингу та механізму формування резервів під можливі втрати за наданими кредитами.</w:t>
      </w:r>
    </w:p>
    <w:p w:rsidR="00307A06" w:rsidRPr="00E37001" w:rsidRDefault="00307A06" w:rsidP="00B07B79">
      <w:pPr>
        <w:pStyle w:val="a9"/>
        <w:spacing w:line="360" w:lineRule="auto"/>
        <w:ind w:firstLine="567"/>
        <w:contextualSpacing/>
        <w:jc w:val="both"/>
        <w:rPr>
          <w:sz w:val="28"/>
          <w:szCs w:val="28"/>
        </w:rPr>
      </w:pPr>
      <w:r w:rsidRPr="00E37001">
        <w:rPr>
          <w:sz w:val="28"/>
          <w:szCs w:val="28"/>
        </w:rPr>
        <w:t>Виступаючи головним інструментом реалізації кредитної політики, Меморандум служить основою для контролю та спостереження за організацією кредитного процесу, є інструктивним матеріалом для працівників підрозділів, що здійснюють кредитування, виступає інструментом контролю за виконанням вимог кредитних інструкцій для керівників кредитних підрозділів. Меморандум з кредитної політики встановлює вимоги, на основі яких здійснюються перевірки позичальників співробітниками відділу кредитного аналізу банку, а також визначає механізм внесення коректив у поточну внутрішню кредитну політику банку.</w:t>
      </w:r>
    </w:p>
    <w:p w:rsidR="00307A06" w:rsidRPr="00E37001" w:rsidRDefault="00307A06" w:rsidP="00B07B79">
      <w:pPr>
        <w:pStyle w:val="a9"/>
        <w:spacing w:line="360" w:lineRule="auto"/>
        <w:ind w:firstLine="567"/>
        <w:contextualSpacing/>
        <w:jc w:val="both"/>
        <w:rPr>
          <w:rStyle w:val="FontStyle12"/>
          <w:b w:val="0"/>
          <w:sz w:val="28"/>
          <w:szCs w:val="28"/>
          <w:lang w:eastAsia="uk-UA"/>
        </w:rPr>
      </w:pPr>
      <w:r w:rsidRPr="00E37001">
        <w:rPr>
          <w:rStyle w:val="FontStyle11"/>
          <w:sz w:val="28"/>
          <w:szCs w:val="28"/>
          <w:lang w:eastAsia="uk-UA"/>
        </w:rPr>
        <w:t xml:space="preserve">Документи кредитної політики </w:t>
      </w:r>
      <w:r w:rsidRPr="00E37001">
        <w:rPr>
          <w:rStyle w:val="FontStyle12"/>
          <w:b w:val="0"/>
          <w:sz w:val="28"/>
          <w:szCs w:val="28"/>
          <w:lang w:eastAsia="uk-UA"/>
        </w:rPr>
        <w:t>є документами практичної реалізації загальних положень кредитної політики банку. До документів кредитної політики належать такі положення: "Про кредитний комітет", "Про заставу", "Про оцінку фінансового стану позичальника", "Про порядок створення і використання резерву для відшкодування можливих втрат від кредитних операцій банку"</w:t>
      </w:r>
      <w:r w:rsidR="000D7F29" w:rsidRPr="000D7F29">
        <w:rPr>
          <w:rStyle w:val="FontStyle12"/>
          <w:b w:val="0"/>
          <w:sz w:val="28"/>
          <w:szCs w:val="28"/>
          <w:lang w:val="ru-RU" w:eastAsia="uk-UA"/>
        </w:rPr>
        <w:t xml:space="preserve"> [81]</w:t>
      </w:r>
      <w:r w:rsidRPr="00E37001">
        <w:rPr>
          <w:rStyle w:val="FontStyle12"/>
          <w:b w:val="0"/>
          <w:sz w:val="28"/>
          <w:szCs w:val="28"/>
          <w:lang w:eastAsia="uk-UA"/>
        </w:rPr>
        <w:t>.</w:t>
      </w:r>
    </w:p>
    <w:p w:rsidR="00307A06" w:rsidRPr="00E37001" w:rsidRDefault="00307A06" w:rsidP="00B07B79">
      <w:pPr>
        <w:pStyle w:val="a9"/>
        <w:spacing w:line="360" w:lineRule="auto"/>
        <w:ind w:firstLine="567"/>
        <w:contextualSpacing/>
        <w:jc w:val="both"/>
        <w:rPr>
          <w:rStyle w:val="FontStyle12"/>
          <w:b w:val="0"/>
          <w:bCs w:val="0"/>
          <w:sz w:val="28"/>
          <w:szCs w:val="28"/>
        </w:rPr>
      </w:pPr>
      <w:r w:rsidRPr="00E37001">
        <w:rPr>
          <w:rStyle w:val="FontStyle12"/>
          <w:b w:val="0"/>
          <w:sz w:val="28"/>
          <w:szCs w:val="28"/>
          <w:lang w:eastAsia="uk-UA"/>
        </w:rPr>
        <w:t xml:space="preserve">Кредитна політика банку окреслює коло ключових цілей і завдань банківської діяльності, визначає конкретні прийоми, способи і методи </w:t>
      </w:r>
      <w:r w:rsidRPr="00E37001">
        <w:rPr>
          <w:rStyle w:val="FontStyle12"/>
          <w:b w:val="0"/>
          <w:spacing w:val="-20"/>
          <w:sz w:val="28"/>
          <w:szCs w:val="28"/>
          <w:lang w:eastAsia="uk-UA"/>
        </w:rPr>
        <w:t>її</w:t>
      </w:r>
      <w:r w:rsidRPr="00E37001">
        <w:rPr>
          <w:rStyle w:val="FontStyle12"/>
          <w:b w:val="0"/>
          <w:sz w:val="28"/>
          <w:szCs w:val="28"/>
          <w:lang w:eastAsia="uk-UA"/>
        </w:rPr>
        <w:t xml:space="preserve"> реалізації з метою максимізації дохідності кредитних операцій і досягнення прийнятного рівня ризиків банківської діяльності у сфері кредитування. Під час проведення кредитної політики виходять із необхідності врахування загальнодержавних інтересів і забезпечення поєднання інтересів банку, його акціонерів, вкладників і позичальників</w:t>
      </w:r>
      <w:r w:rsidR="00631A1C" w:rsidRPr="00631A1C">
        <w:rPr>
          <w:rStyle w:val="FontStyle12"/>
          <w:b w:val="0"/>
          <w:sz w:val="28"/>
          <w:szCs w:val="28"/>
          <w:lang w:eastAsia="uk-UA"/>
        </w:rPr>
        <w:t xml:space="preserve"> [24]</w:t>
      </w:r>
      <w:r w:rsidRPr="00E37001">
        <w:rPr>
          <w:rStyle w:val="FontStyle12"/>
          <w:b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 xml:space="preserve">Реалізацію кредитної політики здійснюють працівники </w:t>
      </w:r>
      <w:r w:rsidRPr="00E37001">
        <w:rPr>
          <w:rStyle w:val="FontStyle11"/>
          <w:sz w:val="28"/>
          <w:szCs w:val="28"/>
          <w:lang w:eastAsia="uk-UA"/>
        </w:rPr>
        <w:t xml:space="preserve">фронт-офісу </w:t>
      </w:r>
      <w:r w:rsidRPr="00E37001">
        <w:rPr>
          <w:rStyle w:val="FontStyle12"/>
          <w:b w:val="0"/>
          <w:sz w:val="28"/>
          <w:szCs w:val="28"/>
          <w:lang w:eastAsia="uk-UA"/>
        </w:rPr>
        <w:t xml:space="preserve">та </w:t>
      </w:r>
      <w:r w:rsidRPr="00E37001">
        <w:rPr>
          <w:rStyle w:val="FontStyle11"/>
          <w:sz w:val="28"/>
          <w:szCs w:val="28"/>
          <w:lang w:eastAsia="uk-UA"/>
        </w:rPr>
        <w:t xml:space="preserve">бек-офісу </w:t>
      </w:r>
      <w:r w:rsidRPr="00E37001">
        <w:rPr>
          <w:rStyle w:val="FontStyle12"/>
          <w:b w:val="0"/>
          <w:sz w:val="28"/>
          <w:szCs w:val="28"/>
          <w:lang w:eastAsia="uk-UA"/>
        </w:rPr>
        <w:t>банку.</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 xml:space="preserve">До завдань працівників </w:t>
      </w:r>
      <w:r w:rsidRPr="00E37001">
        <w:rPr>
          <w:rStyle w:val="FontStyle11"/>
          <w:sz w:val="28"/>
          <w:szCs w:val="28"/>
          <w:lang w:eastAsia="uk-UA"/>
        </w:rPr>
        <w:t xml:space="preserve">фронт-офісу </w:t>
      </w:r>
      <w:r w:rsidRPr="00E37001">
        <w:rPr>
          <w:rStyle w:val="FontStyle12"/>
          <w:b w:val="0"/>
          <w:sz w:val="28"/>
          <w:szCs w:val="28"/>
          <w:lang w:eastAsia="uk-UA"/>
        </w:rPr>
        <w:t>банку належать:</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lastRenderedPageBreak/>
        <w:t>залучення клієнтів за допомогою інформування про існуючі банківські продукти;</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аналіз документів, що надаються клієнтом з метою отримання кредиту та проведення попереднього інтерв'ю з клієнтом;</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оцінка предмета застави за кредитом;</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оцінка кредитоспроможності клієнта та прийняття рішення про видачу кредиту або відмову в його видачі;</w:t>
      </w:r>
    </w:p>
    <w:p w:rsidR="00307A06" w:rsidRPr="00E37001" w:rsidRDefault="00307A06" w:rsidP="00B07B79">
      <w:pPr>
        <w:pStyle w:val="Style1"/>
        <w:widowControl/>
        <w:numPr>
          <w:ilvl w:val="0"/>
          <w:numId w:val="7"/>
        </w:numPr>
        <w:tabs>
          <w:tab w:val="left" w:pos="571"/>
        </w:tabs>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узгодження параметрів, укладання кредитної угоди з клієнтом</w:t>
      </w:r>
      <w:r w:rsidR="000D7F29" w:rsidRPr="000D7F29">
        <w:rPr>
          <w:rStyle w:val="FontStyle12"/>
          <w:b w:val="0"/>
          <w:sz w:val="28"/>
          <w:szCs w:val="28"/>
          <w:lang w:val="ru-RU" w:eastAsia="uk-UA"/>
        </w:rPr>
        <w:t xml:space="preserve"> [80]</w:t>
      </w:r>
      <w:r w:rsidRPr="00E37001">
        <w:rPr>
          <w:rStyle w:val="FontStyle12"/>
          <w:b w:val="0"/>
          <w:sz w:val="28"/>
          <w:szCs w:val="28"/>
          <w:lang w:eastAsia="uk-UA"/>
        </w:rPr>
        <w:t>.</w:t>
      </w:r>
    </w:p>
    <w:p w:rsidR="00307A06" w:rsidRPr="00E37001" w:rsidRDefault="00307A06" w:rsidP="00B07B79">
      <w:pPr>
        <w:pStyle w:val="Style2"/>
        <w:widowControl/>
        <w:spacing w:before="182" w:line="360" w:lineRule="auto"/>
        <w:ind w:firstLine="567"/>
        <w:contextualSpacing/>
        <w:jc w:val="both"/>
        <w:rPr>
          <w:rStyle w:val="FontStyle11"/>
          <w:sz w:val="28"/>
          <w:szCs w:val="28"/>
        </w:rPr>
      </w:pPr>
      <w:r w:rsidRPr="00E37001">
        <w:rPr>
          <w:rStyle w:val="FontStyle11"/>
          <w:sz w:val="28"/>
          <w:szCs w:val="28"/>
        </w:rPr>
        <w:t xml:space="preserve">До завдань працівників </w:t>
      </w:r>
      <w:r w:rsidRPr="00E37001">
        <w:rPr>
          <w:rStyle w:val="FontStyle12"/>
          <w:b w:val="0"/>
          <w:sz w:val="28"/>
          <w:szCs w:val="28"/>
        </w:rPr>
        <w:t xml:space="preserve">бек-офісу </w:t>
      </w:r>
      <w:r w:rsidRPr="00E37001">
        <w:rPr>
          <w:rStyle w:val="FontStyle11"/>
          <w:sz w:val="28"/>
          <w:szCs w:val="28"/>
        </w:rPr>
        <w:t>банку належать:</w:t>
      </w:r>
    </w:p>
    <w:p w:rsidR="00307A06" w:rsidRPr="00E37001" w:rsidRDefault="00307A06" w:rsidP="00B07B79">
      <w:pPr>
        <w:pStyle w:val="Style2"/>
        <w:widowControl/>
        <w:numPr>
          <w:ilvl w:val="0"/>
          <w:numId w:val="5"/>
        </w:numPr>
        <w:tabs>
          <w:tab w:val="left" w:pos="571"/>
        </w:tabs>
        <w:spacing w:line="360" w:lineRule="auto"/>
        <w:ind w:firstLine="567"/>
        <w:contextualSpacing/>
        <w:jc w:val="both"/>
        <w:rPr>
          <w:rStyle w:val="FontStyle11"/>
          <w:sz w:val="28"/>
          <w:szCs w:val="28"/>
        </w:rPr>
      </w:pPr>
      <w:r w:rsidRPr="00E37001">
        <w:rPr>
          <w:rStyle w:val="FontStyle11"/>
          <w:sz w:val="28"/>
          <w:szCs w:val="28"/>
          <w:lang w:eastAsia="uk-UA"/>
        </w:rPr>
        <w:t>приймання від підрозділів фронт-офісу договорів кредитної справи і перевірка повноти та правильності оформлення наданого пакета документів;</w:t>
      </w:r>
    </w:p>
    <w:p w:rsidR="00307A06" w:rsidRPr="00E37001" w:rsidRDefault="00307A06" w:rsidP="00B07B79">
      <w:pPr>
        <w:pStyle w:val="Style2"/>
        <w:widowControl/>
        <w:numPr>
          <w:ilvl w:val="0"/>
          <w:numId w:val="5"/>
        </w:numPr>
        <w:tabs>
          <w:tab w:val="left" w:pos="571"/>
        </w:tabs>
        <w:spacing w:line="360" w:lineRule="auto"/>
        <w:ind w:firstLine="567"/>
        <w:contextualSpacing/>
        <w:jc w:val="both"/>
        <w:rPr>
          <w:rStyle w:val="FontStyle11"/>
          <w:sz w:val="28"/>
          <w:szCs w:val="28"/>
        </w:rPr>
      </w:pPr>
      <w:r w:rsidRPr="00E37001">
        <w:rPr>
          <w:rStyle w:val="FontStyle11"/>
          <w:sz w:val="28"/>
          <w:szCs w:val="28"/>
          <w:lang w:eastAsia="uk-UA"/>
        </w:rPr>
        <w:t>здійснення контролю за встановленими лімітами кредитування;</w:t>
      </w:r>
    </w:p>
    <w:p w:rsidR="00307A06" w:rsidRPr="00E37001" w:rsidRDefault="00307A06" w:rsidP="00B07B79">
      <w:pPr>
        <w:pStyle w:val="Style2"/>
        <w:widowControl/>
        <w:numPr>
          <w:ilvl w:val="0"/>
          <w:numId w:val="5"/>
        </w:numPr>
        <w:tabs>
          <w:tab w:val="left" w:pos="571"/>
        </w:tabs>
        <w:spacing w:line="360" w:lineRule="auto"/>
        <w:ind w:firstLine="567"/>
        <w:contextualSpacing/>
        <w:jc w:val="both"/>
        <w:rPr>
          <w:rStyle w:val="FontStyle11"/>
          <w:sz w:val="28"/>
          <w:szCs w:val="28"/>
        </w:rPr>
      </w:pPr>
      <w:r w:rsidRPr="00E37001">
        <w:rPr>
          <w:rStyle w:val="FontStyle11"/>
          <w:sz w:val="28"/>
          <w:szCs w:val="28"/>
          <w:lang w:eastAsia="uk-UA"/>
        </w:rPr>
        <w:t>забезпечення перерахування коштів;</w:t>
      </w:r>
    </w:p>
    <w:p w:rsidR="00307A06" w:rsidRPr="00E37001" w:rsidRDefault="00307A06" w:rsidP="00B07B79">
      <w:pPr>
        <w:pStyle w:val="Style2"/>
        <w:widowControl/>
        <w:numPr>
          <w:ilvl w:val="0"/>
          <w:numId w:val="5"/>
        </w:numPr>
        <w:tabs>
          <w:tab w:val="left" w:pos="571"/>
        </w:tabs>
        <w:spacing w:line="360" w:lineRule="auto"/>
        <w:ind w:firstLine="567"/>
        <w:contextualSpacing/>
        <w:jc w:val="both"/>
        <w:rPr>
          <w:rStyle w:val="FontStyle11"/>
          <w:sz w:val="28"/>
          <w:szCs w:val="28"/>
        </w:rPr>
      </w:pPr>
      <w:r w:rsidRPr="00E37001">
        <w:rPr>
          <w:rStyle w:val="FontStyle11"/>
          <w:sz w:val="28"/>
          <w:szCs w:val="28"/>
          <w:lang w:eastAsia="uk-UA"/>
        </w:rPr>
        <w:t>супроводження кредитної операції (нарахування відсотків і комісії, контроль за своєчасністю та повнотою погашення заборгованості за кредитом;</w:t>
      </w:r>
    </w:p>
    <w:p w:rsidR="00307A06" w:rsidRPr="00E37001" w:rsidRDefault="00307A06" w:rsidP="00B07B79">
      <w:pPr>
        <w:pStyle w:val="Style2"/>
        <w:widowControl/>
        <w:numPr>
          <w:ilvl w:val="0"/>
          <w:numId w:val="5"/>
        </w:numPr>
        <w:tabs>
          <w:tab w:val="left" w:pos="571"/>
        </w:tabs>
        <w:spacing w:line="360" w:lineRule="auto"/>
        <w:ind w:firstLine="567"/>
        <w:contextualSpacing/>
        <w:jc w:val="both"/>
        <w:rPr>
          <w:rStyle w:val="FontStyle11"/>
          <w:sz w:val="28"/>
          <w:szCs w:val="28"/>
        </w:rPr>
      </w:pPr>
      <w:r w:rsidRPr="00E37001">
        <w:rPr>
          <w:rStyle w:val="FontStyle11"/>
          <w:sz w:val="28"/>
          <w:szCs w:val="28"/>
          <w:lang w:eastAsia="uk-UA"/>
        </w:rPr>
        <w:t>формування та відображення в обліку резервів для відшкодування можливих втрат за кредитним операціями</w:t>
      </w:r>
      <w:r w:rsidR="000D7F29" w:rsidRPr="000D7F29">
        <w:rPr>
          <w:rStyle w:val="FontStyle11"/>
          <w:sz w:val="28"/>
          <w:szCs w:val="28"/>
          <w:lang w:val="ru-RU" w:eastAsia="uk-UA"/>
        </w:rPr>
        <w:t xml:space="preserve"> [79]</w:t>
      </w:r>
      <w:r w:rsidRPr="00E37001">
        <w:rPr>
          <w:rStyle w:val="FontStyle11"/>
          <w:sz w:val="28"/>
          <w:szCs w:val="28"/>
          <w:lang w:eastAsia="uk-UA"/>
        </w:rPr>
        <w:t>.</w:t>
      </w:r>
    </w:p>
    <w:p w:rsidR="00307A06" w:rsidRPr="00E37001" w:rsidRDefault="00307A06" w:rsidP="00B07B79">
      <w:pPr>
        <w:pStyle w:val="Style2"/>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Відповідно до основних положень кредитної політики банк здійснює кредитні операції у межах наявних кредитних ресурсів і відповідає за своїми зобов'язаннями перед клієнтами всім належним йому майном та власними коштами. Під кредитними ресурсами банку розуміють сукупність власних, залучених і запозичених фінансових коштів банку, що перебувають у безпосередньому його розпорядженні та використовуються на його розсуд для здійснення кредитної діяльності. Найбільша роль у формуванні кредитних ресурсів належить залишкам на поточних і вкладних рахунках клієнтів</w:t>
      </w:r>
      <w:r w:rsidR="00631A1C" w:rsidRPr="00631A1C">
        <w:rPr>
          <w:rStyle w:val="FontStyle11"/>
          <w:sz w:val="28"/>
          <w:szCs w:val="28"/>
          <w:lang w:val="ru-RU" w:eastAsia="uk-UA"/>
        </w:rPr>
        <w:t xml:space="preserve"> [32]</w:t>
      </w:r>
      <w:r w:rsidRPr="00E37001">
        <w:rPr>
          <w:rStyle w:val="FontStyle11"/>
          <w:sz w:val="28"/>
          <w:szCs w:val="28"/>
          <w:lang w:eastAsia="uk-UA"/>
        </w:rPr>
        <w:t>.</w:t>
      </w:r>
    </w:p>
    <w:p w:rsidR="00307A06" w:rsidRPr="00E37001" w:rsidRDefault="00307A06" w:rsidP="00B07B79">
      <w:pPr>
        <w:pStyle w:val="Style2"/>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 xml:space="preserve">Сукупність усіх наявних коштів, що перебувають у безпосередньому розпорядженні банку, і коштів, які можуть бути потенційно залучені </w:t>
      </w:r>
      <w:r w:rsidRPr="00E37001">
        <w:rPr>
          <w:rStyle w:val="FontStyle11"/>
          <w:sz w:val="28"/>
          <w:szCs w:val="28"/>
          <w:lang w:eastAsia="uk-UA"/>
        </w:rPr>
        <w:lastRenderedPageBreak/>
        <w:t xml:space="preserve">(прирощені чи втрачені) в процесі проведення банківської діяльності, визначає </w:t>
      </w:r>
      <w:r w:rsidRPr="00E37001">
        <w:rPr>
          <w:rStyle w:val="FontStyle12"/>
          <w:b w:val="0"/>
          <w:sz w:val="28"/>
          <w:szCs w:val="28"/>
          <w:lang w:eastAsia="uk-UA"/>
        </w:rPr>
        <w:t xml:space="preserve">кредитний потенціал банку. </w:t>
      </w:r>
      <w:r w:rsidRPr="00E37001">
        <w:rPr>
          <w:rStyle w:val="FontStyle11"/>
          <w:sz w:val="28"/>
          <w:szCs w:val="28"/>
          <w:lang w:eastAsia="uk-UA"/>
        </w:rPr>
        <w:t>Чим більший кредитний потенціал банку, тим більші його можливості на кредитному ринку.</w:t>
      </w:r>
    </w:p>
    <w:p w:rsidR="00307A06" w:rsidRPr="00E37001" w:rsidRDefault="00307A06" w:rsidP="00B07B79">
      <w:pPr>
        <w:pStyle w:val="Style2"/>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Банк самостійно визначає порядок залучення та використання коштів, проведення кредитних операцій, встановлення відсоткової ставки та комісій. При цьому рівень відсоткової ставки за наданими кредитами не може бути нижчим від ставки відсотка за отриманими банком кредитами і ставки відсотка, що виплачується ним за депозитами.</w:t>
      </w:r>
    </w:p>
    <w:p w:rsidR="00307A06" w:rsidRPr="00E37001" w:rsidRDefault="00307A06" w:rsidP="00B07B79">
      <w:pPr>
        <w:pStyle w:val="Style2"/>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Кредитна політика банку може бути обережною, помірною чи агресивною</w:t>
      </w:r>
      <w:r w:rsidR="000D7F29" w:rsidRPr="000D7F29">
        <w:rPr>
          <w:rStyle w:val="FontStyle11"/>
          <w:sz w:val="28"/>
          <w:szCs w:val="28"/>
          <w:lang w:val="ru-RU" w:eastAsia="uk-UA"/>
        </w:rPr>
        <w:t xml:space="preserve"> </w:t>
      </w:r>
      <w:r w:rsidR="000D7F29" w:rsidRPr="00406315">
        <w:rPr>
          <w:rStyle w:val="FontStyle11"/>
          <w:sz w:val="28"/>
          <w:szCs w:val="28"/>
          <w:lang w:val="ru-RU" w:eastAsia="uk-UA"/>
        </w:rPr>
        <w:t>[78]</w:t>
      </w:r>
      <w:r w:rsidRPr="00E37001">
        <w:rPr>
          <w:rStyle w:val="FontStyle11"/>
          <w:sz w:val="28"/>
          <w:szCs w:val="28"/>
          <w:lang w:eastAsia="uk-UA"/>
        </w:rPr>
        <w:t>.</w:t>
      </w:r>
    </w:p>
    <w:p w:rsidR="00307A06" w:rsidRPr="00E37001" w:rsidRDefault="00307A06" w:rsidP="00B07B79">
      <w:pPr>
        <w:pStyle w:val="Style2"/>
        <w:widowControl/>
        <w:spacing w:before="10" w:line="360" w:lineRule="auto"/>
        <w:ind w:firstLine="567"/>
        <w:contextualSpacing/>
        <w:jc w:val="both"/>
        <w:rPr>
          <w:rStyle w:val="FontStyle11"/>
          <w:sz w:val="28"/>
          <w:szCs w:val="28"/>
          <w:lang w:eastAsia="uk-UA"/>
        </w:rPr>
      </w:pPr>
      <w:r w:rsidRPr="00E37001">
        <w:rPr>
          <w:rStyle w:val="FontStyle11"/>
          <w:sz w:val="28"/>
          <w:szCs w:val="28"/>
          <w:lang w:eastAsia="uk-UA"/>
        </w:rPr>
        <w:t xml:space="preserve">Кредитна політика банку визначається як </w:t>
      </w:r>
      <w:r w:rsidRPr="00E37001">
        <w:rPr>
          <w:rStyle w:val="FontStyle14"/>
          <w:i w:val="0"/>
          <w:sz w:val="28"/>
          <w:szCs w:val="28"/>
          <w:lang w:eastAsia="uk-UA"/>
        </w:rPr>
        <w:t xml:space="preserve">обережна, </w:t>
      </w:r>
      <w:r w:rsidRPr="00E37001">
        <w:rPr>
          <w:rStyle w:val="FontStyle11"/>
          <w:sz w:val="28"/>
          <w:szCs w:val="28"/>
          <w:lang w:eastAsia="uk-UA"/>
        </w:rPr>
        <w:t>якщо частина кредитів у загальному обсязі робочих активів банку не перевищує 30 %, тобто банк забезпечує свою прибутковість за рахунок менш ризикованих активних операцій, але в такому разі він втрачає значний сегмент фінансового ринку. Таке співвідношення між кредитами і робочими активами бажане для новоствореного банку, який ще не має достатнього досвіду роботи на кредитному ринку</w:t>
      </w:r>
      <w:r w:rsidR="002E487A" w:rsidRPr="002E487A">
        <w:rPr>
          <w:rStyle w:val="FontStyle11"/>
          <w:sz w:val="28"/>
          <w:szCs w:val="28"/>
          <w:lang w:val="ru-RU" w:eastAsia="uk-UA"/>
        </w:rPr>
        <w:t xml:space="preserve"> [96]</w:t>
      </w:r>
      <w:r w:rsidR="00631A1C" w:rsidRPr="00631A1C">
        <w:rPr>
          <w:rStyle w:val="FontStyle11"/>
          <w:sz w:val="28"/>
          <w:szCs w:val="28"/>
          <w:lang w:val="ru-RU" w:eastAsia="uk-UA"/>
        </w:rPr>
        <w:t xml:space="preserve"> </w:t>
      </w:r>
      <w:r w:rsidRPr="00E37001">
        <w:rPr>
          <w:rStyle w:val="FontStyle11"/>
          <w:sz w:val="28"/>
          <w:szCs w:val="28"/>
          <w:lang w:eastAsia="uk-UA"/>
        </w:rPr>
        <w:t>.</w:t>
      </w:r>
    </w:p>
    <w:p w:rsidR="00307A06" w:rsidRPr="00E37001" w:rsidRDefault="00307A06" w:rsidP="00B07B79">
      <w:pPr>
        <w:pStyle w:val="Style2"/>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 xml:space="preserve">За </w:t>
      </w:r>
      <w:r w:rsidRPr="00E37001">
        <w:rPr>
          <w:rStyle w:val="FontStyle14"/>
          <w:i w:val="0"/>
          <w:sz w:val="28"/>
          <w:szCs w:val="28"/>
          <w:lang w:eastAsia="uk-UA"/>
        </w:rPr>
        <w:t xml:space="preserve">помірної кредитної політики </w:t>
      </w:r>
      <w:r w:rsidRPr="00E37001">
        <w:rPr>
          <w:rStyle w:val="FontStyle11"/>
          <w:sz w:val="28"/>
          <w:szCs w:val="28"/>
          <w:lang w:eastAsia="uk-UA"/>
        </w:rPr>
        <w:t xml:space="preserve">частина кредитів у загальному обсязі робочих активів коливається у межах 30 —50 </w:t>
      </w:r>
      <w:r w:rsidRPr="00E37001">
        <w:rPr>
          <w:rStyle w:val="FontStyle11"/>
          <w:spacing w:val="40"/>
          <w:sz w:val="28"/>
          <w:szCs w:val="28"/>
          <w:lang w:eastAsia="uk-UA"/>
        </w:rPr>
        <w:t>%.</w:t>
      </w:r>
      <w:r w:rsidRPr="00E37001">
        <w:rPr>
          <w:rStyle w:val="FontStyle11"/>
          <w:sz w:val="28"/>
          <w:szCs w:val="28"/>
          <w:lang w:eastAsia="uk-UA"/>
        </w:rPr>
        <w:t xml:space="preserve"> Така політика властива стабільним і надійним банкам, що мають достатній досвід роботи у сфері кредитування</w:t>
      </w:r>
      <w:r w:rsidR="00631A1C" w:rsidRPr="00631A1C">
        <w:rPr>
          <w:rStyle w:val="FontStyle11"/>
          <w:sz w:val="28"/>
          <w:szCs w:val="28"/>
          <w:lang w:val="ru-RU" w:eastAsia="uk-UA"/>
        </w:rPr>
        <w:t xml:space="preserve"> [34]</w:t>
      </w:r>
      <w:r w:rsidRPr="00E37001">
        <w:rPr>
          <w:rStyle w:val="FontStyle11"/>
          <w:sz w:val="28"/>
          <w:szCs w:val="28"/>
          <w:lang w:eastAsia="uk-UA"/>
        </w:rPr>
        <w:t>.</w:t>
      </w:r>
    </w:p>
    <w:p w:rsidR="00307A06" w:rsidRPr="00E37001" w:rsidRDefault="00307A06" w:rsidP="00B07B79">
      <w:pPr>
        <w:pStyle w:val="Style2"/>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 xml:space="preserve">У випадку, коли частина кредитів перевищує 50 % загального обсягу робочих активів, кредитна політика банку є </w:t>
      </w:r>
      <w:r w:rsidRPr="00E37001">
        <w:rPr>
          <w:rStyle w:val="FontStyle14"/>
          <w:i w:val="0"/>
          <w:sz w:val="28"/>
          <w:szCs w:val="28"/>
          <w:lang w:eastAsia="uk-UA"/>
        </w:rPr>
        <w:t xml:space="preserve">агресивною. </w:t>
      </w:r>
      <w:r w:rsidRPr="00E37001">
        <w:rPr>
          <w:rStyle w:val="FontStyle11"/>
          <w:sz w:val="28"/>
          <w:szCs w:val="28"/>
          <w:lang w:eastAsia="uk-UA"/>
        </w:rPr>
        <w:t xml:space="preserve">Агресивна кредитна політика має бути обґрунтована тільки надприбутками і не повинна бути тривалою. Варто пам'ятати, що чим більша частина кредитів у загальному обсязі робочих активах і чим довший строк </w:t>
      </w:r>
      <w:r w:rsidRPr="00E37001">
        <w:rPr>
          <w:rStyle w:val="FontStyle11"/>
          <w:spacing w:val="-20"/>
          <w:sz w:val="28"/>
          <w:szCs w:val="28"/>
          <w:lang w:eastAsia="uk-UA"/>
        </w:rPr>
        <w:t xml:space="preserve">її </w:t>
      </w:r>
      <w:r w:rsidRPr="00E37001">
        <w:rPr>
          <w:rStyle w:val="FontStyle11"/>
          <w:sz w:val="28"/>
          <w:szCs w:val="28"/>
          <w:lang w:eastAsia="uk-UA"/>
        </w:rPr>
        <w:t>існування, тим вищий рівень кредитного ризику</w:t>
      </w:r>
      <w:r w:rsidR="000D7F29" w:rsidRPr="000D7F29">
        <w:rPr>
          <w:rStyle w:val="FontStyle11"/>
          <w:sz w:val="28"/>
          <w:szCs w:val="28"/>
          <w:lang w:val="ru-RU" w:eastAsia="uk-UA"/>
        </w:rPr>
        <w:t xml:space="preserve"> [77]</w:t>
      </w:r>
      <w:r w:rsidRPr="00E37001">
        <w:rPr>
          <w:rStyle w:val="FontStyle11"/>
          <w:sz w:val="28"/>
          <w:szCs w:val="28"/>
          <w:lang w:eastAsia="uk-UA"/>
        </w:rPr>
        <w:t>.</w:t>
      </w:r>
    </w:p>
    <w:p w:rsidR="00307A06" w:rsidRPr="00E37001" w:rsidRDefault="00307A06" w:rsidP="00E37001">
      <w:pPr>
        <w:pStyle w:val="a3"/>
        <w:numPr>
          <w:ilvl w:val="1"/>
          <w:numId w:val="4"/>
        </w:numPr>
        <w:spacing w:line="360" w:lineRule="auto"/>
        <w:ind w:left="0" w:firstLine="567"/>
        <w:jc w:val="both"/>
        <w:outlineLvl w:val="1"/>
        <w:rPr>
          <w:rFonts w:ascii="Times New Roman" w:hAnsi="Times New Roman" w:cs="Times New Roman"/>
          <w:b/>
          <w:sz w:val="28"/>
          <w:szCs w:val="28"/>
        </w:rPr>
      </w:pPr>
      <w:bookmarkStart w:id="3" w:name="741"/>
      <w:bookmarkStart w:id="4" w:name="234"/>
      <w:bookmarkStart w:id="5" w:name="_Toc293306703"/>
      <w:bookmarkEnd w:id="3"/>
      <w:bookmarkEnd w:id="4"/>
      <w:r w:rsidRPr="00E37001">
        <w:rPr>
          <w:rFonts w:ascii="Times New Roman" w:hAnsi="Times New Roman" w:cs="Times New Roman"/>
          <w:b/>
          <w:sz w:val="28"/>
          <w:szCs w:val="28"/>
        </w:rPr>
        <w:t>Принципи кредитної політики</w:t>
      </w:r>
      <w:bookmarkEnd w:id="5"/>
    </w:p>
    <w:p w:rsidR="00307A06" w:rsidRPr="00E37001" w:rsidRDefault="00307A06" w:rsidP="00E37001">
      <w:pPr>
        <w:pStyle w:val="a9"/>
        <w:spacing w:line="360" w:lineRule="auto"/>
        <w:ind w:firstLine="567"/>
        <w:contextualSpacing/>
        <w:jc w:val="both"/>
        <w:rPr>
          <w:sz w:val="28"/>
          <w:szCs w:val="28"/>
        </w:rPr>
      </w:pPr>
      <w:r w:rsidRPr="00E37001">
        <w:rPr>
          <w:sz w:val="28"/>
          <w:szCs w:val="28"/>
        </w:rPr>
        <w:lastRenderedPageBreak/>
        <w:t xml:space="preserve">Принципи кредитної політики </w:t>
      </w:r>
      <w:r w:rsidRPr="00E37001">
        <w:rPr>
          <w:rStyle w:val="FontStyle15"/>
          <w:b w:val="0"/>
          <w:sz w:val="28"/>
          <w:szCs w:val="28"/>
          <w:lang w:eastAsia="uk-UA"/>
        </w:rPr>
        <w:t>—</w:t>
      </w:r>
      <w:r w:rsidRPr="00E37001">
        <w:rPr>
          <w:sz w:val="28"/>
          <w:szCs w:val="28"/>
        </w:rPr>
        <w:t xml:space="preserve"> це по-перше, головні правила, яких необхідно дотримуватись при наданні кредиту, і по-друге, основні положення кредитного механізму, що визначають процес кредитування. </w:t>
      </w:r>
    </w:p>
    <w:p w:rsidR="00307A06" w:rsidRPr="00E37001" w:rsidRDefault="00307A06" w:rsidP="00E37001">
      <w:pPr>
        <w:pStyle w:val="a9"/>
        <w:spacing w:line="360" w:lineRule="auto"/>
        <w:ind w:firstLine="567"/>
        <w:contextualSpacing/>
        <w:jc w:val="both"/>
        <w:rPr>
          <w:sz w:val="28"/>
          <w:szCs w:val="28"/>
        </w:rPr>
      </w:pPr>
      <w:r w:rsidRPr="00E37001">
        <w:rPr>
          <w:sz w:val="28"/>
          <w:szCs w:val="28"/>
        </w:rPr>
        <w:t>Банківський кредит надається суб'єктам кредитування усіх форм власності у тимчасове користування на умовах, передбачених кредитним договором</w:t>
      </w:r>
      <w:r w:rsidR="002E487A" w:rsidRPr="002E487A">
        <w:rPr>
          <w:sz w:val="28"/>
          <w:szCs w:val="28"/>
          <w:lang w:val="ru-RU"/>
        </w:rPr>
        <w:t xml:space="preserve"> [97]</w:t>
      </w:r>
      <w:r w:rsidRPr="00E37001">
        <w:rPr>
          <w:sz w:val="28"/>
          <w:szCs w:val="28"/>
        </w:rPr>
        <w:t>.</w:t>
      </w:r>
    </w:p>
    <w:p w:rsidR="00307A06" w:rsidRPr="00E37001" w:rsidRDefault="00307A06" w:rsidP="00E37001">
      <w:pPr>
        <w:pStyle w:val="a9"/>
        <w:spacing w:line="360" w:lineRule="auto"/>
        <w:ind w:firstLine="567"/>
        <w:contextualSpacing/>
        <w:jc w:val="both"/>
        <w:rPr>
          <w:sz w:val="28"/>
          <w:szCs w:val="28"/>
        </w:rPr>
      </w:pPr>
      <w:r w:rsidRPr="00E37001">
        <w:rPr>
          <w:rFonts w:eastAsia="Calibri"/>
          <w:sz w:val="28"/>
          <w:szCs w:val="28"/>
        </w:rPr>
        <w:t>Основними, найбільш визнаними є такі принципи кредитування</w:t>
      </w:r>
      <w:r w:rsidR="00631A1C" w:rsidRPr="00631A1C">
        <w:rPr>
          <w:rFonts w:eastAsia="Calibri"/>
          <w:sz w:val="28"/>
          <w:szCs w:val="28"/>
          <w:lang w:val="ru-RU"/>
        </w:rPr>
        <w:t xml:space="preserve"> [26]</w:t>
      </w:r>
      <w:r w:rsidRPr="00E37001">
        <w:rPr>
          <w:rFonts w:eastAsia="Calibri"/>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цільове призначення позички;</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строковість передання коштів кредитором позичальнику;</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proofErr w:type="spellStart"/>
      <w:r w:rsidRPr="00E37001">
        <w:rPr>
          <w:rFonts w:ascii="Times New Roman" w:eastAsia="Calibri" w:hAnsi="Times New Roman" w:cs="Times New Roman"/>
          <w:sz w:val="28"/>
          <w:szCs w:val="28"/>
        </w:rPr>
        <w:t>— поверненіс</w:t>
      </w:r>
      <w:proofErr w:type="spellEnd"/>
      <w:r w:rsidRPr="00E37001">
        <w:rPr>
          <w:rFonts w:ascii="Times New Roman" w:eastAsia="Calibri" w:hAnsi="Times New Roman" w:cs="Times New Roman"/>
          <w:sz w:val="28"/>
          <w:szCs w:val="28"/>
        </w:rPr>
        <w:t>ть позичальником коштів кредитору в повному обсязі;</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забезпеченість позички;</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платність користування позиченими коштами.</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xml:space="preserve">Цільове призначення позички полягає в тому, що економічні суб’єкти, що виявили намір вступити в кредитні відносини, повинні заздалегідь чітко визначити, на яку ціль будуть використані позичені кошти. Визначену ціль повинні однаково розуміти й оцінювати обидві сторони, погоджуючись на її кредитування. Це висхідна, базова передумова забезпечення кожною зі сторін своїх інтересів у даній позичці та реалізації їх відносин як кредитних. </w:t>
      </w:r>
      <w:r w:rsidRPr="00E37001">
        <w:rPr>
          <w:rFonts w:ascii="Times New Roman" w:hAnsi="Times New Roman" w:cs="Times New Roman"/>
          <w:sz w:val="28"/>
          <w:szCs w:val="28"/>
        </w:rPr>
        <w:t>Цільовий характер дає банку можливість приймати більш об'єктивне рішення про можливості та доцільності надання кредитів, цей принцип є певною гарантією забезпеченості повернення кредитів</w:t>
      </w:r>
      <w:r w:rsidR="000D7F29" w:rsidRPr="000D7F29">
        <w:rPr>
          <w:rFonts w:ascii="Times New Roman" w:hAnsi="Times New Roman" w:cs="Times New Roman"/>
          <w:sz w:val="28"/>
          <w:szCs w:val="28"/>
        </w:rPr>
        <w:t xml:space="preserve"> [76]</w:t>
      </w:r>
      <w:r w:rsidRPr="00E37001">
        <w:rPr>
          <w:rFonts w:ascii="Times New Roman"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Строковість позички передбачає, що вільні кошти кредитора передаються позичальнику на чітко визначений строк, який сторони повинні узгодити в момент вступу в кредитні відносини. Строковість випливає з цільового призначення позички і сама слугує передумовою для подальшого розгортання кредитних відносин між сторонами позички: визначення плати за позичені ко</w:t>
      </w:r>
      <w:r w:rsidRPr="00E37001">
        <w:rPr>
          <w:rFonts w:ascii="Times New Roman" w:hAnsi="Times New Roman" w:cs="Times New Roman"/>
          <w:sz w:val="28"/>
          <w:szCs w:val="28"/>
        </w:rPr>
        <w:t>шти, порядку повернення коштів</w:t>
      </w:r>
      <w:r w:rsidRPr="00E37001">
        <w:rPr>
          <w:rFonts w:ascii="Times New Roman" w:eastAsia="Calibri" w:hAnsi="Times New Roman" w:cs="Times New Roman"/>
          <w:sz w:val="28"/>
          <w:szCs w:val="28"/>
        </w:rPr>
        <w:t xml:space="preserve">. Конкретні строки окремих позичок визначаються залежно від тривалості </w:t>
      </w:r>
      <w:proofErr w:type="spellStart"/>
      <w:r w:rsidRPr="00E37001">
        <w:rPr>
          <w:rFonts w:ascii="Times New Roman" w:eastAsia="Calibri" w:hAnsi="Times New Roman" w:cs="Times New Roman"/>
          <w:sz w:val="28"/>
          <w:szCs w:val="28"/>
        </w:rPr>
        <w:t>кругообороту</w:t>
      </w:r>
      <w:proofErr w:type="spellEnd"/>
      <w:r w:rsidRPr="00E37001">
        <w:rPr>
          <w:rFonts w:ascii="Times New Roman" w:eastAsia="Calibri" w:hAnsi="Times New Roman" w:cs="Times New Roman"/>
          <w:sz w:val="28"/>
          <w:szCs w:val="28"/>
        </w:rPr>
        <w:t xml:space="preserve"> капіталу позичальника, у формуванні якого бере участь позичена вартість. Економічно </w:t>
      </w:r>
      <w:r w:rsidRPr="00E37001">
        <w:rPr>
          <w:rFonts w:ascii="Times New Roman" w:eastAsia="Calibri" w:hAnsi="Times New Roman" w:cs="Times New Roman"/>
          <w:sz w:val="28"/>
          <w:szCs w:val="28"/>
        </w:rPr>
        <w:lastRenderedPageBreak/>
        <w:t xml:space="preserve">обґрунтоване визначення строку позички має вирішальне значення для забезпечення інтересів суб’єктів </w:t>
      </w:r>
      <w:r w:rsidRPr="00E37001">
        <w:rPr>
          <w:rFonts w:ascii="Times New Roman" w:eastAsia="Calibri" w:hAnsi="Times New Roman" w:cs="Times New Roman"/>
          <w:spacing w:val="-2"/>
          <w:sz w:val="28"/>
          <w:szCs w:val="28"/>
        </w:rPr>
        <w:t>позички, ефективного використання позиченої вартості, для зме</w:t>
      </w:r>
      <w:r w:rsidRPr="00E37001">
        <w:rPr>
          <w:rFonts w:ascii="Times New Roman" w:eastAsia="Calibri" w:hAnsi="Times New Roman" w:cs="Times New Roman"/>
          <w:sz w:val="28"/>
          <w:szCs w:val="28"/>
        </w:rPr>
        <w:t>ншен</w:t>
      </w:r>
      <w:r w:rsidRPr="00E37001">
        <w:rPr>
          <w:rFonts w:ascii="Times New Roman" w:hAnsi="Times New Roman" w:cs="Times New Roman"/>
          <w:sz w:val="28"/>
          <w:szCs w:val="28"/>
        </w:rPr>
        <w:t>ня кредитного ризику</w:t>
      </w:r>
      <w:r w:rsidR="00631A1C" w:rsidRPr="00631A1C">
        <w:rPr>
          <w:rFonts w:ascii="Times New Roman" w:hAnsi="Times New Roman" w:cs="Times New Roman"/>
          <w:sz w:val="28"/>
          <w:szCs w:val="28"/>
          <w:lang w:val="ru-RU"/>
        </w:rPr>
        <w:t xml:space="preserve"> [40]</w:t>
      </w:r>
      <w:r w:rsidRPr="00E37001">
        <w:rPr>
          <w:rFonts w:ascii="Times New Roman" w:eastAsia="Calibri" w:hAnsi="Times New Roman" w:cs="Times New Roman"/>
          <w:sz w:val="28"/>
          <w:szCs w:val="28"/>
        </w:rPr>
        <w:t>.</w:t>
      </w:r>
    </w:p>
    <w:p w:rsidR="00307A06" w:rsidRPr="00E37001" w:rsidRDefault="00307A06" w:rsidP="00E37001">
      <w:pPr>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Економічною основою терміновості кредиту, наданого позичальнику з метою основної виробничої діяльності, є тривалість кругообігу обігових виробничих коштів і засобів обігу. Кредити на технічне переозброєння і розширення діючих підприємств та їх реконструкцію надаються в межах нормативних строків будівництва, опанування і окупності об'єкту. Конкретний термін повернення позички залежить від форми кредитування. Установи банків можуть надавати відстрочку повернення позики, стягуючи за це підвищений процент</w:t>
      </w:r>
      <w:r w:rsidR="002E487A" w:rsidRPr="002E487A">
        <w:rPr>
          <w:rFonts w:ascii="Times New Roman" w:hAnsi="Times New Roman" w:cs="Times New Roman"/>
          <w:sz w:val="28"/>
          <w:szCs w:val="28"/>
          <w:lang w:val="ru-RU"/>
        </w:rPr>
        <w:t xml:space="preserve"> [98]</w:t>
      </w:r>
      <w:r w:rsidRPr="00E37001">
        <w:rPr>
          <w:rFonts w:ascii="Times New Roman"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hAnsi="Times New Roman" w:cs="Times New Roman"/>
          <w:sz w:val="28"/>
          <w:szCs w:val="28"/>
        </w:rPr>
        <w:t>Від дотримання принципу строковості кредиту залежить можливість надання нових позик, оскільки вони є одним із ресурсів нового кредитування. Порушення принципу терміновості кредиту призводить до перетворення строкової заборгованості по позиках у прострочену. А при появі прострочених кредитів нові кредити підприємствам, як правило, не надаються</w:t>
      </w:r>
      <w:r w:rsidR="00631A1C" w:rsidRPr="00631A1C">
        <w:rPr>
          <w:rFonts w:ascii="Times New Roman" w:hAnsi="Times New Roman" w:cs="Times New Roman"/>
          <w:sz w:val="28"/>
          <w:szCs w:val="28"/>
          <w:lang w:val="ru-RU"/>
        </w:rPr>
        <w:t xml:space="preserve"> [28]</w:t>
      </w:r>
      <w:r w:rsidRPr="00E37001">
        <w:rPr>
          <w:rFonts w:ascii="Times New Roman"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proofErr w:type="spellStart"/>
      <w:r w:rsidRPr="00E37001">
        <w:rPr>
          <w:rFonts w:ascii="Times New Roman" w:eastAsia="Calibri" w:hAnsi="Times New Roman" w:cs="Times New Roman"/>
          <w:sz w:val="28"/>
          <w:szCs w:val="28"/>
        </w:rPr>
        <w:t>Поверненість</w:t>
      </w:r>
      <w:proofErr w:type="spellEnd"/>
      <w:r w:rsidRPr="00E37001">
        <w:rPr>
          <w:rFonts w:ascii="Times New Roman" w:eastAsia="Calibri" w:hAnsi="Times New Roman" w:cs="Times New Roman"/>
          <w:sz w:val="28"/>
          <w:szCs w:val="28"/>
        </w:rPr>
        <w:t xml:space="preserve"> позиченої вартості кредитору означає, що позичальник повинен повернути кредитору весь обсяг одержаної в позичку вартості. Цей принцип випливає з попереднього — строковості позички і тісно пов’язаний з ним, але це самостійний принцип. Визначення строку позички при укладенні відповідної угоди зовсім не гарантує того, що вона буде погашена якраз у цей термін. Дуже часто позичка повертається несвоєчасно. Але якщо навіть вона погашається в установлений термін, це не значить, що вся позичена вартість повернута. Девальвація валюти позички, інфляція можуть знецінити грошову одиницю та основну суму грошової позички, тому у разі повернення номінальної суми позички кредитор зазнає збитків. Подібні втрати він матиме і в разі повернення товарної позички у вигляді тих самих матеріальних цінностей, якщо ринкова ціна їх упала за період користування позичкою. Тому суб’єкти кредиту повинні передбачати спеціальні заходи </w:t>
      </w:r>
      <w:r w:rsidRPr="00E37001">
        <w:rPr>
          <w:rFonts w:ascii="Times New Roman" w:eastAsia="Calibri" w:hAnsi="Times New Roman" w:cs="Times New Roman"/>
          <w:sz w:val="28"/>
          <w:szCs w:val="28"/>
        </w:rPr>
        <w:lastRenderedPageBreak/>
        <w:t>щодо забезпечення повернення позиченої вартості в повному обсязі: скорочення терміну позички, підвищення ставки позичкового процента, запровадження плаваючої (змінної) ставки процента</w:t>
      </w:r>
      <w:r w:rsidR="000D7F29" w:rsidRPr="000D7F29">
        <w:rPr>
          <w:rFonts w:ascii="Times New Roman" w:eastAsia="Calibri" w:hAnsi="Times New Roman" w:cs="Times New Roman"/>
          <w:sz w:val="28"/>
          <w:szCs w:val="28"/>
          <w:lang w:val="ru-RU"/>
        </w:rPr>
        <w:t xml:space="preserve"> [75]</w:t>
      </w:r>
      <w:r w:rsidRPr="00E37001">
        <w:rPr>
          <w:rFonts w:ascii="Times New Roman" w:eastAsia="Calibri"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pacing w:val="2"/>
          <w:sz w:val="28"/>
          <w:szCs w:val="28"/>
        </w:rPr>
      </w:pPr>
      <w:r w:rsidRPr="00E37001">
        <w:rPr>
          <w:rFonts w:ascii="Times New Roman" w:eastAsia="Calibri" w:hAnsi="Times New Roman" w:cs="Times New Roman"/>
          <w:spacing w:val="2"/>
          <w:sz w:val="28"/>
          <w:szCs w:val="28"/>
        </w:rPr>
        <w:t>Забезпеченість полягає в тому, що кредитор при наданні позички мусить вжити додаткових заходів щодо гарантування повернення позички у визначені строки. Додатковими ці заходи є відносно принципів цільового спрямування та строковості позички, які за своєю сутністю сприяють поверненню позички. Але цього «сприяння» часто виявляється недостатньо, і позички повертаються не своєчасно, не в повному обсязі чи взагалі не повертаються. Захисту кредитора від неповернення боргу неплатоспроможним позичальником і слугує принцип забезпеченості позичок</w:t>
      </w:r>
      <w:r w:rsidR="00631A1C" w:rsidRPr="00631A1C">
        <w:rPr>
          <w:rFonts w:ascii="Times New Roman" w:eastAsia="Calibri" w:hAnsi="Times New Roman" w:cs="Times New Roman"/>
          <w:spacing w:val="2"/>
          <w:sz w:val="28"/>
          <w:szCs w:val="28"/>
          <w:lang w:val="ru-RU"/>
        </w:rPr>
        <w:t xml:space="preserve"> [36]</w:t>
      </w:r>
      <w:r w:rsidRPr="00E37001">
        <w:rPr>
          <w:rFonts w:ascii="Times New Roman" w:eastAsia="Calibri" w:hAnsi="Times New Roman" w:cs="Times New Roman"/>
          <w:spacing w:val="2"/>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Забезпеченням позички може бути майно (нерухоме, рухоме, цінні папери, валютні цінності), що береться у заставу, а також зобов’язання третьої особи погасити борг кредитору (гарантії, поручительства). Розмір майнового забезпечення звичайно встановлюється на рівні, що перевищує розмір позички, на випадок зниження ринкової ціни застави.</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xml:space="preserve">Принцип забезпеченості відіграє важливу роль у захисті від кредитних ризиків — він є останньою перепоною на шляху вказаного ризику. Проте й ця перепона не завжди спрацьовує (наприклад, у разі знецінення застави чи банкрутства гаранта). Тому кредиторам не слід переоцінювати значення забезпечення позичок, а більше покладатися на високу ефективність проекту, що кредитується, та кредитоспроможність і надійність позичальника. Якщо позичальник безумовно має ці якості, то кредитор може і не вимагати додаткового забезпечення позичок. </w:t>
      </w:r>
      <w:r w:rsidRPr="00E37001">
        <w:rPr>
          <w:rFonts w:ascii="Times New Roman" w:hAnsi="Times New Roman" w:cs="Times New Roman"/>
          <w:sz w:val="28"/>
          <w:szCs w:val="28"/>
        </w:rPr>
        <w:t xml:space="preserve">Основна маса кредитів надається під забезпечення. Незабезпеченими або бланковими кредитами користуються клієнти з високими прибутками, ліквідні, з прекрасною репутацією. Такі кредити надаються не дуже часто, тому що пов'язані з великим ризиком для банку, вони надаються під високі проценти. Комерційний банк ніколи не </w:t>
      </w:r>
      <w:r w:rsidRPr="00E37001">
        <w:rPr>
          <w:rFonts w:ascii="Times New Roman" w:hAnsi="Times New Roman" w:cs="Times New Roman"/>
          <w:sz w:val="28"/>
          <w:szCs w:val="28"/>
        </w:rPr>
        <w:lastRenderedPageBreak/>
        <w:t>надасть клієнту кредит, якщо не буде упевнений в джерелах погашення заборгованості, навіть при достатньому забезпечені</w:t>
      </w:r>
      <w:r w:rsidR="00631A1C" w:rsidRPr="00631A1C">
        <w:rPr>
          <w:rFonts w:ascii="Times New Roman" w:hAnsi="Times New Roman" w:cs="Times New Roman"/>
          <w:sz w:val="28"/>
          <w:szCs w:val="28"/>
          <w:lang w:val="ru-RU"/>
        </w:rPr>
        <w:t xml:space="preserve"> [27]</w:t>
      </w:r>
      <w:r w:rsidRPr="00E37001">
        <w:rPr>
          <w:rFonts w:ascii="Times New Roman"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xml:space="preserve">Платність користування позичкою полягає в тому, що позичальник повертає кредитору не тільки основну суму боргу, а й сплачує додаткові кошти у формі процента. </w:t>
      </w:r>
      <w:r w:rsidRPr="00E37001">
        <w:rPr>
          <w:rFonts w:ascii="Times New Roman" w:hAnsi="Times New Roman" w:cs="Times New Roman"/>
          <w:sz w:val="28"/>
          <w:szCs w:val="28"/>
        </w:rPr>
        <w:t>Рівень процентних ставок, що встановлюється комерційними банками, залежить від терміну користування позикою і від ступеня ризику, що виникає у зв'язку з кредитною операцією. Чим більший термін, на який наданий кредит, і чим більший ступень ризику, тим більша процентна ставка за кредитами. За рахунок процентів банки сплачують свої витрати і одержують доходи. Процент, одержаний за користування кредитом, є також одним із засобів управління сукупним грошовим оборотом</w:t>
      </w:r>
      <w:r w:rsidR="002E487A" w:rsidRPr="002E487A">
        <w:rPr>
          <w:rFonts w:ascii="Times New Roman" w:hAnsi="Times New Roman" w:cs="Times New Roman"/>
          <w:sz w:val="28"/>
          <w:szCs w:val="28"/>
          <w:lang w:val="ru-RU"/>
        </w:rPr>
        <w:t xml:space="preserve"> [99]</w:t>
      </w:r>
      <w:r w:rsidRPr="00E37001">
        <w:rPr>
          <w:rFonts w:ascii="Times New Roman"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Для встановлення такого принципу є вагомі економічні підстави. Адже коли кредитор передає свої вільні кошти в позичку, то зазнає при цьому подвійних втрат</w:t>
      </w:r>
      <w:r w:rsidR="00631A1C" w:rsidRPr="00631A1C">
        <w:rPr>
          <w:rFonts w:ascii="Times New Roman" w:eastAsia="Calibri" w:hAnsi="Times New Roman" w:cs="Times New Roman"/>
          <w:sz w:val="28"/>
          <w:szCs w:val="28"/>
          <w:lang w:val="ru-RU"/>
        </w:rPr>
        <w:t xml:space="preserve"> [37]</w:t>
      </w:r>
      <w:r w:rsidRPr="00E37001">
        <w:rPr>
          <w:rFonts w:ascii="Times New Roman" w:eastAsia="Calibri"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втрачає дохід, який припадає на вилучену ним з обороту частину коштів, що стає джерелом кредиту;</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втрачає ті переваги та зручності, які властиві утриманню вивільнених з обороту коштів у ліквідній формі. Більше того, втрати переваг та зручностей запасів ліквідності супроводжуються появою кредитного ризику, пов’язаного з наданням позички, та можливих збитків від позички.</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Тому, щоб зберегти своє попереднє становище на ринку, кредитор мусить стягувати плату за надані в позичку кошти. Без цього надання позички перетворюється з комерційної кредитної операції в спонсорську і в кредитора зникають економічні мотиви здійснювати позичкову діяльність, розвивати кредит</w:t>
      </w:r>
      <w:r w:rsidR="000D7F29" w:rsidRPr="000D7F29">
        <w:rPr>
          <w:rFonts w:ascii="Times New Roman" w:eastAsia="Calibri" w:hAnsi="Times New Roman" w:cs="Times New Roman"/>
          <w:sz w:val="28"/>
          <w:szCs w:val="28"/>
        </w:rPr>
        <w:t xml:space="preserve"> [74]</w:t>
      </w:r>
      <w:r w:rsidRPr="00E37001">
        <w:rPr>
          <w:rFonts w:ascii="Times New Roman" w:eastAsia="Calibri"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 xml:space="preserve">Платність позички має важливе значення і для позичальника. Вона стимулює його до більш виваженого рішення щодо доцільності одержання позички, строгого дотримання інших принципів кредитування, ефективного використання позичених коштів. У процентній ставці, що визначає розмір плати за позичку, перехрещуються інтереси кредитора і позичальника, тому </w:t>
      </w:r>
      <w:r w:rsidRPr="00E37001">
        <w:rPr>
          <w:rFonts w:ascii="Times New Roman" w:eastAsia="Calibri" w:hAnsi="Times New Roman" w:cs="Times New Roman"/>
          <w:sz w:val="28"/>
          <w:szCs w:val="28"/>
        </w:rPr>
        <w:lastRenderedPageBreak/>
        <w:t>дуже важливо для нормального розвитку кредиту, щоб розмір її задовольняв як кредитора, так і позичальника</w:t>
      </w:r>
      <w:r w:rsidR="00631A1C" w:rsidRPr="00631A1C">
        <w:rPr>
          <w:rFonts w:ascii="Times New Roman" w:eastAsia="Calibri" w:hAnsi="Times New Roman" w:cs="Times New Roman"/>
          <w:sz w:val="28"/>
          <w:szCs w:val="28"/>
          <w:lang w:val="ru-RU"/>
        </w:rPr>
        <w:t xml:space="preserve"> [29]</w:t>
      </w:r>
      <w:r w:rsidRPr="00E37001">
        <w:rPr>
          <w:rFonts w:ascii="Times New Roman" w:eastAsia="Calibri" w:hAnsi="Times New Roman" w:cs="Times New Roman"/>
          <w:sz w:val="28"/>
          <w:szCs w:val="28"/>
        </w:rPr>
        <w:t>.</w:t>
      </w:r>
    </w:p>
    <w:p w:rsidR="00307A06" w:rsidRPr="00E37001" w:rsidRDefault="00307A06" w:rsidP="00E37001">
      <w:pPr>
        <w:spacing w:line="360" w:lineRule="auto"/>
        <w:ind w:firstLine="567"/>
        <w:contextualSpacing/>
        <w:jc w:val="both"/>
        <w:rPr>
          <w:rFonts w:ascii="Times New Roman" w:eastAsia="Calibri" w:hAnsi="Times New Roman" w:cs="Times New Roman"/>
          <w:sz w:val="28"/>
          <w:szCs w:val="28"/>
        </w:rPr>
      </w:pPr>
      <w:r w:rsidRPr="00E37001">
        <w:rPr>
          <w:rFonts w:ascii="Times New Roman" w:eastAsia="Calibri" w:hAnsi="Times New Roman" w:cs="Times New Roman"/>
          <w:sz w:val="28"/>
          <w:szCs w:val="28"/>
        </w:rPr>
        <w:t>Усі принципи кредитування тісно між собою пов’язані, оскільки випливають із сутності кредиту і тільки в комплексі можуть забезпечити його реалізацію. Тому для ефективного кредитування дотримання всіх його принципів є обов’язковим.</w:t>
      </w:r>
    </w:p>
    <w:p w:rsidR="00307A06" w:rsidRPr="00E37001" w:rsidRDefault="00307A06" w:rsidP="00E37001">
      <w:pPr>
        <w:spacing w:line="360" w:lineRule="auto"/>
        <w:ind w:firstLine="567"/>
        <w:contextualSpacing/>
        <w:jc w:val="both"/>
        <w:rPr>
          <w:rStyle w:val="FontStyle12"/>
          <w:b w:val="0"/>
          <w:sz w:val="28"/>
          <w:szCs w:val="28"/>
        </w:rPr>
      </w:pPr>
      <w:r w:rsidRPr="00E37001">
        <w:rPr>
          <w:rStyle w:val="FontStyle12"/>
          <w:b w:val="0"/>
          <w:sz w:val="28"/>
          <w:szCs w:val="28"/>
        </w:rPr>
        <w:t xml:space="preserve">Кредити надаються банком платоспроможним підприємствам, організаціям, іншим суб'єктам господарювання, які </w:t>
      </w:r>
      <w:r w:rsidRPr="00E37001">
        <w:rPr>
          <w:rStyle w:val="FontStyle13"/>
          <w:b w:val="0"/>
          <w:i w:val="0"/>
          <w:sz w:val="28"/>
          <w:szCs w:val="28"/>
        </w:rPr>
        <w:t xml:space="preserve">мають самостійний </w:t>
      </w:r>
      <w:r w:rsidRPr="00E37001">
        <w:rPr>
          <w:rStyle w:val="FontStyle12"/>
          <w:b w:val="0"/>
          <w:sz w:val="28"/>
          <w:szCs w:val="28"/>
        </w:rPr>
        <w:t xml:space="preserve">баланс і власні кошти, можуть від свого імені набувати майнових і особистих немайнових прав і нести обов'язки, бути позивачами </w:t>
      </w:r>
      <w:r w:rsidRPr="00E37001">
        <w:rPr>
          <w:rStyle w:val="FontStyle13"/>
          <w:b w:val="0"/>
          <w:i w:val="0"/>
          <w:sz w:val="28"/>
          <w:szCs w:val="28"/>
        </w:rPr>
        <w:t xml:space="preserve">і </w:t>
      </w:r>
      <w:r w:rsidRPr="00E37001">
        <w:rPr>
          <w:rStyle w:val="FontStyle12"/>
          <w:b w:val="0"/>
          <w:sz w:val="28"/>
          <w:szCs w:val="28"/>
        </w:rPr>
        <w:t>відповідачами в суді, господарському і третейському сулі, а також фізичним особам та підприємцям</w:t>
      </w:r>
      <w:r w:rsidR="002E487A" w:rsidRPr="002E487A">
        <w:rPr>
          <w:rStyle w:val="FontStyle12"/>
          <w:b w:val="0"/>
          <w:sz w:val="28"/>
          <w:szCs w:val="28"/>
        </w:rPr>
        <w:t xml:space="preserve"> [100]</w:t>
      </w:r>
      <w:r w:rsidRPr="00E37001">
        <w:rPr>
          <w:rStyle w:val="FontStyle12"/>
          <w:b w:val="0"/>
          <w:sz w:val="28"/>
          <w:szCs w:val="28"/>
        </w:rPr>
        <w:t>.</w:t>
      </w:r>
    </w:p>
    <w:p w:rsidR="00307A06" w:rsidRPr="00E37001" w:rsidRDefault="00307A06" w:rsidP="00E37001">
      <w:pPr>
        <w:spacing w:line="360" w:lineRule="auto"/>
        <w:ind w:firstLine="567"/>
        <w:contextualSpacing/>
        <w:jc w:val="both"/>
        <w:rPr>
          <w:rStyle w:val="FontStyle12"/>
          <w:b w:val="0"/>
          <w:sz w:val="28"/>
          <w:szCs w:val="28"/>
        </w:rPr>
      </w:pPr>
      <w:r w:rsidRPr="00E37001">
        <w:rPr>
          <w:rStyle w:val="FontStyle12"/>
          <w:b w:val="0"/>
          <w:sz w:val="28"/>
          <w:szCs w:val="28"/>
        </w:rPr>
        <w:t>При розгляді заявки на отримання кредиту банк, при інших рівних умовах, віддає перевагу клієнтам банку.</w:t>
      </w:r>
    </w:p>
    <w:p w:rsidR="00307A06" w:rsidRPr="00E37001" w:rsidRDefault="00307A06" w:rsidP="00E37001">
      <w:pPr>
        <w:spacing w:line="360" w:lineRule="auto"/>
        <w:ind w:firstLine="567"/>
        <w:contextualSpacing/>
        <w:jc w:val="both"/>
        <w:rPr>
          <w:rStyle w:val="FontStyle12"/>
          <w:b w:val="0"/>
          <w:sz w:val="28"/>
          <w:szCs w:val="28"/>
        </w:rPr>
      </w:pPr>
      <w:r w:rsidRPr="00E37001">
        <w:rPr>
          <w:rStyle w:val="FontStyle12"/>
          <w:b w:val="0"/>
          <w:sz w:val="28"/>
          <w:szCs w:val="28"/>
        </w:rPr>
        <w:t xml:space="preserve">При вирішенні питання про надання кредиту Банк аналізує, вивчає діяльність потенційного позичальника, визначає його </w:t>
      </w:r>
      <w:proofErr w:type="spellStart"/>
      <w:r w:rsidRPr="00E37001">
        <w:rPr>
          <w:rStyle w:val="FontStyle12"/>
          <w:b w:val="0"/>
          <w:sz w:val="28"/>
          <w:szCs w:val="28"/>
        </w:rPr>
        <w:t>плато-</w:t>
      </w:r>
      <w:proofErr w:type="spellEnd"/>
      <w:r w:rsidRPr="00E37001">
        <w:rPr>
          <w:rStyle w:val="FontStyle12"/>
          <w:b w:val="0"/>
          <w:sz w:val="28"/>
          <w:szCs w:val="28"/>
        </w:rPr>
        <w:t xml:space="preserve"> та кредитоспроможність, прогнозує ризик неповернення кредиту і приймає рішення про надання або відмову у наданні кредиту</w:t>
      </w:r>
      <w:r w:rsidR="00631A1C" w:rsidRPr="00631A1C">
        <w:rPr>
          <w:rStyle w:val="FontStyle12"/>
          <w:b w:val="0"/>
          <w:sz w:val="28"/>
          <w:szCs w:val="28"/>
        </w:rPr>
        <w:t xml:space="preserve"> [38]</w:t>
      </w:r>
      <w:r w:rsidRPr="00E37001">
        <w:rPr>
          <w:rStyle w:val="FontStyle12"/>
          <w:b w:val="0"/>
          <w:sz w:val="28"/>
          <w:szCs w:val="28"/>
        </w:rPr>
        <w:t>.</w:t>
      </w:r>
    </w:p>
    <w:p w:rsidR="00307A06" w:rsidRPr="00E37001" w:rsidRDefault="00307A06" w:rsidP="00E37001">
      <w:pPr>
        <w:spacing w:line="360" w:lineRule="auto"/>
        <w:ind w:firstLine="567"/>
        <w:contextualSpacing/>
        <w:jc w:val="both"/>
        <w:rPr>
          <w:rStyle w:val="FontStyle12"/>
          <w:b w:val="0"/>
          <w:sz w:val="28"/>
          <w:szCs w:val="28"/>
        </w:rPr>
      </w:pPr>
      <w:r w:rsidRPr="00E37001">
        <w:rPr>
          <w:rStyle w:val="FontStyle12"/>
          <w:b w:val="0"/>
          <w:sz w:val="28"/>
          <w:szCs w:val="28"/>
        </w:rPr>
        <w:t xml:space="preserve">Якщо у позичальника є заборгованість за кредитами інших банків, але аналіз його фінансового стану свідчить про його </w:t>
      </w:r>
      <w:proofErr w:type="spellStart"/>
      <w:r w:rsidRPr="00E37001">
        <w:rPr>
          <w:rStyle w:val="FontStyle12"/>
          <w:b w:val="0"/>
          <w:sz w:val="28"/>
          <w:szCs w:val="28"/>
        </w:rPr>
        <w:t>плато-</w:t>
      </w:r>
      <w:proofErr w:type="spellEnd"/>
      <w:r w:rsidRPr="00E37001">
        <w:rPr>
          <w:rStyle w:val="FontStyle12"/>
          <w:b w:val="0"/>
          <w:sz w:val="28"/>
          <w:szCs w:val="28"/>
        </w:rPr>
        <w:t xml:space="preserve"> та кредитоспроможність і фінансову стійкість, а техніко-економічна експертиза проекту, що пропонується до кредитування, доводить його перспективність та ефективність, то банк може надати даному позичальнику кредит. Причому, в забезпечення кредиту приймаються вільні від зобов'язань активи позичальника (гаранта/ поручителя)</w:t>
      </w:r>
      <w:r w:rsidR="000D7F29" w:rsidRPr="000D7F29">
        <w:rPr>
          <w:rStyle w:val="FontStyle12"/>
          <w:b w:val="0"/>
          <w:sz w:val="28"/>
          <w:szCs w:val="28"/>
          <w:lang w:val="ru-RU"/>
        </w:rPr>
        <w:t xml:space="preserve"> [73]</w:t>
      </w:r>
      <w:r w:rsidRPr="00E37001">
        <w:rPr>
          <w:rStyle w:val="FontStyle12"/>
          <w:b w:val="0"/>
          <w:sz w:val="28"/>
          <w:szCs w:val="28"/>
        </w:rPr>
        <w:t>.</w:t>
      </w:r>
    </w:p>
    <w:p w:rsidR="00307A06" w:rsidRPr="00E37001" w:rsidRDefault="00307A06" w:rsidP="00E37001">
      <w:pPr>
        <w:spacing w:line="360" w:lineRule="auto"/>
        <w:ind w:firstLine="567"/>
        <w:contextualSpacing/>
        <w:jc w:val="both"/>
        <w:rPr>
          <w:rStyle w:val="FontStyle12"/>
          <w:b w:val="0"/>
          <w:sz w:val="28"/>
          <w:szCs w:val="28"/>
        </w:rPr>
      </w:pPr>
      <w:r w:rsidRPr="00E37001">
        <w:rPr>
          <w:rStyle w:val="FontStyle12"/>
          <w:b w:val="0"/>
          <w:sz w:val="28"/>
          <w:szCs w:val="28"/>
        </w:rPr>
        <w:t xml:space="preserve">У разі, якщо позичальник зазнає тимчасові фінансові труднощі, які не дозволяють своєчасно виконати зобов'язання за кредитним договором, але, при ньому, позичальником розроблено новий проект бізнес-плану з техніко-економічним обґрунтуванням погашення кредиту, який дозволяє шляхом додаткового фінансування (надання нового кредиту) розрахуватися за всіма </w:t>
      </w:r>
      <w:r w:rsidRPr="00E37001">
        <w:rPr>
          <w:rStyle w:val="FontStyle12"/>
          <w:b w:val="0"/>
          <w:sz w:val="28"/>
          <w:szCs w:val="28"/>
        </w:rPr>
        <w:lastRenderedPageBreak/>
        <w:t>кредитами, то Кредитний комітет має право прийняти рішення про надання додаткового (нового) кредиту позичальнику.</w:t>
      </w:r>
    </w:p>
    <w:p w:rsidR="00307A06" w:rsidRPr="00E37001" w:rsidRDefault="00307A06" w:rsidP="00E37001">
      <w:pPr>
        <w:spacing w:line="360" w:lineRule="auto"/>
        <w:ind w:firstLine="567"/>
        <w:contextualSpacing/>
        <w:jc w:val="both"/>
        <w:rPr>
          <w:rStyle w:val="FontStyle12"/>
          <w:rFonts w:eastAsia="Calibri"/>
          <w:b w:val="0"/>
          <w:bCs w:val="0"/>
          <w:sz w:val="28"/>
          <w:szCs w:val="28"/>
        </w:rPr>
      </w:pPr>
      <w:r w:rsidRPr="00E37001">
        <w:rPr>
          <w:rStyle w:val="FontStyle12"/>
          <w:b w:val="0"/>
          <w:sz w:val="28"/>
          <w:szCs w:val="28"/>
        </w:rPr>
        <w:t>У разі, якщо позичальник має добру кредитну історію, довгострокові ділові відносини з банком, фінансовий стан свідчить про його фінансову стійкість. Кредитний комітет може встановити для даного клієнта ліміт активних операцій, в рамках якого надавати усі можливі види кредитних послуг чи надавати одночасно декілька кредитів з різною метою, при умові дотримання нормативу максимального розміру ризику на одного позичальника</w:t>
      </w:r>
      <w:r w:rsidR="00631A1C" w:rsidRPr="00631A1C">
        <w:rPr>
          <w:rStyle w:val="FontStyle12"/>
          <w:b w:val="0"/>
          <w:sz w:val="28"/>
          <w:szCs w:val="28"/>
          <w:lang w:val="ru-RU"/>
        </w:rPr>
        <w:t xml:space="preserve"> [39]</w:t>
      </w:r>
      <w:r w:rsidRPr="00E37001">
        <w:rPr>
          <w:rStyle w:val="FontStyle12"/>
          <w:b w:val="0"/>
          <w:sz w:val="28"/>
          <w:szCs w:val="28"/>
        </w:rPr>
        <w:t>.</w:t>
      </w:r>
    </w:p>
    <w:p w:rsidR="00307A06" w:rsidRPr="00E37001" w:rsidRDefault="00307A06" w:rsidP="00E37001">
      <w:pPr>
        <w:pStyle w:val="Style4"/>
        <w:widowControl/>
        <w:spacing w:line="360" w:lineRule="auto"/>
        <w:ind w:firstLine="567"/>
        <w:contextualSpacing/>
        <w:rPr>
          <w:rStyle w:val="FontStyle12"/>
          <w:b w:val="0"/>
          <w:sz w:val="28"/>
          <w:szCs w:val="28"/>
          <w:lang w:eastAsia="uk-UA"/>
        </w:rPr>
      </w:pPr>
      <w:r w:rsidRPr="00E37001">
        <w:rPr>
          <w:rStyle w:val="FontStyle12"/>
          <w:b w:val="0"/>
          <w:sz w:val="28"/>
          <w:szCs w:val="28"/>
          <w:lang w:eastAsia="uk-UA"/>
        </w:rPr>
        <w:t>Банк самостійно визначає порядок залучення та використання кредитних ресурсів, проведення кредитних операцій, встановлення рівня відсоткових ставок та комісійних винагород.</w:t>
      </w:r>
    </w:p>
    <w:p w:rsidR="00307A06" w:rsidRPr="00E37001" w:rsidRDefault="00307A06" w:rsidP="00E37001">
      <w:pPr>
        <w:pStyle w:val="Style4"/>
        <w:widowControl/>
        <w:spacing w:line="360" w:lineRule="auto"/>
        <w:ind w:firstLine="567"/>
        <w:contextualSpacing/>
        <w:rPr>
          <w:rStyle w:val="FontStyle12"/>
          <w:b w:val="0"/>
          <w:sz w:val="28"/>
          <w:szCs w:val="28"/>
          <w:lang w:eastAsia="uk-UA"/>
        </w:rPr>
      </w:pPr>
      <w:r w:rsidRPr="00E37001">
        <w:rPr>
          <w:rStyle w:val="FontStyle12"/>
          <w:b w:val="0"/>
          <w:sz w:val="28"/>
          <w:szCs w:val="28"/>
          <w:lang w:eastAsia="uk-UA"/>
        </w:rPr>
        <w:t>Розмір процентних ставок (комісій) за користування кредитними коштами та порядок їх сплати встановлюються банком і визначаються в кредитному договорі в залежності від кредитного ризику, наданого забезпечення, попиту і пропозицій, які склалися на ринку кредитних ресурсів, строку користування кредитом, облікової ставки НБ</w:t>
      </w:r>
      <w:r w:rsidRPr="00E37001">
        <w:rPr>
          <w:rStyle w:val="FontStyle12"/>
          <w:b w:val="0"/>
          <w:spacing w:val="20"/>
          <w:sz w:val="28"/>
          <w:szCs w:val="28"/>
          <w:lang w:eastAsia="uk-UA"/>
        </w:rPr>
        <w:t>У</w:t>
      </w:r>
      <w:r w:rsidRPr="00E37001">
        <w:rPr>
          <w:rStyle w:val="FontStyle12"/>
          <w:b w:val="0"/>
          <w:sz w:val="28"/>
          <w:szCs w:val="28"/>
          <w:lang w:eastAsia="uk-UA"/>
        </w:rPr>
        <w:t xml:space="preserve"> та інших факторів. Розмір та зміна відсоткової ставки (комісії) за кожним окремим кредитом може визначається рішенням Кредитного Комітету банку, Кредитною комісією відділення в межах своїх повноважень.</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При наданні позичальнику кредиту в розмірі, що перевищує 10 відсотків власного капіталу ("великий" кредит), банк повідомляє про кожний такий кредит НБУ</w:t>
      </w:r>
      <w:r w:rsidR="00631A1C" w:rsidRPr="00631A1C">
        <w:rPr>
          <w:rStyle w:val="FontStyle12"/>
          <w:b w:val="0"/>
          <w:sz w:val="28"/>
          <w:szCs w:val="28"/>
          <w:lang w:val="ru-RU" w:eastAsia="uk-UA"/>
        </w:rPr>
        <w:t xml:space="preserve"> [42]</w:t>
      </w:r>
      <w:r w:rsidRPr="00E37001">
        <w:rPr>
          <w:rStyle w:val="FontStyle12"/>
          <w:b w:val="0"/>
          <w:sz w:val="28"/>
          <w:szCs w:val="28"/>
          <w:lang w:eastAsia="uk-UA"/>
        </w:rPr>
        <w:t>.</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Жоден із наданих "великих" кредитів не може перевищувати 25 відсотків власного капіталу банку.</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Загальний обсяг наданих "великих" кредитів не може перевищувати восьмикратного розміру власного капіталу банку.</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При наданні кредитів позичальникам банк обов'язково враховує нормативи кредитного ризику</w:t>
      </w:r>
      <w:r w:rsidR="002E487A" w:rsidRPr="002E487A">
        <w:rPr>
          <w:rStyle w:val="FontStyle12"/>
          <w:b w:val="0"/>
          <w:sz w:val="28"/>
          <w:szCs w:val="28"/>
          <w:lang w:val="ru-RU" w:eastAsia="uk-UA"/>
        </w:rPr>
        <w:t xml:space="preserve"> [101]</w:t>
      </w:r>
      <w:r w:rsidRPr="00E37001">
        <w:rPr>
          <w:rStyle w:val="FontStyle12"/>
          <w:b w:val="0"/>
          <w:sz w:val="28"/>
          <w:szCs w:val="28"/>
          <w:lang w:eastAsia="uk-UA"/>
        </w:rPr>
        <w:t>:</w:t>
      </w:r>
    </w:p>
    <w:p w:rsidR="00307A06" w:rsidRPr="00E37001" w:rsidRDefault="00307A06" w:rsidP="00E37001">
      <w:pPr>
        <w:pStyle w:val="Style2"/>
        <w:widowControl/>
        <w:numPr>
          <w:ilvl w:val="0"/>
          <w:numId w:val="13"/>
        </w:numPr>
        <w:spacing w:before="13" w:line="360" w:lineRule="auto"/>
        <w:ind w:left="0" w:firstLine="567"/>
        <w:contextualSpacing/>
        <w:jc w:val="both"/>
        <w:rPr>
          <w:rStyle w:val="FontStyle12"/>
          <w:b w:val="0"/>
          <w:sz w:val="28"/>
          <w:szCs w:val="28"/>
          <w:lang w:eastAsia="uk-UA"/>
        </w:rPr>
      </w:pPr>
      <w:r w:rsidRPr="00E37001">
        <w:rPr>
          <w:rStyle w:val="FontStyle12"/>
          <w:b w:val="0"/>
          <w:sz w:val="28"/>
          <w:szCs w:val="28"/>
          <w:lang w:eastAsia="uk-UA"/>
        </w:rPr>
        <w:lastRenderedPageBreak/>
        <w:t>максимальний розмір кредитного ризику на одного контрагента:</w:t>
      </w:r>
    </w:p>
    <w:p w:rsidR="00307A06" w:rsidRPr="00E37001" w:rsidRDefault="00307A06" w:rsidP="00E37001">
      <w:pPr>
        <w:pStyle w:val="Style2"/>
        <w:widowControl/>
        <w:numPr>
          <w:ilvl w:val="0"/>
          <w:numId w:val="13"/>
        </w:numPr>
        <w:spacing w:line="360" w:lineRule="auto"/>
        <w:ind w:left="0" w:firstLine="567"/>
        <w:contextualSpacing/>
        <w:jc w:val="both"/>
        <w:rPr>
          <w:rStyle w:val="FontStyle12"/>
          <w:b w:val="0"/>
          <w:sz w:val="28"/>
          <w:szCs w:val="28"/>
          <w:lang w:eastAsia="uk-UA"/>
        </w:rPr>
      </w:pPr>
      <w:r w:rsidRPr="00E37001">
        <w:rPr>
          <w:rStyle w:val="FontStyle12"/>
          <w:b w:val="0"/>
          <w:sz w:val="28"/>
          <w:szCs w:val="28"/>
          <w:lang w:eastAsia="uk-UA"/>
        </w:rPr>
        <w:t>великих кредитних ризиків;</w:t>
      </w:r>
    </w:p>
    <w:p w:rsidR="00307A06" w:rsidRPr="00E37001" w:rsidRDefault="00307A06" w:rsidP="00E37001">
      <w:pPr>
        <w:pStyle w:val="Style2"/>
        <w:widowControl/>
        <w:numPr>
          <w:ilvl w:val="0"/>
          <w:numId w:val="13"/>
        </w:numPr>
        <w:spacing w:line="360" w:lineRule="auto"/>
        <w:ind w:left="0" w:firstLine="567"/>
        <w:contextualSpacing/>
        <w:jc w:val="both"/>
        <w:rPr>
          <w:rStyle w:val="FontStyle12"/>
          <w:b w:val="0"/>
          <w:sz w:val="28"/>
          <w:szCs w:val="28"/>
          <w:lang w:eastAsia="uk-UA"/>
        </w:rPr>
      </w:pPr>
      <w:r w:rsidRPr="00E37001">
        <w:rPr>
          <w:rStyle w:val="FontStyle12"/>
          <w:b w:val="0"/>
          <w:sz w:val="28"/>
          <w:szCs w:val="28"/>
          <w:lang w:eastAsia="uk-UA"/>
        </w:rPr>
        <w:t>максимальний розмір кредитів, гарантій та поручительств, що надані одному інсайдеру;</w:t>
      </w:r>
    </w:p>
    <w:p w:rsidR="00307A06" w:rsidRPr="00E37001" w:rsidRDefault="00307A06" w:rsidP="00E37001">
      <w:pPr>
        <w:pStyle w:val="Style2"/>
        <w:widowControl/>
        <w:numPr>
          <w:ilvl w:val="0"/>
          <w:numId w:val="13"/>
        </w:numPr>
        <w:spacing w:line="360" w:lineRule="auto"/>
        <w:ind w:left="0" w:firstLine="567"/>
        <w:contextualSpacing/>
        <w:jc w:val="both"/>
        <w:rPr>
          <w:rStyle w:val="FontStyle12"/>
          <w:b w:val="0"/>
          <w:sz w:val="28"/>
          <w:szCs w:val="28"/>
          <w:lang w:eastAsia="uk-UA"/>
        </w:rPr>
      </w:pPr>
      <w:r w:rsidRPr="00E37001">
        <w:rPr>
          <w:rStyle w:val="FontStyle12"/>
          <w:b w:val="0"/>
          <w:sz w:val="28"/>
          <w:szCs w:val="28"/>
          <w:lang w:eastAsia="uk-UA"/>
        </w:rPr>
        <w:t>максимальний сукупний розмір кредитів, гарантій та поручительств, що надані інсайдерам.</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Банк не надає кредити на придбання власних цінних паперів. Банк не надає кредити будь-якій особі для: погашення цією особою будь-яких зобов'язань перед працівником банку; придбання активів для працівника банку; придбання цінних паперів, що розміщені чи підписані працівником банку, за винятком продукції, що виробляється цією особою</w:t>
      </w:r>
      <w:r w:rsidR="00631A1C" w:rsidRPr="00631A1C">
        <w:rPr>
          <w:rStyle w:val="FontStyle12"/>
          <w:b w:val="0"/>
          <w:sz w:val="28"/>
          <w:szCs w:val="28"/>
          <w:lang w:eastAsia="uk-UA"/>
        </w:rPr>
        <w:t xml:space="preserve"> </w:t>
      </w:r>
      <w:r w:rsidR="00631A1C" w:rsidRPr="00406315">
        <w:rPr>
          <w:rStyle w:val="FontStyle12"/>
          <w:b w:val="0"/>
          <w:sz w:val="28"/>
          <w:szCs w:val="28"/>
          <w:lang w:val="ru-RU" w:eastAsia="uk-UA"/>
        </w:rPr>
        <w:t>[50]</w:t>
      </w:r>
      <w:r w:rsidRPr="00E37001">
        <w:rPr>
          <w:rStyle w:val="FontStyle12"/>
          <w:b w:val="0"/>
          <w:sz w:val="28"/>
          <w:szCs w:val="28"/>
          <w:lang w:eastAsia="uk-UA"/>
        </w:rPr>
        <w:t>.</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 xml:space="preserve">Банк не надає безпроцентних кредитів, </w:t>
      </w:r>
      <w:proofErr w:type="spellStart"/>
      <w:r w:rsidRPr="00E37001">
        <w:rPr>
          <w:rStyle w:val="FontStyle12"/>
          <w:b w:val="0"/>
          <w:sz w:val="28"/>
          <w:szCs w:val="28"/>
          <w:lang w:eastAsia="uk-UA"/>
        </w:rPr>
        <w:t>кредитів</w:t>
      </w:r>
      <w:proofErr w:type="spellEnd"/>
      <w:r w:rsidRPr="00E37001">
        <w:rPr>
          <w:rStyle w:val="FontStyle12"/>
          <w:b w:val="0"/>
          <w:sz w:val="28"/>
          <w:szCs w:val="28"/>
          <w:lang w:eastAsia="uk-UA"/>
        </w:rPr>
        <w:t xml:space="preserve"> під процент, ставка яких є нижчою від відсоткової ставки, що виплачується ним за депозитами, та від відсоткової ставки за кредитами, які бере сам банк. Виняток може бути зроблений лише у разі, коли така операція для банку не збиткова.</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Банк може здійснювати страхування ризику неповернення кредиту по всім нововиданим кредитам протягом останніх 5 робочих днів поточного місяця в якому наданий кредит на підставі рішення Кредитних комітетів (комісій)</w:t>
      </w:r>
      <w:r w:rsidR="000D7F29" w:rsidRPr="000D7F29">
        <w:rPr>
          <w:rStyle w:val="FontStyle12"/>
          <w:b w:val="0"/>
          <w:sz w:val="28"/>
          <w:szCs w:val="28"/>
          <w:lang w:val="ru-RU" w:eastAsia="uk-UA"/>
        </w:rPr>
        <w:t xml:space="preserve"> [72]</w:t>
      </w:r>
      <w:r w:rsidRPr="00E37001">
        <w:rPr>
          <w:rStyle w:val="FontStyle12"/>
          <w:b w:val="0"/>
          <w:sz w:val="28"/>
          <w:szCs w:val="28"/>
          <w:lang w:eastAsia="uk-UA"/>
        </w:rPr>
        <w:t>.</w:t>
      </w:r>
    </w:p>
    <w:p w:rsidR="00307A06" w:rsidRPr="00E37001" w:rsidRDefault="00307A06" w:rsidP="00E37001">
      <w:pPr>
        <w:pStyle w:val="Style2"/>
        <w:widowControl/>
        <w:spacing w:before="52" w:line="360" w:lineRule="auto"/>
        <w:ind w:firstLine="567"/>
        <w:contextualSpacing/>
        <w:jc w:val="both"/>
        <w:rPr>
          <w:rStyle w:val="FontStyle12"/>
          <w:b w:val="0"/>
          <w:sz w:val="28"/>
          <w:szCs w:val="28"/>
          <w:lang w:eastAsia="uk-UA"/>
        </w:rPr>
      </w:pPr>
      <w:r w:rsidRPr="00E37001">
        <w:rPr>
          <w:rStyle w:val="FontStyle12"/>
          <w:b w:val="0"/>
          <w:sz w:val="28"/>
          <w:szCs w:val="28"/>
          <w:lang w:eastAsia="uk-UA"/>
        </w:rPr>
        <w:t>Кредити інсайдерам та спорідненим особам надаються на загальних умовах у відповідності до загальних положень та основних принципів проведення кредитної політики банку з урахуванням нормативних обмежень та вимог Національного банку України.</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Контроль за дотриманням встановлених НБУ нормативів, що регулюють кредитні операції, здійснюється підрозділами Головного офісу банку, на які покладені відповідні функції</w:t>
      </w:r>
      <w:r w:rsidR="00631A1C" w:rsidRPr="00631A1C">
        <w:rPr>
          <w:rStyle w:val="FontStyle12"/>
          <w:b w:val="0"/>
          <w:sz w:val="28"/>
          <w:szCs w:val="28"/>
          <w:lang w:val="ru-RU" w:eastAsia="uk-UA"/>
        </w:rPr>
        <w:t xml:space="preserve"> [43]</w:t>
      </w:r>
      <w:r w:rsidRPr="00E37001">
        <w:rPr>
          <w:rStyle w:val="FontStyle12"/>
          <w:b w:val="0"/>
          <w:sz w:val="28"/>
          <w:szCs w:val="28"/>
          <w:lang w:eastAsia="uk-UA"/>
        </w:rPr>
        <w:t>.</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Інформація про належність позичальника до категорії інсайдера повинна бути відображена у висновках юридичного управління, які надаються на розгляд Кредитних комітетів</w:t>
      </w:r>
    </w:p>
    <w:p w:rsidR="00307A06" w:rsidRPr="00E37001" w:rsidRDefault="00307A06" w:rsidP="00E37001">
      <w:pPr>
        <w:pStyle w:val="Style2"/>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lastRenderedPageBreak/>
        <w:t>Операції з кредитування відображаються в бухгалтерському обліку банку в порядку, що передбачений чинним законодавством України, нормативними актами НБУ та Обліковою політикою банку</w:t>
      </w:r>
      <w:r w:rsidR="00631A1C" w:rsidRPr="00631A1C">
        <w:rPr>
          <w:rStyle w:val="FontStyle12"/>
          <w:b w:val="0"/>
          <w:sz w:val="28"/>
          <w:szCs w:val="28"/>
          <w:lang w:val="ru-RU" w:eastAsia="uk-UA"/>
        </w:rPr>
        <w:t xml:space="preserve"> [51]</w:t>
      </w:r>
      <w:r w:rsidRPr="00E37001">
        <w:rPr>
          <w:rStyle w:val="FontStyle12"/>
          <w:b w:val="0"/>
          <w:sz w:val="28"/>
          <w:szCs w:val="28"/>
          <w:lang w:eastAsia="uk-UA"/>
        </w:rPr>
        <w:t>.</w:t>
      </w:r>
    </w:p>
    <w:p w:rsidR="00307A06" w:rsidRPr="00E37001" w:rsidRDefault="00307A06" w:rsidP="00E37001">
      <w:pPr>
        <w:pStyle w:val="a3"/>
        <w:numPr>
          <w:ilvl w:val="1"/>
          <w:numId w:val="4"/>
        </w:numPr>
        <w:spacing w:line="360" w:lineRule="auto"/>
        <w:ind w:left="0" w:firstLine="567"/>
        <w:jc w:val="both"/>
        <w:outlineLvl w:val="1"/>
        <w:rPr>
          <w:rFonts w:ascii="Times New Roman" w:hAnsi="Times New Roman" w:cs="Times New Roman"/>
          <w:b/>
          <w:sz w:val="28"/>
          <w:szCs w:val="28"/>
        </w:rPr>
      </w:pPr>
      <w:bookmarkStart w:id="6" w:name="_Toc293306704"/>
      <w:r w:rsidRPr="00E37001">
        <w:rPr>
          <w:rFonts w:ascii="Times New Roman" w:hAnsi="Times New Roman" w:cs="Times New Roman"/>
          <w:b/>
          <w:sz w:val="28"/>
          <w:szCs w:val="28"/>
        </w:rPr>
        <w:t>Особливості формування кредитного портфеля банку</w:t>
      </w:r>
      <w:bookmarkEnd w:id="6"/>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Кредити становлять близько 50% всіх активів банку і забезпечують 2/3 усіх доходів. Вони є найбільш прибутковою, але й найбільш ризиковою частиною банківських активів. Теорія портфеля пропонує розглядати не кожну окрему позику, а сукупність усіх кредитів з їх взаємовпливом та взаємозалежністю.</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Здатність банківської системи створювати гроші базується на умові, відповідно до якої комерційні банки в змозі використовувати свої можливості із створення грошей за допомогою кредитування, а юридичні та фізичні особи готові надавати і позичати гроші, але слід зауважити, що можливість комерційних банків надавати позики циклічно змінюється, і в цьому полягає одна з причин необхідності визначення ресурсного потенціалу банку</w:t>
      </w:r>
      <w:r w:rsidR="00631A1C" w:rsidRPr="00631A1C">
        <w:rPr>
          <w:rFonts w:ascii="Times New Roman" w:hAnsi="Times New Roman" w:cs="Times New Roman"/>
          <w:sz w:val="28"/>
          <w:szCs w:val="28"/>
        </w:rPr>
        <w:t xml:space="preserve"> [44]</w:t>
      </w:r>
      <w:r w:rsidRPr="00E37001">
        <w:rPr>
          <w:rFonts w:ascii="Times New Roman" w:hAnsi="Times New Roman" w:cs="Times New Roman"/>
          <w:sz w:val="28"/>
          <w:szCs w:val="28"/>
        </w:rPr>
        <w:t>.</w:t>
      </w:r>
    </w:p>
    <w:p w:rsidR="00307A06" w:rsidRPr="00E37001" w:rsidRDefault="00307A06" w:rsidP="00B07B79">
      <w:pPr>
        <w:pStyle w:val="Style2"/>
        <w:widowControl/>
        <w:spacing w:before="96" w:line="360" w:lineRule="auto"/>
        <w:ind w:firstLine="567"/>
        <w:contextualSpacing/>
        <w:jc w:val="both"/>
        <w:rPr>
          <w:rStyle w:val="FontStyle12"/>
          <w:b w:val="0"/>
          <w:sz w:val="28"/>
          <w:szCs w:val="28"/>
          <w:lang w:eastAsia="uk-UA"/>
        </w:rPr>
      </w:pPr>
      <w:r w:rsidRPr="00E37001">
        <w:rPr>
          <w:rStyle w:val="FontStyle12"/>
          <w:b w:val="0"/>
          <w:sz w:val="28"/>
          <w:szCs w:val="28"/>
          <w:lang w:eastAsia="uk-UA"/>
        </w:rPr>
        <w:t>Кредитний портфель — це сукупність кредитів, наданих банком на певну дату з метою одержання доходу у вигляді відсотків. До заборгованості за кредитними операціями, що становлять кредитний портфель банку, належать (рис. 1.2.):</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t>строкові депозити, розміщені в інших банках, і сумнівна заборгованість за ними;</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t>кредити, надані іншим банкам, і сумнівна заборгованість за ними;</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t>вимоги, придбані за операціями факторингу із суб'єктами господарювання, і сумнівна заборгованість за ними;</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t>кредити, надані за операціями РЕПО суб'єктам господарювання;</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t>кредити, надані за врахованими векселями суб'єктам господарювання, та сумнівна заборгованість за ними;</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lastRenderedPageBreak/>
        <w:t>кредити суб'єктам господарювання в поточну та інвестиційну діяльність і сумнівна заборгованість за ними;</w:t>
      </w:r>
    </w:p>
    <w:p w:rsidR="00307A06" w:rsidRPr="00E37001" w:rsidRDefault="00307A06" w:rsidP="00B07B79">
      <w:pPr>
        <w:pStyle w:val="Style2"/>
        <w:widowControl/>
        <w:numPr>
          <w:ilvl w:val="0"/>
          <w:numId w:val="8"/>
        </w:numPr>
        <w:tabs>
          <w:tab w:val="left" w:pos="562"/>
        </w:tabs>
        <w:spacing w:line="360" w:lineRule="auto"/>
        <w:ind w:firstLine="567"/>
        <w:contextualSpacing/>
        <w:jc w:val="both"/>
        <w:rPr>
          <w:rStyle w:val="FontStyle12"/>
          <w:b w:val="0"/>
          <w:sz w:val="28"/>
          <w:szCs w:val="28"/>
        </w:rPr>
      </w:pPr>
      <w:r w:rsidRPr="00E37001">
        <w:rPr>
          <w:rStyle w:val="FontStyle12"/>
          <w:b w:val="0"/>
          <w:sz w:val="28"/>
          <w:szCs w:val="28"/>
          <w:lang w:eastAsia="uk-UA"/>
        </w:rPr>
        <w:t>кредити, надані органам державної влади та місцевого самоврядування, і сумнівна заборгованість за ними;</w:t>
      </w:r>
    </w:p>
    <w:p w:rsidR="00307A06" w:rsidRPr="00E37001" w:rsidRDefault="00307A06" w:rsidP="00B07B79">
      <w:pPr>
        <w:pStyle w:val="Style29"/>
        <w:widowControl/>
        <w:numPr>
          <w:ilvl w:val="0"/>
          <w:numId w:val="9"/>
        </w:numPr>
        <w:tabs>
          <w:tab w:val="left" w:pos="562"/>
        </w:tabs>
        <w:spacing w:before="182"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кредити на поточні потреби та в інвестиційну діяльність, надані фізичним особам, і сумнівна заборгованість за ними;</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кредити, надані за врахованими векселями фізичним особам, і сумнівна заборгованість за ними;</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кредити овердрафт, надані суб'єктам господарювання та фізичним особам;</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гарантії, поручительства, підтверджені акредитиви, акцепти та авалі, надані банкам;</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сумнівна заборгованість за виплаченими гарантіями, виданими банкам, фізичним особам і суб'єктам господарювання;</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гарантії та авалі, надані фізичним особам та суб'єктам господарювання;</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сумнівні гарантії, надані банкам, фізичним особам і суб'єктам господарювання;</w:t>
      </w:r>
    </w:p>
    <w:p w:rsidR="00307A06" w:rsidRPr="00E37001" w:rsidRDefault="00307A06" w:rsidP="00B07B79">
      <w:pPr>
        <w:pStyle w:val="Style29"/>
        <w:widowControl/>
        <w:numPr>
          <w:ilvl w:val="0"/>
          <w:numId w:val="9"/>
        </w:numPr>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зобов'язання з кредитування, надані банкам, фізичним особам і суб'єктам господарювання</w:t>
      </w:r>
      <w:r w:rsidR="000D7F29" w:rsidRPr="000D7F29">
        <w:rPr>
          <w:rStyle w:val="FontStyle106"/>
          <w:rFonts w:ascii="Times New Roman" w:hAnsi="Times New Roman" w:cs="Times New Roman"/>
          <w:sz w:val="28"/>
          <w:szCs w:val="28"/>
          <w:lang w:val="ru-RU" w:eastAsia="uk-UA"/>
        </w:rPr>
        <w:t xml:space="preserve"> [52]</w:t>
      </w:r>
      <w:r w:rsidRPr="00E37001">
        <w:rPr>
          <w:rStyle w:val="FontStyle106"/>
          <w:rFonts w:ascii="Times New Roman" w:hAnsi="Times New Roman" w:cs="Times New Roman"/>
          <w:sz w:val="28"/>
          <w:szCs w:val="28"/>
          <w:lang w:eastAsia="uk-UA"/>
        </w:rPr>
        <w:t>.</w:t>
      </w:r>
    </w:p>
    <w:p w:rsidR="00307A06" w:rsidRPr="00E37001" w:rsidRDefault="00776A19" w:rsidP="00B07B79">
      <w:pPr>
        <w:pStyle w:val="Style29"/>
        <w:widowControl/>
        <w:tabs>
          <w:tab w:val="left" w:pos="562"/>
        </w:tabs>
        <w:spacing w:line="360" w:lineRule="auto"/>
        <w:ind w:firstLine="567"/>
        <w:contextualSpacing/>
        <w:rPr>
          <w:rStyle w:val="FontStyle106"/>
          <w:rFonts w:ascii="Times New Roman" w:hAnsi="Times New Roman" w:cs="Times New Roman"/>
          <w:sz w:val="28"/>
          <w:szCs w:val="28"/>
          <w:lang w:eastAsia="uk-UA"/>
        </w:rPr>
      </w:pPr>
      <w:r>
        <w:rPr>
          <w:rFonts w:ascii="Times New Roman" w:hAnsi="Times New Roman" w:cs="Times New Roman"/>
          <w:noProof/>
          <w:sz w:val="28"/>
          <w:szCs w:val="28"/>
          <w:lang w:eastAsia="uk-UA"/>
        </w:rPr>
        <w:lastRenderedPageBreak/>
        <mc:AlternateContent>
          <mc:Choice Requires="wpc">
            <w:drawing>
              <wp:inline distT="0" distB="0" distL="0" distR="0">
                <wp:extent cx="5940425" cy="4800600"/>
                <wp:effectExtent l="1905" t="0" r="1270" b="3810"/>
                <wp:docPr id="213" name="Полотно 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01" name="Group 90"/>
                        <wpg:cNvGrpSpPr>
                          <a:grpSpLocks/>
                        </wpg:cNvGrpSpPr>
                        <wpg:grpSpPr bwMode="auto">
                          <a:xfrm>
                            <a:off x="114683" y="114673"/>
                            <a:ext cx="5714359" cy="4571254"/>
                            <a:chOff x="2496" y="13526"/>
                            <a:chExt cx="6926" cy="5541"/>
                          </a:xfrm>
                        </wpg:grpSpPr>
                        <wps:wsp>
                          <wps:cNvPr id="202" name="Rectangle 91"/>
                          <wps:cNvSpPr>
                            <a:spLocks noChangeArrowheads="1"/>
                          </wps:cNvSpPr>
                          <wps:spPr bwMode="auto">
                            <a:xfrm>
                              <a:off x="2634" y="13526"/>
                              <a:ext cx="6650" cy="415"/>
                            </a:xfrm>
                            <a:prstGeom prst="rect">
                              <a:avLst/>
                            </a:prstGeom>
                            <a:solidFill>
                              <a:srgbClr val="FFFFFF"/>
                            </a:solidFill>
                            <a:ln w="9525">
                              <a:solidFill>
                                <a:srgbClr val="000000"/>
                              </a:solidFill>
                              <a:miter lim="800000"/>
                              <a:headEnd/>
                              <a:tailEnd/>
                            </a:ln>
                          </wps:spPr>
                          <wps:txbx>
                            <w:txbxContent>
                              <w:p w:rsidR="00631A1C" w:rsidRPr="008C215D" w:rsidRDefault="00631A1C" w:rsidP="00307A06">
                                <w:pPr>
                                  <w:jc w:val="center"/>
                                  <w:rPr>
                                    <w:rFonts w:ascii="Times New Roman" w:hAnsi="Times New Roman" w:cs="Times New Roman"/>
                                    <w:sz w:val="28"/>
                                    <w:szCs w:val="28"/>
                                  </w:rPr>
                                </w:pPr>
                                <w:r w:rsidRPr="008C215D">
                                  <w:rPr>
                                    <w:rFonts w:ascii="Times New Roman" w:hAnsi="Times New Roman" w:cs="Times New Roman"/>
                                    <w:sz w:val="28"/>
                                    <w:szCs w:val="28"/>
                                  </w:rPr>
                                  <w:t>Види кредитних операцій, що формують кредитний портфель банку</w:t>
                                </w:r>
                              </w:p>
                            </w:txbxContent>
                          </wps:txbx>
                          <wps:bodyPr rot="0" vert="horz" wrap="square" lIns="91440" tIns="45720" rIns="91440" bIns="45720" anchor="t" anchorCtr="0" upright="1">
                            <a:noAutofit/>
                          </wps:bodyPr>
                        </wps:wsp>
                        <wps:wsp>
                          <wps:cNvPr id="203" name="AutoShape 92"/>
                          <wps:cNvCnPr>
                            <a:cxnSpLocks noChangeShapeType="1"/>
                          </wps:cNvCnPr>
                          <wps:spPr bwMode="auto">
                            <a:xfrm>
                              <a:off x="3051" y="13941"/>
                              <a:ext cx="2" cy="277"/>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Rectangle 93"/>
                          <wps:cNvSpPr>
                            <a:spLocks noChangeArrowheads="1"/>
                          </wps:cNvSpPr>
                          <wps:spPr bwMode="auto">
                            <a:xfrm>
                              <a:off x="2496" y="14218"/>
                              <a:ext cx="1939" cy="4295"/>
                            </a:xfrm>
                            <a:prstGeom prst="rect">
                              <a:avLst/>
                            </a:prstGeom>
                            <a:solidFill>
                              <a:srgbClr val="FFFFFF"/>
                            </a:solidFill>
                            <a:ln w="9525">
                              <a:solidFill>
                                <a:srgbClr val="000000"/>
                              </a:solidFill>
                              <a:miter lim="800000"/>
                              <a:headEnd/>
                              <a:tailEnd/>
                            </a:ln>
                          </wps:spPr>
                          <wps:txbx>
                            <w:txbxContent>
                              <w:p w:rsidR="00631A1C" w:rsidRPr="008C215D" w:rsidRDefault="00631A1C" w:rsidP="00307A06">
                                <w:pPr>
                                  <w:spacing w:line="240" w:lineRule="auto"/>
                                  <w:contextualSpacing/>
                                  <w:rPr>
                                    <w:rFonts w:ascii="Times New Roman" w:hAnsi="Times New Roman" w:cs="Times New Roman"/>
                                    <w:b/>
                                  </w:rPr>
                                </w:pPr>
                                <w:r w:rsidRPr="008C215D">
                                  <w:rPr>
                                    <w:rFonts w:ascii="Times New Roman" w:hAnsi="Times New Roman" w:cs="Times New Roman"/>
                                    <w:b/>
                                  </w:rPr>
                                  <w:t>Кредити, надані суб’єктам господарювання:</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у поточну та інвестиційну діяльність;</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надані за врахованими векселями;</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за операціями РЕПО;</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овердрафт;</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вимоги за операціями факторингу;</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сумнівна заборгованість за наданими кредитами</w:t>
                                </w:r>
                              </w:p>
                            </w:txbxContent>
                          </wps:txbx>
                          <wps:bodyPr rot="0" vert="horz" wrap="square" lIns="91440" tIns="45720" rIns="91440" bIns="45720" anchor="t" anchorCtr="0" upright="1">
                            <a:noAutofit/>
                          </wps:bodyPr>
                        </wps:wsp>
                        <wps:wsp>
                          <wps:cNvPr id="205" name="Rectangle 94"/>
                          <wps:cNvSpPr>
                            <a:spLocks noChangeArrowheads="1"/>
                          </wps:cNvSpPr>
                          <wps:spPr bwMode="auto">
                            <a:xfrm>
                              <a:off x="4573" y="16435"/>
                              <a:ext cx="1802" cy="2494"/>
                            </a:xfrm>
                            <a:prstGeom prst="rect">
                              <a:avLst/>
                            </a:prstGeom>
                            <a:solidFill>
                              <a:srgbClr val="FFFFFF"/>
                            </a:solidFill>
                            <a:ln w="9525">
                              <a:solidFill>
                                <a:srgbClr val="000000"/>
                              </a:solidFill>
                              <a:miter lim="800000"/>
                              <a:headEnd/>
                              <a:tailEnd/>
                            </a:ln>
                          </wps:spPr>
                          <wps:txbx>
                            <w:txbxContent>
                              <w:p w:rsidR="00631A1C" w:rsidRPr="00C72DAC" w:rsidRDefault="00631A1C" w:rsidP="00307A06">
                                <w:pPr>
                                  <w:spacing w:line="240" w:lineRule="auto"/>
                                  <w:contextualSpacing/>
                                  <w:rPr>
                                    <w:rFonts w:ascii="Times New Roman" w:hAnsi="Times New Roman" w:cs="Times New Roman"/>
                                    <w:b/>
                                  </w:rPr>
                                </w:pPr>
                                <w:r w:rsidRPr="00C72DAC">
                                  <w:rPr>
                                    <w:rFonts w:ascii="Times New Roman" w:hAnsi="Times New Roman" w:cs="Times New Roman"/>
                                    <w:b/>
                                  </w:rPr>
                                  <w:t>Кредити, надані іншим банкам:</w:t>
                                </w:r>
                              </w:p>
                              <w:p w:rsidR="00631A1C" w:rsidRPr="00C72DAC" w:rsidRDefault="00631A1C" w:rsidP="00307A06">
                                <w:pPr>
                                  <w:pStyle w:val="a3"/>
                                  <w:numPr>
                                    <w:ilvl w:val="0"/>
                                    <w:numId w:val="20"/>
                                  </w:numPr>
                                  <w:spacing w:line="240" w:lineRule="auto"/>
                                  <w:ind w:left="0" w:firstLine="135"/>
                                  <w:rPr>
                                    <w:rFonts w:ascii="Times New Roman" w:hAnsi="Times New Roman" w:cs="Times New Roman"/>
                                  </w:rPr>
                                </w:pPr>
                                <w:r>
                                  <w:rPr>
                                    <w:rFonts w:ascii="Times New Roman" w:hAnsi="Times New Roman" w:cs="Times New Roman"/>
                                  </w:rPr>
                                  <w:t>р</w:t>
                                </w:r>
                                <w:r w:rsidRPr="00C72DAC">
                                  <w:rPr>
                                    <w:rFonts w:ascii="Times New Roman" w:hAnsi="Times New Roman" w:cs="Times New Roman"/>
                                  </w:rPr>
                                  <w:t>озміщені строкові депозити;</w:t>
                                </w:r>
                              </w:p>
                              <w:p w:rsidR="00631A1C" w:rsidRPr="00C72DAC" w:rsidRDefault="00631A1C" w:rsidP="00307A06">
                                <w:pPr>
                                  <w:pStyle w:val="a3"/>
                                  <w:numPr>
                                    <w:ilvl w:val="0"/>
                                    <w:numId w:val="20"/>
                                  </w:numPr>
                                  <w:spacing w:line="240" w:lineRule="auto"/>
                                  <w:ind w:left="0" w:firstLine="135"/>
                                  <w:rPr>
                                    <w:rFonts w:ascii="Times New Roman" w:hAnsi="Times New Roman" w:cs="Times New Roman"/>
                                  </w:rPr>
                                </w:pPr>
                                <w:r>
                                  <w:rPr>
                                    <w:rFonts w:ascii="Times New Roman" w:hAnsi="Times New Roman" w:cs="Times New Roman"/>
                                  </w:rPr>
                                  <w:t>н</w:t>
                                </w:r>
                                <w:r w:rsidRPr="00C72DAC">
                                  <w:rPr>
                                    <w:rFonts w:ascii="Times New Roman" w:hAnsi="Times New Roman" w:cs="Times New Roman"/>
                                  </w:rPr>
                                  <w:t>адані кредити;</w:t>
                                </w:r>
                              </w:p>
                              <w:p w:rsidR="00631A1C" w:rsidRPr="00C72DAC" w:rsidRDefault="00631A1C" w:rsidP="00307A06">
                                <w:pPr>
                                  <w:pStyle w:val="a3"/>
                                  <w:numPr>
                                    <w:ilvl w:val="0"/>
                                    <w:numId w:val="20"/>
                                  </w:numPr>
                                  <w:spacing w:line="240" w:lineRule="auto"/>
                                  <w:ind w:left="0" w:firstLine="135"/>
                                  <w:rPr>
                                    <w:rFonts w:ascii="Times New Roman" w:hAnsi="Times New Roman" w:cs="Times New Roman"/>
                                  </w:rPr>
                                </w:pPr>
                                <w:r>
                                  <w:rPr>
                                    <w:rFonts w:ascii="Times New Roman" w:hAnsi="Times New Roman" w:cs="Times New Roman"/>
                                  </w:rPr>
                                  <w:t>с</w:t>
                                </w:r>
                                <w:r w:rsidRPr="00C72DAC">
                                  <w:rPr>
                                    <w:rFonts w:ascii="Times New Roman" w:hAnsi="Times New Roman" w:cs="Times New Roman"/>
                                  </w:rPr>
                                  <w:t>умнівна заборгованість за даними кредитами та розміщеними депозитами</w:t>
                                </w:r>
                              </w:p>
                              <w:p w:rsidR="00631A1C" w:rsidRPr="00C72DAC" w:rsidRDefault="00631A1C" w:rsidP="00307A06">
                                <w:pPr>
                                  <w:spacing w:line="240" w:lineRule="auto"/>
                                  <w:contextualSpacing/>
                                  <w:rPr>
                                    <w:rFonts w:ascii="Times New Roman" w:hAnsi="Times New Roman" w:cs="Times New Roman"/>
                                  </w:rPr>
                                </w:pPr>
                              </w:p>
                            </w:txbxContent>
                          </wps:txbx>
                          <wps:bodyPr rot="0" vert="horz" wrap="square" lIns="91440" tIns="45720" rIns="91440" bIns="45720" anchor="t" anchorCtr="0" upright="1">
                            <a:noAutofit/>
                          </wps:bodyPr>
                        </wps:wsp>
                        <wps:wsp>
                          <wps:cNvPr id="206" name="Rectangle 95"/>
                          <wps:cNvSpPr>
                            <a:spLocks noChangeArrowheads="1"/>
                          </wps:cNvSpPr>
                          <wps:spPr bwMode="auto">
                            <a:xfrm>
                              <a:off x="4851" y="14218"/>
                              <a:ext cx="2078" cy="1940"/>
                            </a:xfrm>
                            <a:prstGeom prst="rect">
                              <a:avLst/>
                            </a:prstGeom>
                            <a:solidFill>
                              <a:srgbClr val="FFFFFF"/>
                            </a:solidFill>
                            <a:ln w="9525">
                              <a:solidFill>
                                <a:srgbClr val="000000"/>
                              </a:solidFill>
                              <a:miter lim="800000"/>
                              <a:headEnd/>
                              <a:tailEnd/>
                            </a:ln>
                          </wps:spPr>
                          <wps:txbx>
                            <w:txbxContent>
                              <w:p w:rsidR="00631A1C" w:rsidRPr="008C215D" w:rsidRDefault="00631A1C" w:rsidP="00307A06">
                                <w:pPr>
                                  <w:spacing w:line="240" w:lineRule="auto"/>
                                  <w:contextualSpacing/>
                                  <w:rPr>
                                    <w:rFonts w:ascii="Times New Roman" w:hAnsi="Times New Roman" w:cs="Times New Roman"/>
                                    <w:b/>
                                  </w:rPr>
                                </w:pPr>
                                <w:r w:rsidRPr="008C215D">
                                  <w:rPr>
                                    <w:rFonts w:ascii="Times New Roman" w:hAnsi="Times New Roman" w:cs="Times New Roman"/>
                                    <w:b/>
                                  </w:rPr>
                                  <w:t>Кредити, надані органам державної влади та місцевого самоврядування:</w:t>
                                </w:r>
                              </w:p>
                              <w:p w:rsidR="00631A1C" w:rsidRPr="008C215D" w:rsidRDefault="00631A1C" w:rsidP="00307A06">
                                <w:pPr>
                                  <w:pStyle w:val="a3"/>
                                  <w:numPr>
                                    <w:ilvl w:val="0"/>
                                    <w:numId w:val="18"/>
                                  </w:numPr>
                                  <w:spacing w:line="240" w:lineRule="auto"/>
                                  <w:ind w:left="0" w:firstLine="180"/>
                                  <w:rPr>
                                    <w:rFonts w:ascii="Times New Roman" w:hAnsi="Times New Roman" w:cs="Times New Roman"/>
                                  </w:rPr>
                                </w:pPr>
                                <w:r w:rsidRPr="008C215D">
                                  <w:rPr>
                                    <w:rFonts w:ascii="Times New Roman" w:hAnsi="Times New Roman" w:cs="Times New Roman"/>
                                  </w:rPr>
                                  <w:t>надані кредити;</w:t>
                                </w:r>
                              </w:p>
                              <w:p w:rsidR="00631A1C" w:rsidRPr="008C215D" w:rsidRDefault="00631A1C" w:rsidP="00307A06">
                                <w:pPr>
                                  <w:pStyle w:val="a3"/>
                                  <w:numPr>
                                    <w:ilvl w:val="0"/>
                                    <w:numId w:val="18"/>
                                  </w:numPr>
                                  <w:spacing w:line="240" w:lineRule="auto"/>
                                  <w:ind w:left="0" w:firstLine="180"/>
                                  <w:rPr>
                                    <w:rFonts w:ascii="Times New Roman" w:hAnsi="Times New Roman" w:cs="Times New Roman"/>
                                  </w:rPr>
                                </w:pPr>
                                <w:r w:rsidRPr="008C215D">
                                  <w:rPr>
                                    <w:rFonts w:ascii="Times New Roman" w:hAnsi="Times New Roman" w:cs="Times New Roman"/>
                                  </w:rPr>
                                  <w:t>сумнівна заборгованість за наданими кредитами</w:t>
                                </w:r>
                              </w:p>
                            </w:txbxContent>
                          </wps:txbx>
                          <wps:bodyPr rot="0" vert="horz" wrap="square" lIns="91440" tIns="45720" rIns="91440" bIns="45720" anchor="t" anchorCtr="0" upright="1">
                            <a:noAutofit/>
                          </wps:bodyPr>
                        </wps:wsp>
                        <wps:wsp>
                          <wps:cNvPr id="207" name="Rectangle 96"/>
                          <wps:cNvSpPr>
                            <a:spLocks noChangeArrowheads="1"/>
                          </wps:cNvSpPr>
                          <wps:spPr bwMode="auto">
                            <a:xfrm>
                              <a:off x="7206" y="14218"/>
                              <a:ext cx="2216" cy="2494"/>
                            </a:xfrm>
                            <a:prstGeom prst="rect">
                              <a:avLst/>
                            </a:prstGeom>
                            <a:solidFill>
                              <a:srgbClr val="FFFFFF"/>
                            </a:solidFill>
                            <a:ln w="9525">
                              <a:solidFill>
                                <a:srgbClr val="000000"/>
                              </a:solidFill>
                              <a:miter lim="800000"/>
                              <a:headEnd/>
                              <a:tailEnd/>
                            </a:ln>
                          </wps:spPr>
                          <wps:txbx>
                            <w:txbxContent>
                              <w:p w:rsidR="00631A1C" w:rsidRPr="008C215D" w:rsidRDefault="00631A1C" w:rsidP="00307A06">
                                <w:pPr>
                                  <w:spacing w:line="240" w:lineRule="auto"/>
                                  <w:contextualSpacing/>
                                  <w:rPr>
                                    <w:rFonts w:ascii="Times New Roman" w:hAnsi="Times New Roman" w:cs="Times New Roman"/>
                                    <w:b/>
                                  </w:rPr>
                                </w:pPr>
                                <w:r w:rsidRPr="008C215D">
                                  <w:rPr>
                                    <w:rFonts w:ascii="Times New Roman" w:hAnsi="Times New Roman" w:cs="Times New Roman"/>
                                    <w:b/>
                                  </w:rPr>
                                  <w:t>Кредити, надані фізичним особам:</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кредити на поточні потреби та в інвестиційну діяльність;</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кредити, надані за врахованими векселями;</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кредити овердрафт;</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сумнівна заборгованість за наданими кредитами</w:t>
                                </w:r>
                              </w:p>
                            </w:txbxContent>
                          </wps:txbx>
                          <wps:bodyPr rot="0" vert="horz" wrap="square" lIns="91440" tIns="45720" rIns="91440" bIns="45720" anchor="t" anchorCtr="0" upright="1">
                            <a:noAutofit/>
                          </wps:bodyPr>
                        </wps:wsp>
                        <wps:wsp>
                          <wps:cNvPr id="208" name="Rectangle 97"/>
                          <wps:cNvSpPr>
                            <a:spLocks noChangeArrowheads="1"/>
                          </wps:cNvSpPr>
                          <wps:spPr bwMode="auto">
                            <a:xfrm>
                              <a:off x="6511" y="16851"/>
                              <a:ext cx="2911" cy="2216"/>
                            </a:xfrm>
                            <a:prstGeom prst="rect">
                              <a:avLst/>
                            </a:prstGeom>
                            <a:solidFill>
                              <a:srgbClr val="FFFFFF"/>
                            </a:solidFill>
                            <a:ln w="9525">
                              <a:solidFill>
                                <a:srgbClr val="000000"/>
                              </a:solidFill>
                              <a:miter lim="800000"/>
                              <a:headEnd/>
                              <a:tailEnd/>
                            </a:ln>
                          </wps:spPr>
                          <wps:txbx>
                            <w:txbxContent>
                              <w:p w:rsidR="00631A1C" w:rsidRPr="00C72DAC" w:rsidRDefault="00631A1C" w:rsidP="00307A06">
                                <w:pPr>
                                  <w:spacing w:line="240" w:lineRule="auto"/>
                                  <w:contextualSpacing/>
                                  <w:rPr>
                                    <w:rFonts w:ascii="Times New Roman" w:hAnsi="Times New Roman" w:cs="Times New Roman"/>
                                    <w:b/>
                                  </w:rPr>
                                </w:pPr>
                                <w:r w:rsidRPr="00C72DAC">
                                  <w:rPr>
                                    <w:rFonts w:ascii="Times New Roman" w:hAnsi="Times New Roman" w:cs="Times New Roman"/>
                                    <w:b/>
                                  </w:rPr>
                                  <w:t>Гарантії та зобов’язання:</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г</w:t>
                                </w:r>
                                <w:r w:rsidRPr="00C72DAC">
                                  <w:rPr>
                                    <w:rFonts w:ascii="Times New Roman" w:hAnsi="Times New Roman" w:cs="Times New Roman"/>
                                  </w:rPr>
                                  <w:t>арантії, поручительства, підтверджені акредити</w:t>
                                </w:r>
                                <w:r>
                                  <w:rPr>
                                    <w:rFonts w:ascii="Times New Roman" w:hAnsi="Times New Roman" w:cs="Times New Roman"/>
                                  </w:rPr>
                                  <w:t>ви</w:t>
                                </w:r>
                                <w:r w:rsidRPr="00C72DAC">
                                  <w:rPr>
                                    <w:rFonts w:ascii="Times New Roman" w:hAnsi="Times New Roman" w:cs="Times New Roman"/>
                                  </w:rPr>
                                  <w:t>, акцепти та авалі, надані банкам;</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г</w:t>
                                </w:r>
                                <w:r w:rsidRPr="00C72DAC">
                                  <w:rPr>
                                    <w:rFonts w:ascii="Times New Roman" w:hAnsi="Times New Roman" w:cs="Times New Roman"/>
                                  </w:rPr>
                                  <w:t>арантії та авалі, надані фізичним та юридичним особам;</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з</w:t>
                                </w:r>
                                <w:r w:rsidRPr="00C72DAC">
                                  <w:rPr>
                                    <w:rFonts w:ascii="Times New Roman" w:hAnsi="Times New Roman" w:cs="Times New Roman"/>
                                  </w:rPr>
                                  <w:t>обов’язання, надані банкам, фізичним та юридичним особам;</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с</w:t>
                                </w:r>
                                <w:r w:rsidRPr="00C72DAC">
                                  <w:rPr>
                                    <w:rFonts w:ascii="Times New Roman" w:hAnsi="Times New Roman" w:cs="Times New Roman"/>
                                  </w:rPr>
                                  <w:t>умнівна  заборгованість за виплаченими гарантіями</w:t>
                                </w:r>
                              </w:p>
                              <w:p w:rsidR="00631A1C" w:rsidRPr="00C72DAC" w:rsidRDefault="00631A1C" w:rsidP="00307A06">
                                <w:pPr>
                                  <w:spacing w:line="240" w:lineRule="auto"/>
                                  <w:contextualSpacing/>
                                  <w:rPr>
                                    <w:rFonts w:ascii="Times New Roman" w:hAnsi="Times New Roman" w:cs="Times New Roman"/>
                                  </w:rPr>
                                </w:pPr>
                              </w:p>
                            </w:txbxContent>
                          </wps:txbx>
                          <wps:bodyPr rot="0" vert="horz" wrap="square" lIns="91440" tIns="45720" rIns="91440" bIns="45720" anchor="t" anchorCtr="0" upright="1">
                            <a:noAutofit/>
                          </wps:bodyPr>
                        </wps:wsp>
                        <wps:wsp>
                          <wps:cNvPr id="209" name="AutoShape 98"/>
                          <wps:cNvCnPr>
                            <a:cxnSpLocks noChangeShapeType="1"/>
                          </wps:cNvCnPr>
                          <wps:spPr bwMode="auto">
                            <a:xfrm>
                              <a:off x="5820" y="13941"/>
                              <a:ext cx="1" cy="277"/>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AutoShape 99"/>
                          <wps:cNvCnPr>
                            <a:cxnSpLocks noChangeShapeType="1"/>
                          </wps:cNvCnPr>
                          <wps:spPr bwMode="auto">
                            <a:xfrm>
                              <a:off x="8453" y="13941"/>
                              <a:ext cx="2" cy="277"/>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100"/>
                          <wps:cNvCnPr>
                            <a:cxnSpLocks noChangeShapeType="1"/>
                          </wps:cNvCnPr>
                          <wps:spPr bwMode="auto">
                            <a:xfrm>
                              <a:off x="4712" y="13941"/>
                              <a:ext cx="2" cy="2494"/>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AutoShape 101"/>
                          <wps:cNvCnPr>
                            <a:cxnSpLocks noChangeShapeType="1"/>
                          </wps:cNvCnPr>
                          <wps:spPr bwMode="auto">
                            <a:xfrm>
                              <a:off x="7070" y="13941"/>
                              <a:ext cx="1" cy="291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88" o:spid="_x0000_s1038" editas="canvas" style="width:467.75pt;height:378pt;mso-position-horizontal-relative:char;mso-position-vertical-relative:line" coordsize="59404,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">
                <v:shape id="_x0000_s1039" type="#_x0000_t75" style="position:absolute;width:59404;height:48006;visibility:visible;mso-wrap-style:square">
                  <v:fill o:detectmouseclick="t"/>
                  <v:path o:connecttype="none"/>
                </v:shape>
                <v:group id="Group 90" o:spid="_x0000_s1040" style="position:absolute;left:1146;top:1146;width:57144;height:45713" coordorigin="2496,13526" coordsize="6926,55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rect id="Rectangle 91" o:spid="_x0000_s1041" style="position:absolute;left:2634;top:13526;width:6650;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textbox>
                      <w:txbxContent>
                        <w:p w:rsidR="00631A1C" w:rsidRPr="008C215D" w:rsidRDefault="00631A1C" w:rsidP="00307A06">
                          <w:pPr>
                            <w:jc w:val="center"/>
                            <w:rPr>
                              <w:rFonts w:ascii="Times New Roman" w:hAnsi="Times New Roman" w:cs="Times New Roman"/>
                              <w:sz w:val="28"/>
                              <w:szCs w:val="28"/>
                            </w:rPr>
                          </w:pPr>
                          <w:r w:rsidRPr="008C215D">
                            <w:rPr>
                              <w:rFonts w:ascii="Times New Roman" w:hAnsi="Times New Roman" w:cs="Times New Roman"/>
                              <w:sz w:val="28"/>
                              <w:szCs w:val="28"/>
                            </w:rPr>
                            <w:t>Види кредитних операцій, що формують кредитний портфель банку</w:t>
                          </w:r>
                        </w:p>
                      </w:txbxContent>
                    </v:textbox>
                  </v:rect>
                  <v:shapetype id="_x0000_t32" coordsize="21600,21600" o:spt="32" o:oned="t" path="m,l21600,21600e" filled="f">
                    <v:path arrowok="t" fillok="f" o:connecttype="none"/>
                    <o:lock v:ext="edit" shapetype="t"/>
                  </v:shapetype>
                  <v:shape id="AutoShape 92" o:spid="_x0000_s1042" type="#_x0000_t32" style="position:absolute;left:3051;top:13941;width:2;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dNC8MAAADcAAAADwAAAGRycy9kb3ducmV2LnhtbESPQWvCQBSE74X+h+UVequbGCiSuooW&#10;tF6roedH9jWbmn27za4m/ntXEDwOM/MNM1+OthNn6kPrWEE+yUAQ10633CioDpu3GYgQkTV2jknB&#10;hQIsF89Pcyy1G/ibzvvYiAThUKICE6MvpQy1IYth4jxx8n5dbzEm2TdS9zgkuO3kNMvepcWW04JB&#10;T5+G6uP+ZBX4qnD56v/ytakPxldD/rMu/rZKvb6Mqw8Qkcb4CN/bO61gmhVwO5OOgF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XTQvDAAAA3AAAAA8AAAAAAAAAAAAA&#10;AAAAoQIAAGRycy9kb3ducmV2LnhtbFBLBQYAAAAABAAEAPkAAACRAwAAAAA=&#10;" strokeweight="1pt">
                    <v:stroke endarrow="block"/>
                  </v:shape>
                  <v:rect id="Rectangle 93" o:spid="_x0000_s1043" style="position:absolute;left:2496;top:14218;width:1939;height:4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textbox>
                      <w:txbxContent>
                        <w:p w:rsidR="00631A1C" w:rsidRPr="008C215D" w:rsidRDefault="00631A1C" w:rsidP="00307A06">
                          <w:pPr>
                            <w:spacing w:line="240" w:lineRule="auto"/>
                            <w:contextualSpacing/>
                            <w:rPr>
                              <w:rFonts w:ascii="Times New Roman" w:hAnsi="Times New Roman" w:cs="Times New Roman"/>
                              <w:b/>
                            </w:rPr>
                          </w:pPr>
                          <w:r w:rsidRPr="008C215D">
                            <w:rPr>
                              <w:rFonts w:ascii="Times New Roman" w:hAnsi="Times New Roman" w:cs="Times New Roman"/>
                              <w:b/>
                            </w:rPr>
                            <w:t>Кредити, надані суб’єктам господарювання:</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у поточну та інвестиційну діяльність;</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надані за врахованими векселями;</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за операціями РЕПО;</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кредити овердрафт;</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вимоги за операціями факторингу;</w:t>
                          </w:r>
                        </w:p>
                        <w:p w:rsidR="00631A1C" w:rsidRPr="008C215D" w:rsidRDefault="00631A1C" w:rsidP="00307A06">
                          <w:pPr>
                            <w:pStyle w:val="a3"/>
                            <w:numPr>
                              <w:ilvl w:val="0"/>
                              <w:numId w:val="17"/>
                            </w:numPr>
                            <w:spacing w:line="240" w:lineRule="auto"/>
                            <w:ind w:left="0" w:firstLine="180"/>
                            <w:rPr>
                              <w:rFonts w:ascii="Times New Roman" w:hAnsi="Times New Roman" w:cs="Times New Roman"/>
                            </w:rPr>
                          </w:pPr>
                          <w:r w:rsidRPr="008C215D">
                            <w:rPr>
                              <w:rFonts w:ascii="Times New Roman" w:hAnsi="Times New Roman" w:cs="Times New Roman"/>
                            </w:rPr>
                            <w:t>сумнівна заборгованість за наданими кредитами</w:t>
                          </w:r>
                        </w:p>
                      </w:txbxContent>
                    </v:textbox>
                  </v:rect>
                  <v:rect id="Rectangle 94" o:spid="_x0000_s1044" style="position:absolute;left:4573;top:16435;width:1802;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rsidR="00631A1C" w:rsidRPr="00C72DAC" w:rsidRDefault="00631A1C" w:rsidP="00307A06">
                          <w:pPr>
                            <w:spacing w:line="240" w:lineRule="auto"/>
                            <w:contextualSpacing/>
                            <w:rPr>
                              <w:rFonts w:ascii="Times New Roman" w:hAnsi="Times New Roman" w:cs="Times New Roman"/>
                              <w:b/>
                            </w:rPr>
                          </w:pPr>
                          <w:r w:rsidRPr="00C72DAC">
                            <w:rPr>
                              <w:rFonts w:ascii="Times New Roman" w:hAnsi="Times New Roman" w:cs="Times New Roman"/>
                              <w:b/>
                            </w:rPr>
                            <w:t>Кредити, надані іншим банкам:</w:t>
                          </w:r>
                        </w:p>
                        <w:p w:rsidR="00631A1C" w:rsidRPr="00C72DAC" w:rsidRDefault="00631A1C" w:rsidP="00307A06">
                          <w:pPr>
                            <w:pStyle w:val="a3"/>
                            <w:numPr>
                              <w:ilvl w:val="0"/>
                              <w:numId w:val="20"/>
                            </w:numPr>
                            <w:spacing w:line="240" w:lineRule="auto"/>
                            <w:ind w:left="0" w:firstLine="135"/>
                            <w:rPr>
                              <w:rFonts w:ascii="Times New Roman" w:hAnsi="Times New Roman" w:cs="Times New Roman"/>
                            </w:rPr>
                          </w:pPr>
                          <w:r>
                            <w:rPr>
                              <w:rFonts w:ascii="Times New Roman" w:hAnsi="Times New Roman" w:cs="Times New Roman"/>
                            </w:rPr>
                            <w:t>р</w:t>
                          </w:r>
                          <w:r w:rsidRPr="00C72DAC">
                            <w:rPr>
                              <w:rFonts w:ascii="Times New Roman" w:hAnsi="Times New Roman" w:cs="Times New Roman"/>
                            </w:rPr>
                            <w:t>озміщені строкові депозити;</w:t>
                          </w:r>
                        </w:p>
                        <w:p w:rsidR="00631A1C" w:rsidRPr="00C72DAC" w:rsidRDefault="00631A1C" w:rsidP="00307A06">
                          <w:pPr>
                            <w:pStyle w:val="a3"/>
                            <w:numPr>
                              <w:ilvl w:val="0"/>
                              <w:numId w:val="20"/>
                            </w:numPr>
                            <w:spacing w:line="240" w:lineRule="auto"/>
                            <w:ind w:left="0" w:firstLine="135"/>
                            <w:rPr>
                              <w:rFonts w:ascii="Times New Roman" w:hAnsi="Times New Roman" w:cs="Times New Roman"/>
                            </w:rPr>
                          </w:pPr>
                          <w:r>
                            <w:rPr>
                              <w:rFonts w:ascii="Times New Roman" w:hAnsi="Times New Roman" w:cs="Times New Roman"/>
                            </w:rPr>
                            <w:t>н</w:t>
                          </w:r>
                          <w:r w:rsidRPr="00C72DAC">
                            <w:rPr>
                              <w:rFonts w:ascii="Times New Roman" w:hAnsi="Times New Roman" w:cs="Times New Roman"/>
                            </w:rPr>
                            <w:t>адані кредити;</w:t>
                          </w:r>
                        </w:p>
                        <w:p w:rsidR="00631A1C" w:rsidRPr="00C72DAC" w:rsidRDefault="00631A1C" w:rsidP="00307A06">
                          <w:pPr>
                            <w:pStyle w:val="a3"/>
                            <w:numPr>
                              <w:ilvl w:val="0"/>
                              <w:numId w:val="20"/>
                            </w:numPr>
                            <w:spacing w:line="240" w:lineRule="auto"/>
                            <w:ind w:left="0" w:firstLine="135"/>
                            <w:rPr>
                              <w:rFonts w:ascii="Times New Roman" w:hAnsi="Times New Roman" w:cs="Times New Roman"/>
                            </w:rPr>
                          </w:pPr>
                          <w:r>
                            <w:rPr>
                              <w:rFonts w:ascii="Times New Roman" w:hAnsi="Times New Roman" w:cs="Times New Roman"/>
                            </w:rPr>
                            <w:t>с</w:t>
                          </w:r>
                          <w:r w:rsidRPr="00C72DAC">
                            <w:rPr>
                              <w:rFonts w:ascii="Times New Roman" w:hAnsi="Times New Roman" w:cs="Times New Roman"/>
                            </w:rPr>
                            <w:t>умнівна заборгованість за даними кредитами та розміщеними депозитами</w:t>
                          </w:r>
                        </w:p>
                        <w:p w:rsidR="00631A1C" w:rsidRPr="00C72DAC" w:rsidRDefault="00631A1C" w:rsidP="00307A06">
                          <w:pPr>
                            <w:spacing w:line="240" w:lineRule="auto"/>
                            <w:contextualSpacing/>
                            <w:rPr>
                              <w:rFonts w:ascii="Times New Roman" w:hAnsi="Times New Roman" w:cs="Times New Roman"/>
                            </w:rPr>
                          </w:pPr>
                        </w:p>
                      </w:txbxContent>
                    </v:textbox>
                  </v:rect>
                  <v:rect id="Rectangle 95" o:spid="_x0000_s1045" style="position:absolute;left:4851;top:14218;width:2078;height:1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631A1C" w:rsidRPr="008C215D" w:rsidRDefault="00631A1C" w:rsidP="00307A06">
                          <w:pPr>
                            <w:spacing w:line="240" w:lineRule="auto"/>
                            <w:contextualSpacing/>
                            <w:rPr>
                              <w:rFonts w:ascii="Times New Roman" w:hAnsi="Times New Roman" w:cs="Times New Roman"/>
                              <w:b/>
                            </w:rPr>
                          </w:pPr>
                          <w:r w:rsidRPr="008C215D">
                            <w:rPr>
                              <w:rFonts w:ascii="Times New Roman" w:hAnsi="Times New Roman" w:cs="Times New Roman"/>
                              <w:b/>
                            </w:rPr>
                            <w:t>Кредити, надані органам державної влади та місцевого самоврядування:</w:t>
                          </w:r>
                        </w:p>
                        <w:p w:rsidR="00631A1C" w:rsidRPr="008C215D" w:rsidRDefault="00631A1C" w:rsidP="00307A06">
                          <w:pPr>
                            <w:pStyle w:val="a3"/>
                            <w:numPr>
                              <w:ilvl w:val="0"/>
                              <w:numId w:val="18"/>
                            </w:numPr>
                            <w:spacing w:line="240" w:lineRule="auto"/>
                            <w:ind w:left="0" w:firstLine="180"/>
                            <w:rPr>
                              <w:rFonts w:ascii="Times New Roman" w:hAnsi="Times New Roman" w:cs="Times New Roman"/>
                            </w:rPr>
                          </w:pPr>
                          <w:r w:rsidRPr="008C215D">
                            <w:rPr>
                              <w:rFonts w:ascii="Times New Roman" w:hAnsi="Times New Roman" w:cs="Times New Roman"/>
                            </w:rPr>
                            <w:t>надані кредити;</w:t>
                          </w:r>
                        </w:p>
                        <w:p w:rsidR="00631A1C" w:rsidRPr="008C215D" w:rsidRDefault="00631A1C" w:rsidP="00307A06">
                          <w:pPr>
                            <w:pStyle w:val="a3"/>
                            <w:numPr>
                              <w:ilvl w:val="0"/>
                              <w:numId w:val="18"/>
                            </w:numPr>
                            <w:spacing w:line="240" w:lineRule="auto"/>
                            <w:ind w:left="0" w:firstLine="180"/>
                            <w:rPr>
                              <w:rFonts w:ascii="Times New Roman" w:hAnsi="Times New Roman" w:cs="Times New Roman"/>
                            </w:rPr>
                          </w:pPr>
                          <w:r w:rsidRPr="008C215D">
                            <w:rPr>
                              <w:rFonts w:ascii="Times New Roman" w:hAnsi="Times New Roman" w:cs="Times New Roman"/>
                            </w:rPr>
                            <w:t>сумнівна заборгованість за наданими кредитами</w:t>
                          </w:r>
                        </w:p>
                      </w:txbxContent>
                    </v:textbox>
                  </v:rect>
                  <v:rect id="Rectangle 96" o:spid="_x0000_s1046" style="position:absolute;left:7206;top:14218;width:2216;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631A1C" w:rsidRPr="008C215D" w:rsidRDefault="00631A1C" w:rsidP="00307A06">
                          <w:pPr>
                            <w:spacing w:line="240" w:lineRule="auto"/>
                            <w:contextualSpacing/>
                            <w:rPr>
                              <w:rFonts w:ascii="Times New Roman" w:hAnsi="Times New Roman" w:cs="Times New Roman"/>
                              <w:b/>
                            </w:rPr>
                          </w:pPr>
                          <w:r w:rsidRPr="008C215D">
                            <w:rPr>
                              <w:rFonts w:ascii="Times New Roman" w:hAnsi="Times New Roman" w:cs="Times New Roman"/>
                              <w:b/>
                            </w:rPr>
                            <w:t>Кредити, надані фізичним особам:</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кредити на поточні потреби та в інвестиційну діяльність;</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кредити, надані за врахованими векселями;</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кредити овердрафт;</w:t>
                          </w:r>
                        </w:p>
                        <w:p w:rsidR="00631A1C" w:rsidRPr="008C215D" w:rsidRDefault="00631A1C" w:rsidP="00307A06">
                          <w:pPr>
                            <w:pStyle w:val="a3"/>
                            <w:numPr>
                              <w:ilvl w:val="0"/>
                              <w:numId w:val="19"/>
                            </w:numPr>
                            <w:spacing w:line="240" w:lineRule="auto"/>
                            <w:ind w:left="0" w:firstLine="180"/>
                            <w:rPr>
                              <w:rFonts w:ascii="Times New Roman" w:hAnsi="Times New Roman" w:cs="Times New Roman"/>
                            </w:rPr>
                          </w:pPr>
                          <w:r w:rsidRPr="008C215D">
                            <w:rPr>
                              <w:rFonts w:ascii="Times New Roman" w:hAnsi="Times New Roman" w:cs="Times New Roman"/>
                            </w:rPr>
                            <w:t>сумнівна заборгованість за наданими кредитами</w:t>
                          </w:r>
                        </w:p>
                      </w:txbxContent>
                    </v:textbox>
                  </v:rect>
                  <v:rect id="Rectangle 97" o:spid="_x0000_s1047" style="position:absolute;left:6511;top:16851;width:2911;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631A1C" w:rsidRPr="00C72DAC" w:rsidRDefault="00631A1C" w:rsidP="00307A06">
                          <w:pPr>
                            <w:spacing w:line="240" w:lineRule="auto"/>
                            <w:contextualSpacing/>
                            <w:rPr>
                              <w:rFonts w:ascii="Times New Roman" w:hAnsi="Times New Roman" w:cs="Times New Roman"/>
                              <w:b/>
                            </w:rPr>
                          </w:pPr>
                          <w:r w:rsidRPr="00C72DAC">
                            <w:rPr>
                              <w:rFonts w:ascii="Times New Roman" w:hAnsi="Times New Roman" w:cs="Times New Roman"/>
                              <w:b/>
                            </w:rPr>
                            <w:t>Гарантії та зобов’язання:</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г</w:t>
                          </w:r>
                          <w:r w:rsidRPr="00C72DAC">
                            <w:rPr>
                              <w:rFonts w:ascii="Times New Roman" w:hAnsi="Times New Roman" w:cs="Times New Roman"/>
                            </w:rPr>
                            <w:t>арантії, поручительства, підтверджені акредити</w:t>
                          </w:r>
                          <w:r>
                            <w:rPr>
                              <w:rFonts w:ascii="Times New Roman" w:hAnsi="Times New Roman" w:cs="Times New Roman"/>
                            </w:rPr>
                            <w:t>ви</w:t>
                          </w:r>
                          <w:r w:rsidRPr="00C72DAC">
                            <w:rPr>
                              <w:rFonts w:ascii="Times New Roman" w:hAnsi="Times New Roman" w:cs="Times New Roman"/>
                            </w:rPr>
                            <w:t>, акцепти та авалі, надані банкам;</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г</w:t>
                          </w:r>
                          <w:r w:rsidRPr="00C72DAC">
                            <w:rPr>
                              <w:rFonts w:ascii="Times New Roman" w:hAnsi="Times New Roman" w:cs="Times New Roman"/>
                            </w:rPr>
                            <w:t>арантії та авалі, надані фізичним та юридичним особам;</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з</w:t>
                          </w:r>
                          <w:r w:rsidRPr="00C72DAC">
                            <w:rPr>
                              <w:rFonts w:ascii="Times New Roman" w:hAnsi="Times New Roman" w:cs="Times New Roman"/>
                            </w:rPr>
                            <w:t>обов’язання, надані банкам, фізичним та юридичним особам;</w:t>
                          </w:r>
                        </w:p>
                        <w:p w:rsidR="00631A1C" w:rsidRPr="00C72DAC" w:rsidRDefault="00631A1C" w:rsidP="00307A06">
                          <w:pPr>
                            <w:pStyle w:val="a3"/>
                            <w:numPr>
                              <w:ilvl w:val="0"/>
                              <w:numId w:val="21"/>
                            </w:numPr>
                            <w:spacing w:line="240" w:lineRule="auto"/>
                            <w:ind w:left="0" w:firstLine="0"/>
                            <w:rPr>
                              <w:rFonts w:ascii="Times New Roman" w:hAnsi="Times New Roman" w:cs="Times New Roman"/>
                            </w:rPr>
                          </w:pPr>
                          <w:r>
                            <w:rPr>
                              <w:rFonts w:ascii="Times New Roman" w:hAnsi="Times New Roman" w:cs="Times New Roman"/>
                            </w:rPr>
                            <w:t>с</w:t>
                          </w:r>
                          <w:r w:rsidRPr="00C72DAC">
                            <w:rPr>
                              <w:rFonts w:ascii="Times New Roman" w:hAnsi="Times New Roman" w:cs="Times New Roman"/>
                            </w:rPr>
                            <w:t>умнівна  заборгованість за виплаченими гарантіями</w:t>
                          </w:r>
                        </w:p>
                        <w:p w:rsidR="00631A1C" w:rsidRPr="00C72DAC" w:rsidRDefault="00631A1C" w:rsidP="00307A06">
                          <w:pPr>
                            <w:spacing w:line="240" w:lineRule="auto"/>
                            <w:contextualSpacing/>
                            <w:rPr>
                              <w:rFonts w:ascii="Times New Roman" w:hAnsi="Times New Roman" w:cs="Times New Roman"/>
                            </w:rPr>
                          </w:pPr>
                        </w:p>
                      </w:txbxContent>
                    </v:textbox>
                  </v:rect>
                  <v:shape id="AutoShape 98" o:spid="_x0000_s1048" type="#_x0000_t32" style="position:absolute;left:5820;top:13941;width:1;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964cMAAADcAAAADwAAAGRycy9kb3ducmV2LnhtbESPQWsCMRSE74X+h/AKvdXsKpS6GsUW&#10;tF7VxfNj89ys3bykm+iu/94UhB6HmfmGmS8H24ordaFxrCAfZSCIK6cbrhWUh/XbB4gQkTW2jknB&#10;jQIsF89Pcyy063lH132sRYJwKFCBidEXUobKkMUwcp44eSfXWYxJdrXUHfYJbls5zrJ3abHhtGDQ&#10;05eh6md/sQp8OXH56vf2va4Oxpd9fvycnDdKvb4MqxmISEP8Dz/aW61gnE3h70w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euHDAAAA3AAAAA8AAAAAAAAAAAAA&#10;AAAAoQIAAGRycy9kb3ducmV2LnhtbFBLBQYAAAAABAAEAPkAAACRAwAAAAA=&#10;" strokeweight="1pt">
                    <v:stroke endarrow="block"/>
                  </v:shape>
                  <v:shape id="AutoShape 99" o:spid="_x0000_s1049" type="#_x0000_t32" style="position:absolute;left:8453;top:13941;width:2;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xFocAAAADcAAAADwAAAGRycy9kb3ducmV2LnhtbERPy4rCMBTdD/gP4QruxrQKMnSMogM+&#10;tmpxfWnuNJ1pbmKTsfXvzUKY5eG8l+vBtuJOXWgcK8inGQjiyumGawXlZff+ASJEZI2tY1LwoADr&#10;1ehtiYV2PZ/ofo61SCEcClRgYvSFlKEyZDFMnSdO3LfrLMYEu1rqDvsUbls5y7KFtNhwajDo6ctQ&#10;9Xv+swp8OXf55vY47KqL8WWfX7fzn71Sk/Gw+QQRaYj/4pf7qBXM8jQ/nUlH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cRaHAAAAA3AAAAA8AAAAAAAAAAAAAAAAA&#10;oQIAAGRycy9kb3ducmV2LnhtbFBLBQYAAAAABAAEAPkAAACOAwAAAAA=&#10;" strokeweight="1pt">
                    <v:stroke endarrow="block"/>
                  </v:shape>
                  <v:shape id="AutoShape 100" o:spid="_x0000_s1050" type="#_x0000_t32" style="position:absolute;left:4712;top:13941;width:2;height:2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DgOsMAAADcAAAADwAAAGRycy9kb3ducmV2LnhtbESPQWsCMRSE74X+h/AKvdVsFIqsRrEF&#10;ba/VxfNj87rZdvOSbqK7/vtGEDwOM/MNs1yPrhNn6mPrWYOaFCCIa29abjRUh+3LHERMyAY7z6Th&#10;QhHWq8eHJZbGD/xF531qRIZwLFGDTSmUUsbaksM48YE4e9++d5iy7Btpehwy3HVyWhSv0mHLecFi&#10;oHdL9e/+5DSEaubV5u/ysa0PNlSDOr7NfnZaPz+NmwWIRGO6h2/tT6NhqhRcz+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Q4DrDAAAA3AAAAA8AAAAAAAAAAAAA&#10;AAAAoQIAAGRycy9kb3ducmV2LnhtbFBLBQYAAAAABAAEAPkAAACRAwAAAAA=&#10;" strokeweight="1pt">
                    <v:stroke endarrow="block"/>
                  </v:shape>
                  <v:shape id="AutoShape 101" o:spid="_x0000_s1051" type="#_x0000_t32" style="position:absolute;left:7070;top:13941;width:1;height:2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J+TcMAAADcAAAADwAAAGRycy9kb3ducmV2LnhtbESPwWrDMBBE74H+g9hCb7FsB0pwo4Sk&#10;kLbXJqbnxdpabqyVaqmx8/dVIJDjMDNvmNVmsr040xA6xwqKLAdB3DjdcaugPu7nSxAhImvsHZOC&#10;CwXYrB9mK6y0G/mTzofYigThUKECE6OvpAyNIYshc544ed9usBiTHFqpBxwT3PayzPNnabHjtGDQ&#10;06uh5nT4swp8vXDF9vfyvm+Oxtdj8bVb/Lwp9fQ4bV9ARJriPXxrf2gFZVHC9Uw6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fk3DAAAA3AAAAA8AAAAAAAAAAAAA&#10;AAAAoQIAAGRycy9kb3ducmV2LnhtbFBLBQYAAAAABAAEAPkAAACRAwAAAAA=&#10;" strokeweight="1pt">
                    <v:stroke endarrow="block"/>
                  </v:shape>
                </v:group>
                <w10:anchorlock/>
              </v:group>
            </w:pict>
          </mc:Fallback>
        </mc:AlternateContent>
      </w:r>
    </w:p>
    <w:p w:rsidR="00307A06" w:rsidRPr="00E37001" w:rsidRDefault="00307A06" w:rsidP="00B07B79">
      <w:pPr>
        <w:pStyle w:val="Style29"/>
        <w:widowControl/>
        <w:tabs>
          <w:tab w:val="left" w:pos="562"/>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Рис. 1.2. Види кредитних операцій, що формують кредитний портфель банку</w:t>
      </w:r>
    </w:p>
    <w:p w:rsidR="00307A06" w:rsidRPr="00E37001" w:rsidRDefault="00307A06" w:rsidP="00B07B79">
      <w:pPr>
        <w:pStyle w:val="Style29"/>
        <w:widowControl/>
        <w:spacing w:line="360" w:lineRule="auto"/>
        <w:ind w:firstLine="567"/>
        <w:contextualSpacing/>
        <w:rPr>
          <w:rStyle w:val="FontStyle105"/>
          <w:rFonts w:ascii="Times New Roman" w:hAnsi="Times New Roman" w:cs="Times New Roman"/>
          <w:b w:val="0"/>
          <w:i w:val="0"/>
          <w:sz w:val="28"/>
          <w:szCs w:val="28"/>
          <w:lang w:eastAsia="uk-UA"/>
        </w:rPr>
      </w:pPr>
    </w:p>
    <w:p w:rsidR="00307A06" w:rsidRPr="00E37001" w:rsidRDefault="00307A06" w:rsidP="00B07B79">
      <w:pPr>
        <w:pStyle w:val="Style29"/>
        <w:widowControl/>
        <w:spacing w:line="360" w:lineRule="auto"/>
        <w:ind w:firstLine="567"/>
        <w:contextualSpacing/>
        <w:rPr>
          <w:rStyle w:val="FontStyle106"/>
          <w:rFonts w:ascii="Times New Roman" w:hAnsi="Times New Roman" w:cs="Times New Roman"/>
          <w:sz w:val="28"/>
          <w:szCs w:val="28"/>
          <w:lang w:eastAsia="uk-UA"/>
        </w:rPr>
      </w:pPr>
      <w:r w:rsidRPr="00E37001">
        <w:rPr>
          <w:rStyle w:val="FontStyle105"/>
          <w:rFonts w:ascii="Times New Roman" w:hAnsi="Times New Roman" w:cs="Times New Roman"/>
          <w:b w:val="0"/>
          <w:i w:val="0"/>
          <w:sz w:val="28"/>
          <w:szCs w:val="28"/>
          <w:lang w:eastAsia="uk-UA"/>
        </w:rPr>
        <w:t xml:space="preserve">Загальна сума кредитного портфеля </w:t>
      </w:r>
      <w:r w:rsidRPr="00E37001">
        <w:rPr>
          <w:rStyle w:val="FontStyle106"/>
          <w:rFonts w:ascii="Times New Roman" w:hAnsi="Times New Roman" w:cs="Times New Roman"/>
          <w:sz w:val="28"/>
          <w:szCs w:val="28"/>
          <w:lang w:eastAsia="uk-UA"/>
        </w:rPr>
        <w:t>визначається за балансовою вартістю всіх кредитів банку, в тому числі прострочених, пролонгованих і сумнівних, і вартістю позабалансових зобов'язань банку з кредитування.</w:t>
      </w:r>
    </w:p>
    <w:p w:rsidR="00307A06" w:rsidRPr="00E37001" w:rsidRDefault="00307A06" w:rsidP="00B07B79">
      <w:pPr>
        <w:pStyle w:val="a4"/>
        <w:widowControl w:val="0"/>
        <w:spacing w:line="360" w:lineRule="auto"/>
        <w:ind w:firstLine="567"/>
        <w:contextualSpacing/>
        <w:jc w:val="both"/>
      </w:pPr>
      <w:r w:rsidRPr="00E37001">
        <w:t>Кредитний портфель не включає в себе відсотки нараховані, але ще не сплачені, не профінансовані, зобов'язання видати кредит, кредитні лінії, які ще не використані, гарантії та акредитиви, оперативний лізинг [36, ст.30].</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З метою підвищення надійності та стабільності банківської системи, захисту інтересів кредиторів (ефективного формування кредитного портфеля) і вкладників банків Національним банком України установлюється порядок формування та використання резерву для відшкодування можливих </w:t>
      </w:r>
      <w:r w:rsidRPr="00E37001">
        <w:rPr>
          <w:rFonts w:ascii="Times New Roman" w:hAnsi="Times New Roman" w:cs="Times New Roman"/>
          <w:sz w:val="28"/>
          <w:szCs w:val="28"/>
        </w:rPr>
        <w:lastRenderedPageBreak/>
        <w:t>втрат за кредитними операціями банків.</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Резерв формується головним банком та його філіями. Резерв під стандартну заборгованість за кредитами обліковується на балансі головно банку, а резерв під нестандартну заборгованість - на балансі установ банку, які зареєстровані як платники податку. За повноту формування резервів відповідальність несе головний банк (юридична особа)</w:t>
      </w:r>
      <w:r w:rsidR="000D7F29" w:rsidRPr="000D7F29">
        <w:rPr>
          <w:rFonts w:ascii="Times New Roman" w:hAnsi="Times New Roman" w:cs="Times New Roman"/>
          <w:sz w:val="28"/>
          <w:szCs w:val="28"/>
          <w:lang w:val="ru-RU"/>
        </w:rPr>
        <w:t xml:space="preserve"> [71]</w:t>
      </w:r>
      <w:r w:rsidRPr="00E37001">
        <w:rPr>
          <w:rFonts w:ascii="Times New Roman" w:hAnsi="Times New Roman" w:cs="Times New Roman"/>
          <w:sz w:val="28"/>
          <w:szCs w:val="28"/>
        </w:rPr>
        <w:t>.</w:t>
      </w:r>
    </w:p>
    <w:p w:rsidR="00307A06" w:rsidRPr="00E37001" w:rsidRDefault="00307A06" w:rsidP="00B07B79">
      <w:pPr>
        <w:widowControl w:val="0"/>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Резерви поділяють на такі:</w:t>
      </w:r>
    </w:p>
    <w:p w:rsidR="00307A06" w:rsidRPr="00E37001" w:rsidRDefault="00307A06" w:rsidP="00B07B79">
      <w:pPr>
        <w:pStyle w:val="21"/>
        <w:widowControl w:val="0"/>
        <w:numPr>
          <w:ilvl w:val="0"/>
          <w:numId w:val="1"/>
        </w:numPr>
        <w:overflowPunct/>
        <w:autoSpaceDE/>
        <w:autoSpaceDN/>
        <w:adjustRightInd/>
        <w:ind w:left="0" w:firstLine="567"/>
        <w:contextualSpacing/>
        <w:textAlignment w:val="auto"/>
      </w:pPr>
      <w:r w:rsidRPr="00E37001">
        <w:t>спеціальні резерви, які створюються для відшкодування можливих збитків за кредитами, дебіторською заборгованістю банків та іншими активами;</w:t>
      </w:r>
    </w:p>
    <w:p w:rsidR="00307A06" w:rsidRPr="00E37001" w:rsidRDefault="00307A06" w:rsidP="00B07B79">
      <w:pPr>
        <w:widowControl w:val="0"/>
        <w:numPr>
          <w:ilvl w:val="0"/>
          <w:numId w:val="1"/>
        </w:numPr>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загальні резерви створюються для відшкодування можливих непередбачених ризиків.</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Такий поділ резервів свідчить, що комерційні банки в процесі аналізу ефективності здійснюваних активних операцій, можуть формувати резерви на покриття можливих втрат за активами у національній та іноземній валютах, включаючи розміщені депозити, надані кредити, придбані цінні папери, дебіторську заборгованість та інші активи</w:t>
      </w:r>
      <w:r w:rsidR="000D7F29" w:rsidRPr="000D7F29">
        <w:rPr>
          <w:rFonts w:ascii="Times New Roman" w:hAnsi="Times New Roman" w:cs="Times New Roman"/>
          <w:sz w:val="28"/>
          <w:szCs w:val="28"/>
        </w:rPr>
        <w:t xml:space="preserve"> [45]</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У фінансовому обліку спеціальні резерви створюються за всіма видами активів у необхідних сумах.</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Резерв для відшкодування можливих втрат за кредитними операціями банків є спеціальним резервом, необхідність формування якого обумовлена кредитними ризиками, що притаманні банківській діяльності. Створення резерву під кредитні ризики – це визнання витрат для відображення реального результату діяльності банку з урахуванням погіршення якості його активів або підвищення </w:t>
      </w:r>
      <w:proofErr w:type="spellStart"/>
      <w:r w:rsidRPr="00E37001">
        <w:rPr>
          <w:rFonts w:ascii="Times New Roman" w:hAnsi="Times New Roman" w:cs="Times New Roman"/>
          <w:sz w:val="28"/>
          <w:szCs w:val="28"/>
        </w:rPr>
        <w:t>ризиковості</w:t>
      </w:r>
      <w:proofErr w:type="spellEnd"/>
      <w:r w:rsidRPr="00E37001">
        <w:rPr>
          <w:rFonts w:ascii="Times New Roman" w:hAnsi="Times New Roman" w:cs="Times New Roman"/>
          <w:sz w:val="28"/>
          <w:szCs w:val="28"/>
        </w:rPr>
        <w:t xml:space="preserve"> кредитних операцій</w:t>
      </w:r>
      <w:r w:rsidR="002E487A" w:rsidRPr="002E487A">
        <w:rPr>
          <w:rFonts w:ascii="Times New Roman" w:hAnsi="Times New Roman" w:cs="Times New Roman"/>
          <w:sz w:val="28"/>
          <w:szCs w:val="28"/>
        </w:rPr>
        <w:t xml:space="preserve"> [102]</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З метою недопущення збитків та захисту кредитного портфеля від можливих втрат через неплатоспроможність позичальників оцінка кредитних ризиків здійснюється за всіма кредитними операціями та коштами, що розміщені на кореспондентських рахунках, які відкриті в інших банках як у </w:t>
      </w:r>
      <w:r w:rsidRPr="00E37001">
        <w:rPr>
          <w:rFonts w:ascii="Times New Roman" w:hAnsi="Times New Roman" w:cs="Times New Roman"/>
          <w:sz w:val="28"/>
          <w:szCs w:val="28"/>
        </w:rPr>
        <w:lastRenderedPageBreak/>
        <w:t>національній, так і в іноземній валюті</w:t>
      </w:r>
      <w:r w:rsidR="000D7F29" w:rsidRPr="000D7F29">
        <w:rPr>
          <w:rFonts w:ascii="Times New Roman" w:hAnsi="Times New Roman" w:cs="Times New Roman"/>
          <w:sz w:val="28"/>
          <w:szCs w:val="28"/>
        </w:rPr>
        <w:t xml:space="preserve"> [53]</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Банки самостійно визначають рівень ризику кредитних операцій, оцінюють фінансовий стан позичальників (контрагентів банку) та вартість застави в межах чинного законодавства.</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Загальна заборгованість за кредитними операціями становить валовий кредитний ризик для кредитора</w:t>
      </w:r>
      <w:r w:rsidR="002E487A" w:rsidRPr="002E487A">
        <w:rPr>
          <w:rFonts w:ascii="Times New Roman" w:hAnsi="Times New Roman" w:cs="Times New Roman"/>
          <w:sz w:val="28"/>
          <w:szCs w:val="28"/>
          <w:lang w:val="ru-RU"/>
        </w:rPr>
        <w:t xml:space="preserve"> [103]</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Для цілей розрахунку резервів на покриття можливих втрат за кредитними операціями визначається чистий кредитний ризик (в абсолютних показниках) шляхом зменшення валового кредитного ризику, класифікованого за ступенями ризику, на вартість прийнятного забезпечення.</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Банки зобов'язані створювати та формувати резерви для відшкодування можливих втрат на повний розмір чистого кредитного ризику за основним боргом, зваженого на відповідний коефіцієнт резервування, за всіма видами кредитних операцій у національній та іноземних валютах</w:t>
      </w:r>
      <w:r w:rsidR="000D7F29" w:rsidRPr="000D7F29">
        <w:rPr>
          <w:rFonts w:ascii="Times New Roman" w:hAnsi="Times New Roman" w:cs="Times New Roman"/>
          <w:sz w:val="28"/>
          <w:szCs w:val="28"/>
          <w:lang w:val="ru-RU"/>
        </w:rPr>
        <w:t xml:space="preserve"> [54]</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Не здійснюється формування резерву за бюджетними кредитами, за кредитними операціями між установами в системі одного банку, а також за операціями фінансового лізингу, якщо об'єктом цих операцій є нерухоме майно</w:t>
      </w:r>
      <w:r w:rsidR="002E487A" w:rsidRPr="002E487A">
        <w:rPr>
          <w:rFonts w:ascii="Times New Roman" w:hAnsi="Times New Roman" w:cs="Times New Roman"/>
          <w:sz w:val="28"/>
          <w:szCs w:val="28"/>
          <w:lang w:val="ru-RU"/>
        </w:rPr>
        <w:t xml:space="preserve"> [106]</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Бюджетні кредити – бюджетні кошти, які розміщені банком у вигляді кредитів на підставі договору з розпорядником цих коштів, за якими банк не несе кредитного ризику.</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Для банків із 100% іноземним капіталом – за кредитними операціями з материнською компанією, якщо ця компанія має кредитний рейтинг не нижчий ніж "інвестиційний клас"</w:t>
      </w:r>
      <w:r w:rsidR="000D7F29" w:rsidRPr="000D7F29">
        <w:rPr>
          <w:rFonts w:ascii="Times New Roman" w:hAnsi="Times New Roman" w:cs="Times New Roman"/>
          <w:sz w:val="28"/>
          <w:szCs w:val="28"/>
          <w:lang w:val="ru-RU"/>
        </w:rPr>
        <w:t xml:space="preserve"> [46]</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 коштами, що містяться на кореспондентських рахунках, які відкриті в інших банках, а також депозитами до запитання в інших банках і сумнівною заборгованістю за коштами до запитання в інших банках банки зобов'язані формувати резерв:</w:t>
      </w:r>
    </w:p>
    <w:p w:rsidR="00307A06" w:rsidRPr="00E37001" w:rsidRDefault="00307A06" w:rsidP="00B07B79">
      <w:pPr>
        <w:widowControl w:val="0"/>
        <w:numPr>
          <w:ilvl w:val="0"/>
          <w:numId w:val="3"/>
        </w:numPr>
        <w:shd w:val="clear" w:color="auto" w:fill="FFFFFF"/>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 коштами, розміщеними в банках-нерезидентах, – з урахуванням ризику країни;</w:t>
      </w:r>
    </w:p>
    <w:p w:rsidR="00307A06" w:rsidRPr="00E37001" w:rsidRDefault="00307A06" w:rsidP="00B07B79">
      <w:pPr>
        <w:widowControl w:val="0"/>
        <w:numPr>
          <w:ilvl w:val="0"/>
          <w:numId w:val="3"/>
        </w:numPr>
        <w:shd w:val="clear" w:color="auto" w:fill="FFFFFF"/>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lastRenderedPageBreak/>
        <w:t>за коштами, розміщеними в банках (резидентах і нерезидентах), які визнані банкрутами або ліквідовуються за рішенням уповноважених органів, або які зареєстровані в офшорних зонах, на всю суму цих коштів</w:t>
      </w:r>
      <w:r w:rsidR="000D7F29" w:rsidRPr="000D7F29">
        <w:rPr>
          <w:rFonts w:ascii="Times New Roman" w:hAnsi="Times New Roman" w:cs="Times New Roman"/>
          <w:sz w:val="28"/>
          <w:szCs w:val="28"/>
          <w:lang w:val="ru-RU"/>
        </w:rPr>
        <w:t xml:space="preserve"> [56]</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Резерв під кредитні ризики поділяється на резерви під стандартну та нестандартну заборгованість за кредитними операціями. Резерви під нестандартну заборгованість формуються за кредитними операціями, класифікованими як "під контролем", "</w:t>
      </w:r>
      <w:proofErr w:type="spellStart"/>
      <w:r w:rsidRPr="00E37001">
        <w:rPr>
          <w:rFonts w:ascii="Times New Roman" w:hAnsi="Times New Roman" w:cs="Times New Roman"/>
          <w:sz w:val="28"/>
          <w:szCs w:val="28"/>
        </w:rPr>
        <w:t>субстандартні</w:t>
      </w:r>
      <w:proofErr w:type="spellEnd"/>
      <w:r w:rsidRPr="00E37001">
        <w:rPr>
          <w:rFonts w:ascii="Times New Roman" w:hAnsi="Times New Roman" w:cs="Times New Roman"/>
          <w:sz w:val="28"/>
          <w:szCs w:val="28"/>
        </w:rPr>
        <w:t>", "сумнівні", а також "безнадійні".</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Резерв під кредитні ризики формується в тій валюті, у якій враховується заборгованість</w:t>
      </w:r>
      <w:r w:rsidR="000D7F29" w:rsidRPr="000D7F29">
        <w:rPr>
          <w:rFonts w:ascii="Times New Roman" w:hAnsi="Times New Roman" w:cs="Times New Roman"/>
          <w:sz w:val="28"/>
          <w:szCs w:val="28"/>
          <w:lang w:val="ru-RU"/>
        </w:rPr>
        <w:t xml:space="preserve"> [47]</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Резерв під кредитні ризики використовується лише для покриття збитків за непогашеною позичальниками заборгованістю за кредитними операціями за основним боргом, стягнення якої є неможливим.</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Банки зобов'язані здійснювати розрахунок резервів під стандартну та нестандартну заборгованість (з урахуванням строків погашення боргу за кредитними операціями) протягом місяця, у якому здійснено кредитну операцію (або укладено угоду на її здійснення). Формування резервів банки зобов'язані здійснювати щомісячно в повному обсязі незалежно від розміру їх доходів за групами ризику відповідно до сум фактичної кредитної заборгованості за станом на перше число місяця, наступного за звітним, до встановленого строку для подання місячного балансу.</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Розмір фактично сформованого резерву за кредитними операціями банків контролюється за даними місячного балансу</w:t>
      </w:r>
      <w:r w:rsidR="000D7F29" w:rsidRPr="000D7F29">
        <w:rPr>
          <w:rFonts w:ascii="Times New Roman" w:hAnsi="Times New Roman" w:cs="Times New Roman"/>
          <w:sz w:val="28"/>
          <w:szCs w:val="28"/>
          <w:lang w:val="ru-RU"/>
        </w:rPr>
        <w:t>[49]</w:t>
      </w:r>
      <w:r w:rsidRPr="00E37001">
        <w:rPr>
          <w:rFonts w:ascii="Times New Roman" w:hAnsi="Times New Roman" w:cs="Times New Roman"/>
          <w:sz w:val="28"/>
          <w:szCs w:val="28"/>
        </w:rPr>
        <w:t>.</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Та для успішної роботи комерційного банку важливо знати не лише сукупність наявних коштів, а й оцінити потенційні можливості із залучення необхідних фінансових ресурсів. У сучасних умовах господарювання в Україні економічний світогляд на банківську діяльність змінився, і насамперед на роль збалансованого управління активними та пасивними операціями комерційного банку. Тому питання, пов'язані з визначенням </w:t>
      </w:r>
      <w:r w:rsidRPr="00E37001">
        <w:rPr>
          <w:rFonts w:ascii="Times New Roman" w:hAnsi="Times New Roman" w:cs="Times New Roman"/>
          <w:sz w:val="28"/>
          <w:szCs w:val="28"/>
        </w:rPr>
        <w:lastRenderedPageBreak/>
        <w:t>сутності ресурсного потенціалу комерційного банку, із забезпеченням його стабільності за допомогою ефективного управління активами та пасивами, набувають особливої важливості.</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Найбільш актуальним є завдання з формування ресурсної бази, ефективного розміщення залучених коштів в умовах зниження рівня інфляції, стабілізації національної валюти та жорстких вимог органів, які регулюють банківську сферу, для регіональних комерційних банків</w:t>
      </w:r>
      <w:r w:rsidR="000D7F29" w:rsidRPr="000D7F29">
        <w:rPr>
          <w:rFonts w:ascii="Times New Roman" w:hAnsi="Times New Roman" w:cs="Times New Roman"/>
          <w:sz w:val="28"/>
          <w:szCs w:val="28"/>
        </w:rPr>
        <w:t xml:space="preserve"> [57]</w:t>
      </w:r>
      <w:r w:rsidRPr="00E37001">
        <w:rPr>
          <w:rFonts w:ascii="Times New Roman" w:hAnsi="Times New Roman" w:cs="Times New Roman"/>
          <w:sz w:val="28"/>
          <w:szCs w:val="28"/>
        </w:rPr>
        <w:t xml:space="preserve">. </w:t>
      </w:r>
    </w:p>
    <w:p w:rsidR="00307A06" w:rsidRPr="00E37001" w:rsidRDefault="00307A06" w:rsidP="00B07B79">
      <w:pPr>
        <w:widowControl w:val="0"/>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Розуміння сутності ресурсного потенціалу комерційного банку нерозривно пов'язане з такими питаннями як:</w:t>
      </w:r>
    </w:p>
    <w:p w:rsidR="00307A06" w:rsidRPr="00E37001" w:rsidRDefault="00307A06" w:rsidP="00B07B79">
      <w:pPr>
        <w:widowControl w:val="0"/>
        <w:numPr>
          <w:ilvl w:val="0"/>
          <w:numId w:val="2"/>
        </w:numPr>
        <w:shd w:val="clear" w:color="auto" w:fill="FFFFFF"/>
        <w:tabs>
          <w:tab w:val="left" w:pos="504"/>
        </w:tab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позичковий потенціал комерційного банку розмір суми, на яку</w:t>
      </w:r>
      <w:r w:rsidRPr="00E37001">
        <w:rPr>
          <w:rFonts w:ascii="Times New Roman" w:hAnsi="Times New Roman" w:cs="Times New Roman"/>
          <w:sz w:val="28"/>
          <w:szCs w:val="28"/>
        </w:rPr>
        <w:br/>
        <w:t>окремий комерційний банк може без ризику для себе збільшити надання нових позик громадянам та суб'єктам господарювання (чи придбати</w:t>
      </w:r>
      <w:r w:rsidRPr="00E37001">
        <w:rPr>
          <w:rFonts w:ascii="Times New Roman" w:hAnsi="Times New Roman" w:cs="Times New Roman"/>
          <w:sz w:val="28"/>
          <w:szCs w:val="28"/>
        </w:rPr>
        <w:br/>
        <w:t>в них цінні папери);</w:t>
      </w:r>
    </w:p>
    <w:p w:rsidR="00307A06" w:rsidRPr="00E37001" w:rsidRDefault="00307A06" w:rsidP="00B07B79">
      <w:pPr>
        <w:widowControl w:val="0"/>
        <w:numPr>
          <w:ilvl w:val="0"/>
          <w:numId w:val="2"/>
        </w:numPr>
        <w:shd w:val="clear" w:color="auto" w:fill="FFFFFF"/>
        <w:tabs>
          <w:tab w:val="left" w:pos="504"/>
        </w:tab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позичковий потенціал банківської системи розмір суми, на яку</w:t>
      </w:r>
      <w:r w:rsidRPr="00E37001">
        <w:rPr>
          <w:rFonts w:ascii="Times New Roman" w:hAnsi="Times New Roman" w:cs="Times New Roman"/>
          <w:sz w:val="28"/>
          <w:szCs w:val="28"/>
        </w:rPr>
        <w:br/>
        <w:t>система комерційних банків може без ризику для себе збільшити надання нових позик громадянам та суб'єктам господарювання (чи придбати в них цінні папери)</w:t>
      </w:r>
      <w:r w:rsidR="000D7F29" w:rsidRPr="000D7F29">
        <w:rPr>
          <w:rFonts w:ascii="Times New Roman" w:hAnsi="Times New Roman" w:cs="Times New Roman"/>
          <w:sz w:val="28"/>
          <w:szCs w:val="28"/>
          <w:lang w:val="ru-RU"/>
        </w:rPr>
        <w:t xml:space="preserve"> [70]</w:t>
      </w:r>
      <w:r w:rsidRPr="00E37001">
        <w:rPr>
          <w:rFonts w:ascii="Times New Roman" w:hAnsi="Times New Roman" w:cs="Times New Roman"/>
          <w:sz w:val="28"/>
          <w:szCs w:val="28"/>
        </w:rPr>
        <w:t>.</w:t>
      </w:r>
    </w:p>
    <w:p w:rsidR="00307A06" w:rsidRPr="00E37001" w:rsidRDefault="00307A06" w:rsidP="00B07B79">
      <w:pPr>
        <w:pStyle w:val="Style29"/>
        <w:widowControl/>
        <w:spacing w:line="360" w:lineRule="auto"/>
        <w:ind w:firstLine="567"/>
        <w:contextualSpacing/>
        <w:rPr>
          <w:rStyle w:val="FontStyle106"/>
          <w:rFonts w:ascii="Times New Roman" w:hAnsi="Times New Roman" w:cs="Times New Roman"/>
          <w:sz w:val="28"/>
          <w:szCs w:val="28"/>
          <w:lang w:eastAsia="uk-UA"/>
        </w:rPr>
      </w:pPr>
      <w:r w:rsidRPr="00E37001">
        <w:rPr>
          <w:rStyle w:val="FontStyle106"/>
          <w:rFonts w:ascii="Times New Roman" w:hAnsi="Times New Roman" w:cs="Times New Roman"/>
          <w:sz w:val="28"/>
          <w:szCs w:val="28"/>
          <w:lang w:eastAsia="uk-UA"/>
        </w:rPr>
        <w:t>На розмір і структуру кредитного портфеля впливають такі параметри:</w:t>
      </w:r>
    </w:p>
    <w:p w:rsidR="00307A06" w:rsidRPr="00E37001" w:rsidRDefault="00307A06" w:rsidP="00B07B79">
      <w:pPr>
        <w:pStyle w:val="Style29"/>
        <w:widowControl/>
        <w:numPr>
          <w:ilvl w:val="0"/>
          <w:numId w:val="10"/>
        </w:numPr>
        <w:tabs>
          <w:tab w:val="left" w:pos="566"/>
        </w:tabs>
        <w:spacing w:before="5"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кредитна політика банку;</w:t>
      </w:r>
    </w:p>
    <w:p w:rsidR="00307A06" w:rsidRPr="00E37001" w:rsidRDefault="00307A06" w:rsidP="00B07B79">
      <w:pPr>
        <w:pStyle w:val="Style29"/>
        <w:widowControl/>
        <w:numPr>
          <w:ilvl w:val="0"/>
          <w:numId w:val="10"/>
        </w:numPr>
        <w:tabs>
          <w:tab w:val="left" w:pos="566"/>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досвід і кваліфікація працівників кредитного відділу;</w:t>
      </w:r>
    </w:p>
    <w:p w:rsidR="00307A06" w:rsidRPr="00E37001" w:rsidRDefault="00307A06" w:rsidP="00B07B79">
      <w:pPr>
        <w:pStyle w:val="Style29"/>
        <w:widowControl/>
        <w:numPr>
          <w:ilvl w:val="0"/>
          <w:numId w:val="10"/>
        </w:numPr>
        <w:tabs>
          <w:tab w:val="left" w:pos="566"/>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розмір і вартість кредитних ресурсів;</w:t>
      </w:r>
    </w:p>
    <w:p w:rsidR="00307A06" w:rsidRPr="00E37001" w:rsidRDefault="00307A06" w:rsidP="00B07B79">
      <w:pPr>
        <w:pStyle w:val="Style29"/>
        <w:widowControl/>
        <w:numPr>
          <w:ilvl w:val="0"/>
          <w:numId w:val="10"/>
        </w:numPr>
        <w:tabs>
          <w:tab w:val="left" w:pos="566"/>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вимоги й обмеження Національного банку;</w:t>
      </w:r>
    </w:p>
    <w:p w:rsidR="00307A06" w:rsidRPr="00E37001" w:rsidRDefault="00307A06" w:rsidP="00B07B79">
      <w:pPr>
        <w:pStyle w:val="Style29"/>
        <w:widowControl/>
        <w:numPr>
          <w:ilvl w:val="0"/>
          <w:numId w:val="10"/>
        </w:numPr>
        <w:tabs>
          <w:tab w:val="left" w:pos="566"/>
        </w:tabs>
        <w:spacing w:line="360" w:lineRule="auto"/>
        <w:ind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lang w:eastAsia="uk-UA"/>
        </w:rPr>
        <w:t>рівень кредитного ризику</w:t>
      </w:r>
      <w:r w:rsidR="000D7F29">
        <w:rPr>
          <w:rStyle w:val="FontStyle106"/>
          <w:rFonts w:ascii="Times New Roman" w:hAnsi="Times New Roman" w:cs="Times New Roman"/>
          <w:sz w:val="28"/>
          <w:szCs w:val="28"/>
          <w:lang w:val="en-US" w:eastAsia="uk-UA"/>
        </w:rPr>
        <w:t xml:space="preserve"> [48]</w:t>
      </w:r>
      <w:r w:rsidRPr="00E37001">
        <w:rPr>
          <w:rStyle w:val="FontStyle106"/>
          <w:rFonts w:ascii="Times New Roman" w:hAnsi="Times New Roman" w:cs="Times New Roman"/>
          <w:sz w:val="28"/>
          <w:szCs w:val="28"/>
          <w:lang w:eastAsia="uk-UA"/>
        </w:rPr>
        <w:t>.</w:t>
      </w:r>
    </w:p>
    <w:p w:rsidR="00307A06" w:rsidRPr="00E37001" w:rsidRDefault="00307A06" w:rsidP="00B07B79">
      <w:pPr>
        <w:pStyle w:val="Style29"/>
        <w:widowControl/>
        <w:spacing w:line="360" w:lineRule="auto"/>
        <w:ind w:firstLine="567"/>
        <w:contextualSpacing/>
        <w:rPr>
          <w:rStyle w:val="FontStyle106"/>
          <w:rFonts w:ascii="Times New Roman" w:hAnsi="Times New Roman" w:cs="Times New Roman"/>
          <w:sz w:val="28"/>
          <w:szCs w:val="28"/>
          <w:lang w:eastAsia="uk-UA"/>
        </w:rPr>
      </w:pPr>
      <w:r w:rsidRPr="00E37001">
        <w:rPr>
          <w:rStyle w:val="FontStyle106"/>
          <w:rFonts w:ascii="Times New Roman" w:hAnsi="Times New Roman" w:cs="Times New Roman"/>
          <w:sz w:val="28"/>
          <w:szCs w:val="28"/>
          <w:lang w:eastAsia="uk-UA"/>
        </w:rPr>
        <w:t>Банки з метою розрахунку обсягу резерву під кредитні ризики мають здійснювати класифікацію кредитного портфеля — оцінку рівня кредитного ризику за кожною кредитною операцією за такими параметрами</w:t>
      </w:r>
      <w:r w:rsidR="000D7F29" w:rsidRPr="000D7F29">
        <w:rPr>
          <w:rStyle w:val="FontStyle106"/>
          <w:rFonts w:ascii="Times New Roman" w:hAnsi="Times New Roman" w:cs="Times New Roman"/>
          <w:sz w:val="28"/>
          <w:szCs w:val="28"/>
          <w:lang w:val="ru-RU" w:eastAsia="uk-UA"/>
        </w:rPr>
        <w:t xml:space="preserve"> [58]</w:t>
      </w:r>
      <w:r w:rsidRPr="00E37001">
        <w:rPr>
          <w:rStyle w:val="FontStyle106"/>
          <w:rFonts w:ascii="Times New Roman" w:hAnsi="Times New Roman" w:cs="Times New Roman"/>
          <w:sz w:val="28"/>
          <w:szCs w:val="28"/>
          <w:lang w:eastAsia="uk-UA"/>
        </w:rPr>
        <w:t>:</w:t>
      </w:r>
    </w:p>
    <w:p w:rsidR="00307A06" w:rsidRPr="00E37001" w:rsidRDefault="00307A06" w:rsidP="00B07B79">
      <w:pPr>
        <w:pStyle w:val="Style29"/>
        <w:widowControl/>
        <w:numPr>
          <w:ilvl w:val="0"/>
          <w:numId w:val="12"/>
        </w:numPr>
        <w:tabs>
          <w:tab w:val="left" w:pos="566"/>
        </w:tabs>
        <w:spacing w:before="5" w:line="360" w:lineRule="auto"/>
        <w:ind w:left="0" w:firstLine="567"/>
        <w:contextualSpacing/>
        <w:rPr>
          <w:rStyle w:val="FontStyle106"/>
          <w:rFonts w:ascii="Times New Roman" w:hAnsi="Times New Roman" w:cs="Times New Roman"/>
          <w:sz w:val="28"/>
          <w:szCs w:val="28"/>
        </w:rPr>
      </w:pPr>
      <w:r w:rsidRPr="00E37001">
        <w:rPr>
          <w:rStyle w:val="FontStyle106"/>
          <w:rFonts w:ascii="Times New Roman" w:hAnsi="Times New Roman" w:cs="Times New Roman"/>
          <w:sz w:val="28"/>
          <w:szCs w:val="28"/>
        </w:rPr>
        <w:t>кредитоспроможність позичальника;</w:t>
      </w:r>
    </w:p>
    <w:p w:rsidR="00307A06" w:rsidRPr="00E37001" w:rsidRDefault="00307A06" w:rsidP="00B07B79">
      <w:pPr>
        <w:pStyle w:val="Style29"/>
        <w:widowControl/>
        <w:numPr>
          <w:ilvl w:val="0"/>
          <w:numId w:val="12"/>
        </w:numPr>
        <w:tabs>
          <w:tab w:val="left" w:pos="566"/>
        </w:tabs>
        <w:spacing w:before="5" w:line="360" w:lineRule="auto"/>
        <w:ind w:left="0" w:firstLine="567"/>
        <w:contextualSpacing/>
        <w:rPr>
          <w:rStyle w:val="FontStyle15"/>
          <w:b w:val="0"/>
          <w:bCs w:val="0"/>
          <w:sz w:val="28"/>
          <w:szCs w:val="28"/>
        </w:rPr>
      </w:pPr>
      <w:r w:rsidRPr="00E37001">
        <w:rPr>
          <w:rStyle w:val="FontStyle15"/>
          <w:b w:val="0"/>
          <w:sz w:val="28"/>
          <w:szCs w:val="28"/>
          <w:lang w:eastAsia="uk-UA"/>
        </w:rPr>
        <w:t>стан обслуговування позичальником заборгованості та відсотків/комісій за кредитом;</w:t>
      </w:r>
    </w:p>
    <w:p w:rsidR="00307A06" w:rsidRPr="00E37001" w:rsidRDefault="00307A06" w:rsidP="00B07B79">
      <w:pPr>
        <w:pStyle w:val="Style1"/>
        <w:widowControl/>
        <w:numPr>
          <w:ilvl w:val="0"/>
          <w:numId w:val="12"/>
        </w:numPr>
        <w:tabs>
          <w:tab w:val="left" w:pos="566"/>
        </w:tabs>
        <w:spacing w:line="360" w:lineRule="auto"/>
        <w:ind w:left="0" w:firstLine="567"/>
        <w:contextualSpacing/>
        <w:jc w:val="both"/>
        <w:rPr>
          <w:rStyle w:val="FontStyle15"/>
          <w:b w:val="0"/>
          <w:sz w:val="28"/>
          <w:szCs w:val="28"/>
        </w:rPr>
      </w:pPr>
      <w:r w:rsidRPr="00E37001">
        <w:rPr>
          <w:rStyle w:val="FontStyle15"/>
          <w:b w:val="0"/>
          <w:sz w:val="28"/>
          <w:szCs w:val="28"/>
          <w:lang w:eastAsia="uk-UA"/>
        </w:rPr>
        <w:t>рівень та якість забезпечення кредитної операції.</w:t>
      </w:r>
    </w:p>
    <w:p w:rsidR="00307A06" w:rsidRPr="00E37001" w:rsidRDefault="00307A06" w:rsidP="00B07B79">
      <w:pPr>
        <w:pStyle w:val="Style1"/>
        <w:widowControl/>
        <w:spacing w:line="360" w:lineRule="auto"/>
        <w:ind w:firstLine="567"/>
        <w:contextualSpacing/>
        <w:jc w:val="both"/>
        <w:rPr>
          <w:rStyle w:val="FontStyle15"/>
          <w:b w:val="0"/>
          <w:sz w:val="28"/>
          <w:szCs w:val="28"/>
          <w:lang w:eastAsia="uk-UA"/>
        </w:rPr>
      </w:pPr>
      <w:r w:rsidRPr="00E37001">
        <w:rPr>
          <w:rStyle w:val="FontStyle15"/>
          <w:b w:val="0"/>
          <w:sz w:val="28"/>
          <w:szCs w:val="28"/>
          <w:lang w:eastAsia="uk-UA"/>
        </w:rPr>
        <w:lastRenderedPageBreak/>
        <w:t>Порядок класифікації кредитного портфеля банку визначений Положенням НБУ "Про порядок формування та використання резерву для відшкодування можливих втрат за кредитними операціями банків", затвердженим постановою від 6 липня 2000 р. № 279.</w:t>
      </w:r>
    </w:p>
    <w:p w:rsidR="00307A06" w:rsidRPr="00E37001" w:rsidRDefault="00307A06" w:rsidP="00B07B79">
      <w:pPr>
        <w:pStyle w:val="Style1"/>
        <w:widowControl/>
        <w:spacing w:line="360" w:lineRule="auto"/>
        <w:ind w:firstLine="567"/>
        <w:contextualSpacing/>
        <w:jc w:val="both"/>
        <w:rPr>
          <w:rStyle w:val="FontStyle15"/>
          <w:b w:val="0"/>
          <w:sz w:val="28"/>
          <w:szCs w:val="28"/>
          <w:lang w:eastAsia="uk-UA"/>
        </w:rPr>
      </w:pPr>
      <w:r w:rsidRPr="00E37001">
        <w:rPr>
          <w:rStyle w:val="FontStyle15"/>
          <w:b w:val="0"/>
          <w:sz w:val="28"/>
          <w:szCs w:val="28"/>
          <w:lang w:eastAsia="uk-UA"/>
        </w:rPr>
        <w:t>Етапи класифікації кредитного портфеля наведено на рис. 1.3.</w:t>
      </w:r>
    </w:p>
    <w:p w:rsidR="00307A06" w:rsidRPr="00E37001" w:rsidRDefault="00776A19" w:rsidP="00B07B79">
      <w:pPr>
        <w:pStyle w:val="Style1"/>
        <w:widowControl/>
        <w:spacing w:line="360" w:lineRule="auto"/>
        <w:contextualSpacing/>
        <w:jc w:val="both"/>
        <w:rPr>
          <w:rStyle w:val="FontStyle15"/>
          <w:b w:val="0"/>
          <w:sz w:val="28"/>
          <w:szCs w:val="28"/>
          <w:lang w:eastAsia="uk-UA"/>
        </w:rPr>
      </w:pPr>
      <w:r>
        <w:rPr>
          <w:rFonts w:ascii="Times New Roman" w:hAnsi="Times New Roman" w:cs="Times New Roman"/>
          <w:bCs/>
          <w:noProof/>
          <w:sz w:val="28"/>
          <w:szCs w:val="28"/>
          <w:lang w:eastAsia="uk-UA"/>
        </w:rPr>
        <mc:AlternateContent>
          <mc:Choice Requires="wpc">
            <w:drawing>
              <wp:inline distT="0" distB="0" distL="0" distR="0">
                <wp:extent cx="5940425" cy="7315200"/>
                <wp:effectExtent l="3810" t="1905" r="0" b="0"/>
                <wp:docPr id="200"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40" name="Group 28"/>
                        <wpg:cNvGrpSpPr>
                          <a:grpSpLocks/>
                        </wpg:cNvGrpSpPr>
                        <wpg:grpSpPr bwMode="auto">
                          <a:xfrm>
                            <a:off x="114683" y="114687"/>
                            <a:ext cx="5714359" cy="7086652"/>
                            <a:chOff x="2501" y="469"/>
                            <a:chExt cx="6926" cy="8589"/>
                          </a:xfrm>
                        </wpg:grpSpPr>
                        <wps:wsp>
                          <wps:cNvPr id="141" name="Rectangle 29"/>
                          <wps:cNvSpPr>
                            <a:spLocks noChangeArrowheads="1"/>
                          </wps:cNvSpPr>
                          <wps:spPr bwMode="auto">
                            <a:xfrm>
                              <a:off x="2501" y="7395"/>
                              <a:ext cx="6926" cy="166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Rectangle 30"/>
                          <wps:cNvSpPr>
                            <a:spLocks noChangeArrowheads="1"/>
                          </wps:cNvSpPr>
                          <wps:spPr bwMode="auto">
                            <a:xfrm>
                              <a:off x="2501" y="5317"/>
                              <a:ext cx="6926" cy="19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Rectangle 31"/>
                          <wps:cNvSpPr>
                            <a:spLocks noChangeArrowheads="1"/>
                          </wps:cNvSpPr>
                          <wps:spPr bwMode="auto">
                            <a:xfrm>
                              <a:off x="2501" y="3378"/>
                              <a:ext cx="6926" cy="18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Rectangle 32"/>
                          <wps:cNvSpPr>
                            <a:spLocks noChangeArrowheads="1"/>
                          </wps:cNvSpPr>
                          <wps:spPr bwMode="auto">
                            <a:xfrm>
                              <a:off x="2501" y="1161"/>
                              <a:ext cx="6926" cy="207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 name="Rectangle 33"/>
                          <wps:cNvSpPr>
                            <a:spLocks noChangeArrowheads="1"/>
                          </wps:cNvSpPr>
                          <wps:spPr bwMode="auto">
                            <a:xfrm>
                              <a:off x="2639" y="469"/>
                              <a:ext cx="6650" cy="415"/>
                            </a:xfrm>
                            <a:prstGeom prst="rect">
                              <a:avLst/>
                            </a:prstGeom>
                            <a:solidFill>
                              <a:srgbClr val="FFFFFF"/>
                            </a:solidFill>
                            <a:ln w="9525">
                              <a:solidFill>
                                <a:srgbClr val="000000"/>
                              </a:solidFill>
                              <a:miter lim="800000"/>
                              <a:headEnd/>
                              <a:tailEnd/>
                            </a:ln>
                          </wps:spPr>
                          <wps:txbx>
                            <w:txbxContent>
                              <w:p w:rsidR="00631A1C" w:rsidRPr="00CD65C9" w:rsidRDefault="00631A1C" w:rsidP="00307A06">
                                <w:pPr>
                                  <w:jc w:val="center"/>
                                  <w:rPr>
                                    <w:caps/>
                                  </w:rPr>
                                </w:pPr>
                                <w:r w:rsidRPr="00CD65C9">
                                  <w:rPr>
                                    <w:rStyle w:val="FontStyle15"/>
                                    <w:caps/>
                                    <w:sz w:val="28"/>
                                    <w:szCs w:val="28"/>
                                  </w:rPr>
                                  <w:t>Етапи класифікації кредитного портфеля банку</w:t>
                                </w:r>
                              </w:p>
                            </w:txbxContent>
                          </wps:txbx>
                          <wps:bodyPr rot="0" vert="horz" wrap="square" lIns="91440" tIns="45720" rIns="91440" bIns="45720" anchor="t" anchorCtr="0" upright="1">
                            <a:noAutofit/>
                          </wps:bodyPr>
                        </wps:wsp>
                        <wps:wsp>
                          <wps:cNvPr id="146" name="AutoShape 34"/>
                          <wps:cNvSpPr>
                            <a:spLocks noChangeArrowheads="1"/>
                          </wps:cNvSpPr>
                          <wps:spPr bwMode="auto">
                            <a:xfrm>
                              <a:off x="5825" y="884"/>
                              <a:ext cx="416" cy="416"/>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7" name="Rectangle 35"/>
                          <wps:cNvSpPr>
                            <a:spLocks noChangeArrowheads="1"/>
                          </wps:cNvSpPr>
                          <wps:spPr bwMode="auto">
                            <a:xfrm>
                              <a:off x="2778" y="1300"/>
                              <a:ext cx="6372" cy="415"/>
                            </a:xfrm>
                            <a:prstGeom prst="rect">
                              <a:avLst/>
                            </a:prstGeom>
                            <a:solidFill>
                              <a:srgbClr val="FFFFFF"/>
                            </a:solidFill>
                            <a:ln w="9525">
                              <a:solidFill>
                                <a:srgbClr val="000000"/>
                              </a:solidFill>
                              <a:miter lim="800000"/>
                              <a:headEnd/>
                              <a:tailEnd/>
                            </a:ln>
                          </wps:spPr>
                          <wps:txbx>
                            <w:txbxContent>
                              <w:p w:rsidR="00631A1C" w:rsidRPr="005C354C" w:rsidRDefault="00631A1C" w:rsidP="00307A06">
                                <w:pPr>
                                  <w:spacing w:line="240" w:lineRule="auto"/>
                                  <w:jc w:val="center"/>
                                  <w:rPr>
                                    <w:rFonts w:ascii="Times New Roman" w:hAnsi="Times New Roman" w:cs="Times New Roman"/>
                                    <w:b/>
                                    <w:sz w:val="28"/>
                                    <w:szCs w:val="28"/>
                                  </w:rPr>
                                </w:pPr>
                                <w:r w:rsidRPr="005C354C">
                                  <w:rPr>
                                    <w:rFonts w:ascii="Times New Roman" w:hAnsi="Times New Roman" w:cs="Times New Roman"/>
                                    <w:b/>
                                    <w:sz w:val="28"/>
                                    <w:szCs w:val="28"/>
                                  </w:rPr>
                                  <w:t>Етап 1. Оцінка кредитоспроможності позичальника</w:t>
                                </w:r>
                              </w:p>
                              <w:p w:rsidR="00631A1C" w:rsidRPr="00CD65C9" w:rsidRDefault="00631A1C" w:rsidP="00307A06">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148" name="AutoShape 36"/>
                          <wps:cNvCnPr>
                            <a:cxnSpLocks noChangeShapeType="1"/>
                          </wps:cNvCnPr>
                          <wps:spPr bwMode="auto">
                            <a:xfrm>
                              <a:off x="5964" y="1715"/>
                              <a:ext cx="1"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37"/>
                          <wps:cNvCnPr>
                            <a:cxnSpLocks noChangeShapeType="1"/>
                          </wps:cNvCnPr>
                          <wps:spPr bwMode="auto">
                            <a:xfrm>
                              <a:off x="3055" y="1854"/>
                              <a:ext cx="581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AutoShape 38"/>
                          <wps:cNvCnPr>
                            <a:cxnSpLocks noChangeShapeType="1"/>
                          </wps:cNvCnPr>
                          <wps:spPr bwMode="auto">
                            <a:xfrm>
                              <a:off x="3055" y="1855"/>
                              <a:ext cx="1"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AutoShape 39"/>
                          <wps:cNvCnPr>
                            <a:cxnSpLocks noChangeShapeType="1"/>
                          </wps:cNvCnPr>
                          <wps:spPr bwMode="auto">
                            <a:xfrm>
                              <a:off x="4440" y="1854"/>
                              <a:ext cx="2"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AutoShape 40"/>
                          <wps:cNvCnPr>
                            <a:cxnSpLocks noChangeShapeType="1"/>
                          </wps:cNvCnPr>
                          <wps:spPr bwMode="auto">
                            <a:xfrm>
                              <a:off x="7349" y="1855"/>
                              <a:ext cx="2" cy="1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AutoShape 41"/>
                          <wps:cNvCnPr>
                            <a:cxnSpLocks noChangeShapeType="1"/>
                          </wps:cNvCnPr>
                          <wps:spPr bwMode="auto">
                            <a:xfrm>
                              <a:off x="8872" y="1854"/>
                              <a:ext cx="1"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Rectangle 42"/>
                          <wps:cNvSpPr>
                            <a:spLocks noChangeArrowheads="1"/>
                          </wps:cNvSpPr>
                          <wps:spPr bwMode="auto">
                            <a:xfrm>
                              <a:off x="2639" y="1992"/>
                              <a:ext cx="1245" cy="970"/>
                            </a:xfrm>
                            <a:prstGeom prst="rect">
                              <a:avLst/>
                            </a:prstGeom>
                            <a:solidFill>
                              <a:srgbClr val="FFFFFF"/>
                            </a:solidFill>
                            <a:ln w="9525">
                              <a:solidFill>
                                <a:srgbClr val="000000"/>
                              </a:solidFill>
                              <a:miter lim="800000"/>
                              <a:headEnd/>
                              <a:tailEnd/>
                            </a:ln>
                          </wps:spPr>
                          <wps:txbx>
                            <w:txbxContent>
                              <w:p w:rsidR="00631A1C" w:rsidRPr="000B3777" w:rsidRDefault="00631A1C" w:rsidP="00307A06">
                                <w:pPr>
                                  <w:spacing w:line="240" w:lineRule="auto"/>
                                  <w:contextualSpacing/>
                                  <w:rPr>
                                    <w:sz w:val="28"/>
                                    <w:szCs w:val="28"/>
                                  </w:rPr>
                                </w:pPr>
                                <w:r w:rsidRPr="000B3777">
                                  <w:rPr>
                                    <w:rFonts w:ascii="Times New Roman" w:hAnsi="Times New Roman" w:cs="Times New Roman"/>
                                    <w:sz w:val="28"/>
                                    <w:szCs w:val="28"/>
                                  </w:rPr>
                                  <w:t>Показник</w:t>
                                </w:r>
                                <w:r>
                                  <w:rPr>
                                    <w:rFonts w:ascii="Times New Roman" w:hAnsi="Times New Roman" w:cs="Times New Roman"/>
                                    <w:sz w:val="28"/>
                                    <w:szCs w:val="28"/>
                                  </w:rPr>
                                  <w:t xml:space="preserve">и </w:t>
                                </w:r>
                                <w:r w:rsidRPr="000B3777">
                                  <w:rPr>
                                    <w:rFonts w:ascii="Times New Roman" w:hAnsi="Times New Roman" w:cs="Times New Roman"/>
                                    <w:sz w:val="28"/>
                                    <w:szCs w:val="28"/>
                                  </w:rPr>
                                  <w:t>ділової активності</w:t>
                                </w:r>
                              </w:p>
                            </w:txbxContent>
                          </wps:txbx>
                          <wps:bodyPr rot="0" vert="horz" wrap="square" lIns="91440" tIns="45720" rIns="91440" bIns="45720" anchor="t" anchorCtr="0" upright="1">
                            <a:noAutofit/>
                          </wps:bodyPr>
                        </wps:wsp>
                        <wps:wsp>
                          <wps:cNvPr id="155" name="Rectangle 43"/>
                          <wps:cNvSpPr>
                            <a:spLocks noChangeArrowheads="1"/>
                          </wps:cNvSpPr>
                          <wps:spPr bwMode="auto">
                            <a:xfrm>
                              <a:off x="3884" y="1992"/>
                              <a:ext cx="1387" cy="970"/>
                            </a:xfrm>
                            <a:prstGeom prst="rect">
                              <a:avLst/>
                            </a:prstGeom>
                            <a:solidFill>
                              <a:srgbClr val="FFFFFF"/>
                            </a:solidFill>
                            <a:ln w="9525">
                              <a:solidFill>
                                <a:srgbClr val="000000"/>
                              </a:solidFill>
                              <a:miter lim="800000"/>
                              <a:headEnd/>
                              <a:tailEnd/>
                            </a:ln>
                          </wps:spPr>
                          <wps:txbx>
                            <w:txbxContent>
                              <w:p w:rsidR="00631A1C" w:rsidRPr="000B3777" w:rsidRDefault="00631A1C" w:rsidP="00307A06">
                                <w:pPr>
                                  <w:rPr>
                                    <w:rFonts w:ascii="Times New Roman" w:hAnsi="Times New Roman" w:cs="Times New Roman"/>
                                    <w:sz w:val="28"/>
                                    <w:szCs w:val="28"/>
                                  </w:rPr>
                                </w:pPr>
                                <w:r w:rsidRPr="000B3777">
                                  <w:rPr>
                                    <w:rFonts w:ascii="Times New Roman" w:hAnsi="Times New Roman" w:cs="Times New Roman"/>
                                    <w:sz w:val="28"/>
                                    <w:szCs w:val="28"/>
                                  </w:rPr>
                                  <w:t xml:space="preserve">Показники </w:t>
                                </w:r>
                                <w:proofErr w:type="spellStart"/>
                                <w:r w:rsidRPr="000B3777">
                                  <w:rPr>
                                    <w:rFonts w:ascii="Times New Roman" w:hAnsi="Times New Roman" w:cs="Times New Roman"/>
                                    <w:sz w:val="28"/>
                                    <w:szCs w:val="28"/>
                                  </w:rPr>
                                  <w:t>платоспро</w:t>
                                </w:r>
                                <w:r>
                                  <w:rPr>
                                    <w:rFonts w:ascii="Times New Roman" w:hAnsi="Times New Roman" w:cs="Times New Roman"/>
                                    <w:sz w:val="28"/>
                                    <w:szCs w:val="28"/>
                                  </w:rPr>
                                  <w:t>-</w:t>
                                </w:r>
                                <w:r w:rsidRPr="000B3777">
                                  <w:rPr>
                                    <w:rFonts w:ascii="Times New Roman" w:hAnsi="Times New Roman" w:cs="Times New Roman"/>
                                    <w:sz w:val="28"/>
                                    <w:szCs w:val="28"/>
                                  </w:rPr>
                                  <w:t>можності</w:t>
                                </w:r>
                                <w:proofErr w:type="spellEnd"/>
                              </w:p>
                            </w:txbxContent>
                          </wps:txbx>
                          <wps:bodyPr rot="0" vert="horz" wrap="square" lIns="91440" tIns="45720" rIns="91440" bIns="45720" anchor="t" anchorCtr="0" upright="1">
                            <a:noAutofit/>
                          </wps:bodyPr>
                        </wps:wsp>
                        <wps:wsp>
                          <wps:cNvPr id="156" name="Rectangle 44"/>
                          <wps:cNvSpPr>
                            <a:spLocks noChangeArrowheads="1"/>
                          </wps:cNvSpPr>
                          <wps:spPr bwMode="auto">
                            <a:xfrm>
                              <a:off x="5133" y="1992"/>
                              <a:ext cx="1247" cy="970"/>
                            </a:xfrm>
                            <a:prstGeom prst="rect">
                              <a:avLst/>
                            </a:prstGeom>
                            <a:solidFill>
                              <a:srgbClr val="FFFFFF"/>
                            </a:solidFill>
                            <a:ln w="9525">
                              <a:solidFill>
                                <a:srgbClr val="000000"/>
                              </a:solidFill>
                              <a:miter lim="800000"/>
                              <a:headEnd/>
                              <a:tailEnd/>
                            </a:ln>
                          </wps:spPr>
                          <wps:txbx>
                            <w:txbxContent>
                              <w:p w:rsidR="00631A1C" w:rsidRPr="000B3777" w:rsidRDefault="00631A1C" w:rsidP="00307A06">
                                <w:pPr>
                                  <w:spacing w:line="240" w:lineRule="auto"/>
                                  <w:contextualSpacing/>
                                  <w:rPr>
                                    <w:rFonts w:ascii="Times New Roman" w:hAnsi="Times New Roman" w:cs="Times New Roman"/>
                                    <w:sz w:val="28"/>
                                    <w:szCs w:val="28"/>
                                  </w:rPr>
                                </w:pPr>
                                <w:r w:rsidRPr="000B3777">
                                  <w:rPr>
                                    <w:rFonts w:ascii="Times New Roman" w:hAnsi="Times New Roman" w:cs="Times New Roman"/>
                                    <w:sz w:val="28"/>
                                    <w:szCs w:val="28"/>
                                  </w:rPr>
                                  <w:t>Показники фінансової стійкості</w:t>
                                </w:r>
                              </w:p>
                            </w:txbxContent>
                          </wps:txbx>
                          <wps:bodyPr rot="0" vert="horz" wrap="square" lIns="91440" tIns="45720" rIns="91440" bIns="45720" anchor="t" anchorCtr="0" upright="1">
                            <a:noAutofit/>
                          </wps:bodyPr>
                        </wps:wsp>
                        <wps:wsp>
                          <wps:cNvPr id="157" name="Rectangle 45"/>
                          <wps:cNvSpPr>
                            <a:spLocks noChangeArrowheads="1"/>
                          </wps:cNvSpPr>
                          <wps:spPr bwMode="auto">
                            <a:xfrm>
                              <a:off x="6380" y="1992"/>
                              <a:ext cx="1662" cy="970"/>
                            </a:xfrm>
                            <a:prstGeom prst="rect">
                              <a:avLst/>
                            </a:prstGeom>
                            <a:solidFill>
                              <a:srgbClr val="FFFFFF"/>
                            </a:solidFill>
                            <a:ln w="9525">
                              <a:solidFill>
                                <a:srgbClr val="000000"/>
                              </a:solidFill>
                              <a:miter lim="800000"/>
                              <a:headEnd/>
                              <a:tailEnd/>
                            </a:ln>
                          </wps:spPr>
                          <wps:txbx>
                            <w:txbxContent>
                              <w:p w:rsidR="00631A1C" w:rsidRPr="000B3777" w:rsidRDefault="00631A1C" w:rsidP="00307A06">
                                <w:pPr>
                                  <w:spacing w:line="240" w:lineRule="auto"/>
                                  <w:contextualSpacing/>
                                  <w:rPr>
                                    <w:rFonts w:ascii="Times New Roman" w:hAnsi="Times New Roman" w:cs="Times New Roman"/>
                                    <w:sz w:val="28"/>
                                    <w:szCs w:val="28"/>
                                  </w:rPr>
                                </w:pPr>
                                <w:r w:rsidRPr="000B3777">
                                  <w:rPr>
                                    <w:rFonts w:ascii="Times New Roman" w:hAnsi="Times New Roman" w:cs="Times New Roman"/>
                                    <w:sz w:val="28"/>
                                    <w:szCs w:val="28"/>
                                  </w:rPr>
                                  <w:t>Показники рентабельності</w:t>
                                </w:r>
                              </w:p>
                            </w:txbxContent>
                          </wps:txbx>
                          <wps:bodyPr rot="0" vert="horz" wrap="square" lIns="91440" tIns="45720" rIns="91440" bIns="45720" anchor="t" anchorCtr="0" upright="1">
                            <a:noAutofit/>
                          </wps:bodyPr>
                        </wps:wsp>
                        <wps:wsp>
                          <wps:cNvPr id="158" name="Rectangle 46"/>
                          <wps:cNvSpPr>
                            <a:spLocks noChangeArrowheads="1"/>
                          </wps:cNvSpPr>
                          <wps:spPr bwMode="auto">
                            <a:xfrm>
                              <a:off x="8042" y="1992"/>
                              <a:ext cx="1247" cy="970"/>
                            </a:xfrm>
                            <a:prstGeom prst="rect">
                              <a:avLst/>
                            </a:prstGeom>
                            <a:solidFill>
                              <a:srgbClr val="FFFFFF"/>
                            </a:solidFill>
                            <a:ln w="9525">
                              <a:solidFill>
                                <a:srgbClr val="000000"/>
                              </a:solidFill>
                              <a:miter lim="800000"/>
                              <a:headEnd/>
                              <a:tailEnd/>
                            </a:ln>
                          </wps:spPr>
                          <wps:txbx>
                            <w:txbxContent>
                              <w:p w:rsidR="00631A1C" w:rsidRPr="000B3777" w:rsidRDefault="00631A1C" w:rsidP="00307A06">
                                <w:pPr>
                                  <w:spacing w:line="240" w:lineRule="auto"/>
                                  <w:contextualSpacing/>
                                  <w:rPr>
                                    <w:rFonts w:ascii="Times New Roman" w:hAnsi="Times New Roman" w:cs="Times New Roman"/>
                                    <w:sz w:val="28"/>
                                    <w:szCs w:val="28"/>
                                  </w:rPr>
                                </w:pPr>
                                <w:r w:rsidRPr="000B3777">
                                  <w:rPr>
                                    <w:rFonts w:ascii="Times New Roman" w:hAnsi="Times New Roman" w:cs="Times New Roman"/>
                                    <w:sz w:val="28"/>
                                    <w:szCs w:val="28"/>
                                  </w:rPr>
                                  <w:t>Кредитна історія</w:t>
                                </w:r>
                              </w:p>
                            </w:txbxContent>
                          </wps:txbx>
                          <wps:bodyPr rot="0" vert="horz" wrap="square" lIns="91440" tIns="45720" rIns="91440" bIns="45720" anchor="t" anchorCtr="0" upright="1">
                            <a:noAutofit/>
                          </wps:bodyPr>
                        </wps:wsp>
                        <wps:wsp>
                          <wps:cNvPr id="159" name="AutoShape 47"/>
                          <wps:cNvCnPr>
                            <a:cxnSpLocks noChangeShapeType="1"/>
                          </wps:cNvCnPr>
                          <wps:spPr bwMode="auto">
                            <a:xfrm>
                              <a:off x="3056" y="3101"/>
                              <a:ext cx="58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48"/>
                          <wps:cNvCnPr>
                            <a:cxnSpLocks noChangeShapeType="1"/>
                          </wps:cNvCnPr>
                          <wps:spPr bwMode="auto">
                            <a:xfrm>
                              <a:off x="3056" y="2965"/>
                              <a:ext cx="1" cy="1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AutoShape 49"/>
                          <wps:cNvCnPr>
                            <a:cxnSpLocks noChangeShapeType="1"/>
                          </wps:cNvCnPr>
                          <wps:spPr bwMode="auto">
                            <a:xfrm>
                              <a:off x="4442" y="2962"/>
                              <a:ext cx="1" cy="1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50"/>
                          <wps:cNvCnPr>
                            <a:cxnSpLocks noChangeShapeType="1"/>
                          </wps:cNvCnPr>
                          <wps:spPr bwMode="auto">
                            <a:xfrm>
                              <a:off x="5965" y="2965"/>
                              <a:ext cx="1" cy="1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AutoShape 51"/>
                          <wps:cNvCnPr>
                            <a:cxnSpLocks noChangeShapeType="1"/>
                          </wps:cNvCnPr>
                          <wps:spPr bwMode="auto">
                            <a:xfrm>
                              <a:off x="7351" y="2965"/>
                              <a:ext cx="1" cy="1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AutoShape 52"/>
                          <wps:cNvCnPr>
                            <a:cxnSpLocks noChangeShapeType="1"/>
                          </wps:cNvCnPr>
                          <wps:spPr bwMode="auto">
                            <a:xfrm>
                              <a:off x="8872" y="2965"/>
                              <a:ext cx="1" cy="1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53"/>
                          <wps:cNvSpPr>
                            <a:spLocks noChangeArrowheads="1"/>
                          </wps:cNvSpPr>
                          <wps:spPr bwMode="auto">
                            <a:xfrm>
                              <a:off x="5825" y="3099"/>
                              <a:ext cx="416" cy="4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 name="Rectangle 54"/>
                          <wps:cNvSpPr>
                            <a:spLocks noChangeArrowheads="1"/>
                          </wps:cNvSpPr>
                          <wps:spPr bwMode="auto">
                            <a:xfrm>
                              <a:off x="2778" y="3514"/>
                              <a:ext cx="6372" cy="695"/>
                            </a:xfrm>
                            <a:prstGeom prst="rect">
                              <a:avLst/>
                            </a:prstGeom>
                            <a:solidFill>
                              <a:srgbClr val="FFFFFF"/>
                            </a:solidFill>
                            <a:ln w="9525">
                              <a:solidFill>
                                <a:srgbClr val="000000"/>
                              </a:solidFill>
                              <a:miter lim="800000"/>
                              <a:headEnd/>
                              <a:tailEnd/>
                            </a:ln>
                          </wps:spPr>
                          <wps:txbx>
                            <w:txbxContent>
                              <w:p w:rsidR="00631A1C" w:rsidRPr="000B4BA5" w:rsidRDefault="00631A1C" w:rsidP="00307A06">
                                <w:pPr>
                                  <w:spacing w:line="240" w:lineRule="auto"/>
                                  <w:jc w:val="center"/>
                                  <w:rPr>
                                    <w:rFonts w:ascii="Times New Roman" w:hAnsi="Times New Roman" w:cs="Times New Roman"/>
                                    <w:b/>
                                    <w:sz w:val="28"/>
                                    <w:szCs w:val="28"/>
                                  </w:rPr>
                                </w:pPr>
                                <w:r w:rsidRPr="000B4BA5">
                                  <w:rPr>
                                    <w:rFonts w:ascii="Times New Roman" w:hAnsi="Times New Roman" w:cs="Times New Roman"/>
                                    <w:b/>
                                    <w:sz w:val="28"/>
                                    <w:szCs w:val="28"/>
                                  </w:rPr>
                                  <w:t>Етап 2. Класифікація позичальників за результатами оцінки кредитоспроможності</w:t>
                                </w:r>
                              </w:p>
                            </w:txbxContent>
                          </wps:txbx>
                          <wps:bodyPr rot="0" vert="horz" wrap="square" lIns="91440" tIns="45720" rIns="91440" bIns="45720" anchor="t" anchorCtr="0" upright="1">
                            <a:noAutofit/>
                          </wps:bodyPr>
                        </wps:wsp>
                        <wps:wsp>
                          <wps:cNvPr id="167" name="AutoShape 55"/>
                          <wps:cNvCnPr>
                            <a:cxnSpLocks noChangeShapeType="1"/>
                          </wps:cNvCnPr>
                          <wps:spPr bwMode="auto">
                            <a:xfrm>
                              <a:off x="3193" y="4348"/>
                              <a:ext cx="581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56"/>
                          <wps:cNvCnPr>
                            <a:cxnSpLocks noChangeShapeType="1"/>
                          </wps:cNvCnPr>
                          <wps:spPr bwMode="auto">
                            <a:xfrm>
                              <a:off x="6102" y="4209"/>
                              <a:ext cx="1" cy="2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AutoShape 57"/>
                          <wps:cNvCnPr>
                            <a:cxnSpLocks noChangeShapeType="1"/>
                          </wps:cNvCnPr>
                          <wps:spPr bwMode="auto">
                            <a:xfrm>
                              <a:off x="3193" y="4349"/>
                              <a:ext cx="1"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AutoShape 58"/>
                          <wps:cNvCnPr>
                            <a:cxnSpLocks noChangeShapeType="1"/>
                          </wps:cNvCnPr>
                          <wps:spPr bwMode="auto">
                            <a:xfrm>
                              <a:off x="4579" y="4350"/>
                              <a:ext cx="1"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AutoShape 59"/>
                          <wps:cNvCnPr>
                            <a:cxnSpLocks noChangeShapeType="1"/>
                          </wps:cNvCnPr>
                          <wps:spPr bwMode="auto">
                            <a:xfrm>
                              <a:off x="7488" y="4350"/>
                              <a:ext cx="1"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AutoShape 60"/>
                          <wps:cNvCnPr>
                            <a:cxnSpLocks noChangeShapeType="1"/>
                          </wps:cNvCnPr>
                          <wps:spPr bwMode="auto">
                            <a:xfrm>
                              <a:off x="9010" y="4350"/>
                              <a:ext cx="2"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Rectangle 61"/>
                          <wps:cNvSpPr>
                            <a:spLocks noChangeArrowheads="1"/>
                          </wps:cNvSpPr>
                          <wps:spPr bwMode="auto">
                            <a:xfrm>
                              <a:off x="2639" y="4488"/>
                              <a:ext cx="1385" cy="552"/>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«А»</w:t>
                                </w:r>
                              </w:p>
                            </w:txbxContent>
                          </wps:txbx>
                          <wps:bodyPr rot="0" vert="horz" wrap="square" lIns="91440" tIns="45720" rIns="91440" bIns="45720" anchor="t" anchorCtr="0" upright="1">
                            <a:noAutofit/>
                          </wps:bodyPr>
                        </wps:wsp>
                        <wps:wsp>
                          <wps:cNvPr id="174" name="Rectangle 62"/>
                          <wps:cNvSpPr>
                            <a:spLocks noChangeArrowheads="1"/>
                          </wps:cNvSpPr>
                          <wps:spPr bwMode="auto">
                            <a:xfrm>
                              <a:off x="4024" y="4488"/>
                              <a:ext cx="1386" cy="552"/>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«Б»</w:t>
                                </w:r>
                              </w:p>
                            </w:txbxContent>
                          </wps:txbx>
                          <wps:bodyPr rot="0" vert="horz" wrap="square" lIns="91440" tIns="45720" rIns="91440" bIns="45720" anchor="t" anchorCtr="0" upright="1">
                            <a:noAutofit/>
                          </wps:bodyPr>
                        </wps:wsp>
                        <wps:wsp>
                          <wps:cNvPr id="175" name="Rectangle 63"/>
                          <wps:cNvSpPr>
                            <a:spLocks noChangeArrowheads="1"/>
                          </wps:cNvSpPr>
                          <wps:spPr bwMode="auto">
                            <a:xfrm>
                              <a:off x="5410" y="4489"/>
                              <a:ext cx="1247" cy="551"/>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«В»</w:t>
                                </w:r>
                              </w:p>
                            </w:txbxContent>
                          </wps:txbx>
                          <wps:bodyPr rot="0" vert="horz" wrap="square" lIns="91440" tIns="45720" rIns="91440" bIns="45720" anchor="t" anchorCtr="0" upright="1">
                            <a:noAutofit/>
                          </wps:bodyPr>
                        </wps:wsp>
                        <wps:wsp>
                          <wps:cNvPr id="176" name="Rectangle 64"/>
                          <wps:cNvSpPr>
                            <a:spLocks noChangeArrowheads="1"/>
                          </wps:cNvSpPr>
                          <wps:spPr bwMode="auto">
                            <a:xfrm>
                              <a:off x="6657" y="4489"/>
                              <a:ext cx="1385" cy="551"/>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«Г»</w:t>
                                </w:r>
                              </w:p>
                            </w:txbxContent>
                          </wps:txbx>
                          <wps:bodyPr rot="0" vert="horz" wrap="square" lIns="91440" tIns="45720" rIns="91440" bIns="45720" anchor="t" anchorCtr="0" upright="1">
                            <a:noAutofit/>
                          </wps:bodyPr>
                        </wps:wsp>
                        <wps:wsp>
                          <wps:cNvPr id="177" name="Rectangle 65"/>
                          <wps:cNvSpPr>
                            <a:spLocks noChangeArrowheads="1"/>
                          </wps:cNvSpPr>
                          <wps:spPr bwMode="auto">
                            <a:xfrm>
                              <a:off x="8042" y="4489"/>
                              <a:ext cx="1247" cy="551"/>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«Д»</w:t>
                                </w:r>
                              </w:p>
                            </w:txbxContent>
                          </wps:txbx>
                          <wps:bodyPr rot="0" vert="horz" wrap="square" lIns="91440" tIns="45720" rIns="91440" bIns="45720" anchor="t" anchorCtr="0" upright="1">
                            <a:noAutofit/>
                          </wps:bodyPr>
                        </wps:wsp>
                        <wps:wsp>
                          <wps:cNvPr id="178" name="AutoShape 66"/>
                          <wps:cNvSpPr>
                            <a:spLocks noChangeArrowheads="1"/>
                          </wps:cNvSpPr>
                          <wps:spPr bwMode="auto">
                            <a:xfrm>
                              <a:off x="5825" y="5040"/>
                              <a:ext cx="416" cy="4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Rectangle 67"/>
                          <wps:cNvSpPr>
                            <a:spLocks noChangeArrowheads="1"/>
                          </wps:cNvSpPr>
                          <wps:spPr bwMode="auto">
                            <a:xfrm>
                              <a:off x="2778" y="5456"/>
                              <a:ext cx="6372" cy="693"/>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contextualSpacing/>
                                  <w:jc w:val="center"/>
                                  <w:rPr>
                                    <w:rFonts w:ascii="Times New Roman" w:hAnsi="Times New Roman" w:cs="Times New Roman"/>
                                    <w:b/>
                                    <w:sz w:val="28"/>
                                    <w:szCs w:val="28"/>
                                  </w:rPr>
                                </w:pPr>
                                <w:r w:rsidRPr="00FC4B39">
                                  <w:rPr>
                                    <w:rFonts w:ascii="Times New Roman" w:hAnsi="Times New Roman" w:cs="Times New Roman"/>
                                    <w:b/>
                                    <w:sz w:val="28"/>
                                    <w:szCs w:val="28"/>
                                  </w:rPr>
                                  <w:t>Етап 3. Оцінка стану обслуговування позичальником заборгованості за кредитом</w:t>
                                </w:r>
                              </w:p>
                            </w:txbxContent>
                          </wps:txbx>
                          <wps:bodyPr rot="0" vert="horz" wrap="square" lIns="91440" tIns="45720" rIns="91440" bIns="45720" anchor="t" anchorCtr="0" upright="1">
                            <a:noAutofit/>
                          </wps:bodyPr>
                        </wps:wsp>
                        <wps:wsp>
                          <wps:cNvPr id="180" name="AutoShape 68"/>
                          <wps:cNvCnPr>
                            <a:cxnSpLocks noChangeShapeType="1"/>
                          </wps:cNvCnPr>
                          <wps:spPr bwMode="auto">
                            <a:xfrm>
                              <a:off x="4163" y="6287"/>
                              <a:ext cx="360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AutoShape 69"/>
                          <wps:cNvCnPr>
                            <a:cxnSpLocks noChangeShapeType="1"/>
                          </wps:cNvCnPr>
                          <wps:spPr bwMode="auto">
                            <a:xfrm>
                              <a:off x="6102" y="6149"/>
                              <a:ext cx="1"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70"/>
                          <wps:cNvCnPr>
                            <a:cxnSpLocks noChangeShapeType="1"/>
                          </wps:cNvCnPr>
                          <wps:spPr bwMode="auto">
                            <a:xfrm>
                              <a:off x="4161" y="6288"/>
                              <a:ext cx="2"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AutoShape 71"/>
                          <wps:cNvCnPr>
                            <a:cxnSpLocks noChangeShapeType="1"/>
                          </wps:cNvCnPr>
                          <wps:spPr bwMode="auto">
                            <a:xfrm>
                              <a:off x="7764" y="6288"/>
                              <a:ext cx="2" cy="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Rectangle 72"/>
                          <wps:cNvSpPr>
                            <a:spLocks noChangeArrowheads="1"/>
                          </wps:cNvSpPr>
                          <wps:spPr bwMode="auto">
                            <a:xfrm>
                              <a:off x="2639" y="6427"/>
                              <a:ext cx="2494" cy="691"/>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Обслуговування боргу «добре»</w:t>
                                </w:r>
                              </w:p>
                            </w:txbxContent>
                          </wps:txbx>
                          <wps:bodyPr rot="0" vert="horz" wrap="square" lIns="91440" tIns="45720" rIns="91440" bIns="45720" anchor="t" anchorCtr="0" upright="1">
                            <a:noAutofit/>
                          </wps:bodyPr>
                        </wps:wsp>
                        <wps:wsp>
                          <wps:cNvPr id="185" name="Rectangle 73"/>
                          <wps:cNvSpPr>
                            <a:spLocks noChangeArrowheads="1"/>
                          </wps:cNvSpPr>
                          <wps:spPr bwMode="auto">
                            <a:xfrm>
                              <a:off x="5133" y="6426"/>
                              <a:ext cx="1939" cy="692"/>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Обслуговування боргу «слабке»</w:t>
                                </w:r>
                              </w:p>
                            </w:txbxContent>
                          </wps:txbx>
                          <wps:bodyPr rot="0" vert="horz" wrap="square" lIns="91440" tIns="45720" rIns="91440" bIns="45720" anchor="t" anchorCtr="0" upright="1">
                            <a:noAutofit/>
                          </wps:bodyPr>
                        </wps:wsp>
                        <wps:wsp>
                          <wps:cNvPr id="186" name="Rectangle 74"/>
                          <wps:cNvSpPr>
                            <a:spLocks noChangeArrowheads="1"/>
                          </wps:cNvSpPr>
                          <wps:spPr bwMode="auto">
                            <a:xfrm>
                              <a:off x="7072" y="6427"/>
                              <a:ext cx="2217" cy="691"/>
                            </a:xfrm>
                            <a:prstGeom prst="rect">
                              <a:avLst/>
                            </a:prstGeom>
                            <a:solidFill>
                              <a:srgbClr val="FFFFFF"/>
                            </a:solidFill>
                            <a:ln w="9525">
                              <a:solidFill>
                                <a:srgbClr val="000000"/>
                              </a:solidFill>
                              <a:miter lim="800000"/>
                              <a:headEnd/>
                              <a:tailEnd/>
                            </a:ln>
                          </wps:spPr>
                          <wps:txb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Обслуговування боргу «незадовільне»</w:t>
                                </w:r>
                              </w:p>
                            </w:txbxContent>
                          </wps:txbx>
                          <wps:bodyPr rot="0" vert="horz" wrap="square" lIns="91440" tIns="45720" rIns="91440" bIns="45720" anchor="t" anchorCtr="0" upright="1">
                            <a:noAutofit/>
                          </wps:bodyPr>
                        </wps:wsp>
                        <wps:wsp>
                          <wps:cNvPr id="187" name="AutoShape 75"/>
                          <wps:cNvSpPr>
                            <a:spLocks noChangeArrowheads="1"/>
                          </wps:cNvSpPr>
                          <wps:spPr bwMode="auto">
                            <a:xfrm>
                              <a:off x="5964" y="7118"/>
                              <a:ext cx="416" cy="4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 name="Rectangle 76"/>
                          <wps:cNvSpPr>
                            <a:spLocks noChangeArrowheads="1"/>
                          </wps:cNvSpPr>
                          <wps:spPr bwMode="auto">
                            <a:xfrm>
                              <a:off x="2778" y="7534"/>
                              <a:ext cx="6372" cy="415"/>
                            </a:xfrm>
                            <a:prstGeom prst="rect">
                              <a:avLst/>
                            </a:prstGeom>
                            <a:solidFill>
                              <a:srgbClr val="FFFFFF"/>
                            </a:solidFill>
                            <a:ln w="9525">
                              <a:solidFill>
                                <a:srgbClr val="000000"/>
                              </a:solidFill>
                              <a:miter lim="800000"/>
                              <a:headEnd/>
                              <a:tailEnd/>
                            </a:ln>
                          </wps:spPr>
                          <wps:txbx>
                            <w:txbxContent>
                              <w:p w:rsidR="00631A1C" w:rsidRPr="00785BBE" w:rsidRDefault="00631A1C" w:rsidP="00307A06">
                                <w:pPr>
                                  <w:spacing w:line="240" w:lineRule="auto"/>
                                  <w:jc w:val="center"/>
                                  <w:rPr>
                                    <w:rFonts w:ascii="Times New Roman" w:hAnsi="Times New Roman" w:cs="Times New Roman"/>
                                    <w:b/>
                                    <w:sz w:val="28"/>
                                    <w:szCs w:val="28"/>
                                  </w:rPr>
                                </w:pPr>
                                <w:r w:rsidRPr="00785BBE">
                                  <w:rPr>
                                    <w:rFonts w:ascii="Times New Roman" w:hAnsi="Times New Roman" w:cs="Times New Roman"/>
                                    <w:b/>
                                    <w:sz w:val="28"/>
                                    <w:szCs w:val="28"/>
                                  </w:rPr>
                                  <w:t>Етап 4. Визначення категорії кредитної операції</w:t>
                                </w:r>
                              </w:p>
                            </w:txbxContent>
                          </wps:txbx>
                          <wps:bodyPr rot="0" vert="horz" wrap="square" lIns="91440" tIns="45720" rIns="91440" bIns="45720" anchor="t" anchorCtr="0" upright="1">
                            <a:noAutofit/>
                          </wps:bodyPr>
                        </wps:wsp>
                        <wps:wsp>
                          <wps:cNvPr id="189" name="AutoShape 77"/>
                          <wps:cNvCnPr>
                            <a:cxnSpLocks noChangeShapeType="1"/>
                          </wps:cNvCnPr>
                          <wps:spPr bwMode="auto">
                            <a:xfrm>
                              <a:off x="3193" y="8088"/>
                              <a:ext cx="581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AutoShape 78"/>
                          <wps:cNvCnPr>
                            <a:cxnSpLocks noChangeShapeType="1"/>
                          </wps:cNvCnPr>
                          <wps:spPr bwMode="auto">
                            <a:xfrm>
                              <a:off x="6103" y="7950"/>
                              <a:ext cx="1"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AutoShape 79"/>
                          <wps:cNvCnPr>
                            <a:cxnSpLocks noChangeShapeType="1"/>
                          </wps:cNvCnPr>
                          <wps:spPr bwMode="auto">
                            <a:xfrm>
                              <a:off x="3192" y="8088"/>
                              <a:ext cx="1"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AutoShape 80"/>
                          <wps:cNvCnPr>
                            <a:cxnSpLocks noChangeShapeType="1"/>
                          </wps:cNvCnPr>
                          <wps:spPr bwMode="auto">
                            <a:xfrm>
                              <a:off x="4717" y="8088"/>
                              <a:ext cx="2"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AutoShape 81"/>
                          <wps:cNvCnPr>
                            <a:cxnSpLocks noChangeShapeType="1"/>
                          </wps:cNvCnPr>
                          <wps:spPr bwMode="auto">
                            <a:xfrm>
                              <a:off x="7625" y="8088"/>
                              <a:ext cx="1"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AutoShape 82"/>
                          <wps:cNvCnPr>
                            <a:cxnSpLocks noChangeShapeType="1"/>
                          </wps:cNvCnPr>
                          <wps:spPr bwMode="auto">
                            <a:xfrm>
                              <a:off x="9007" y="8088"/>
                              <a:ext cx="2" cy="1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Rectangle 83"/>
                          <wps:cNvSpPr>
                            <a:spLocks noChangeArrowheads="1"/>
                          </wps:cNvSpPr>
                          <wps:spPr bwMode="auto">
                            <a:xfrm>
                              <a:off x="2639" y="8227"/>
                              <a:ext cx="1385" cy="692"/>
                            </a:xfrm>
                            <a:prstGeom prst="rect">
                              <a:avLst/>
                            </a:prstGeom>
                            <a:solidFill>
                              <a:srgbClr val="FFFFFF"/>
                            </a:solidFill>
                            <a:ln w="9525">
                              <a:solidFill>
                                <a:srgbClr val="000000"/>
                              </a:solidFill>
                              <a:miter lim="800000"/>
                              <a:headEnd/>
                              <a:tailEnd/>
                            </a:ln>
                          </wps:spPr>
                          <wps:txb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Стандартна</w:t>
                                </w:r>
                              </w:p>
                            </w:txbxContent>
                          </wps:txbx>
                          <wps:bodyPr rot="0" vert="horz" wrap="square" lIns="91440" tIns="45720" rIns="91440" bIns="45720" anchor="t" anchorCtr="0" upright="1">
                            <a:noAutofit/>
                          </wps:bodyPr>
                        </wps:wsp>
                        <wps:wsp>
                          <wps:cNvPr id="196" name="Rectangle 84"/>
                          <wps:cNvSpPr>
                            <a:spLocks noChangeArrowheads="1"/>
                          </wps:cNvSpPr>
                          <wps:spPr bwMode="auto">
                            <a:xfrm>
                              <a:off x="4024" y="8227"/>
                              <a:ext cx="1386" cy="692"/>
                            </a:xfrm>
                            <a:prstGeom prst="rect">
                              <a:avLst/>
                            </a:prstGeom>
                            <a:solidFill>
                              <a:srgbClr val="FFFFFF"/>
                            </a:solidFill>
                            <a:ln w="9525">
                              <a:solidFill>
                                <a:srgbClr val="000000"/>
                              </a:solidFill>
                              <a:miter lim="800000"/>
                              <a:headEnd/>
                              <a:tailEnd/>
                            </a:ln>
                          </wps:spPr>
                          <wps:txb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Під контролем</w:t>
                                </w:r>
                              </w:p>
                            </w:txbxContent>
                          </wps:txbx>
                          <wps:bodyPr rot="0" vert="horz" wrap="square" lIns="91440" tIns="45720" rIns="91440" bIns="45720" anchor="t" anchorCtr="0" upright="1">
                            <a:noAutofit/>
                          </wps:bodyPr>
                        </wps:wsp>
                        <wps:wsp>
                          <wps:cNvPr id="197" name="Rectangle 85"/>
                          <wps:cNvSpPr>
                            <a:spLocks noChangeArrowheads="1"/>
                          </wps:cNvSpPr>
                          <wps:spPr bwMode="auto">
                            <a:xfrm>
                              <a:off x="5410" y="8227"/>
                              <a:ext cx="1385" cy="692"/>
                            </a:xfrm>
                            <a:prstGeom prst="rect">
                              <a:avLst/>
                            </a:prstGeom>
                            <a:solidFill>
                              <a:srgbClr val="FFFFFF"/>
                            </a:solidFill>
                            <a:ln w="9525">
                              <a:solidFill>
                                <a:srgbClr val="000000"/>
                              </a:solidFill>
                              <a:miter lim="800000"/>
                              <a:headEnd/>
                              <a:tailEnd/>
                            </a:ln>
                          </wps:spPr>
                          <wps:txbx>
                            <w:txbxContent>
                              <w:p w:rsidR="00631A1C" w:rsidRPr="00785BBE" w:rsidRDefault="00631A1C" w:rsidP="00307A06">
                                <w:pPr>
                                  <w:spacing w:line="240" w:lineRule="auto"/>
                                  <w:jc w:val="center"/>
                                  <w:rPr>
                                    <w:rFonts w:ascii="Times New Roman" w:hAnsi="Times New Roman" w:cs="Times New Roman"/>
                                    <w:sz w:val="28"/>
                                    <w:szCs w:val="28"/>
                                  </w:rPr>
                                </w:pPr>
                                <w:proofErr w:type="spellStart"/>
                                <w:r w:rsidRPr="00785BBE">
                                  <w:rPr>
                                    <w:rFonts w:ascii="Times New Roman" w:hAnsi="Times New Roman" w:cs="Times New Roman"/>
                                    <w:sz w:val="28"/>
                                    <w:szCs w:val="28"/>
                                  </w:rPr>
                                  <w:t>Субстандар</w:t>
                                </w:r>
                                <w:r>
                                  <w:rPr>
                                    <w:rFonts w:ascii="Times New Roman" w:hAnsi="Times New Roman" w:cs="Times New Roman"/>
                                    <w:sz w:val="28"/>
                                    <w:szCs w:val="28"/>
                                  </w:rPr>
                                  <w:t>-</w:t>
                                </w:r>
                                <w:r w:rsidRPr="00785BBE">
                                  <w:rPr>
                                    <w:rFonts w:ascii="Times New Roman" w:hAnsi="Times New Roman" w:cs="Times New Roman"/>
                                    <w:sz w:val="28"/>
                                    <w:szCs w:val="28"/>
                                  </w:rPr>
                                  <w:t>тна</w:t>
                                </w:r>
                                <w:proofErr w:type="spellEnd"/>
                              </w:p>
                            </w:txbxContent>
                          </wps:txbx>
                          <wps:bodyPr rot="0" vert="horz" wrap="square" lIns="91440" tIns="45720" rIns="91440" bIns="45720" anchor="t" anchorCtr="0" upright="1">
                            <a:noAutofit/>
                          </wps:bodyPr>
                        </wps:wsp>
                        <wps:wsp>
                          <wps:cNvPr id="198" name="Rectangle 86"/>
                          <wps:cNvSpPr>
                            <a:spLocks noChangeArrowheads="1"/>
                          </wps:cNvSpPr>
                          <wps:spPr bwMode="auto">
                            <a:xfrm>
                              <a:off x="6795" y="8227"/>
                              <a:ext cx="1247" cy="692"/>
                            </a:xfrm>
                            <a:prstGeom prst="rect">
                              <a:avLst/>
                            </a:prstGeom>
                            <a:solidFill>
                              <a:srgbClr val="FFFFFF"/>
                            </a:solidFill>
                            <a:ln w="9525">
                              <a:solidFill>
                                <a:srgbClr val="000000"/>
                              </a:solidFill>
                              <a:miter lim="800000"/>
                              <a:headEnd/>
                              <a:tailEnd/>
                            </a:ln>
                          </wps:spPr>
                          <wps:txb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Сумнівна</w:t>
                                </w:r>
                              </w:p>
                            </w:txbxContent>
                          </wps:txbx>
                          <wps:bodyPr rot="0" vert="horz" wrap="square" lIns="91440" tIns="45720" rIns="91440" bIns="45720" anchor="t" anchorCtr="0" upright="1">
                            <a:noAutofit/>
                          </wps:bodyPr>
                        </wps:wsp>
                        <wps:wsp>
                          <wps:cNvPr id="199" name="Rectangle 87"/>
                          <wps:cNvSpPr>
                            <a:spLocks noChangeArrowheads="1"/>
                          </wps:cNvSpPr>
                          <wps:spPr bwMode="auto">
                            <a:xfrm>
                              <a:off x="8042" y="8227"/>
                              <a:ext cx="1247" cy="692"/>
                            </a:xfrm>
                            <a:prstGeom prst="rect">
                              <a:avLst/>
                            </a:prstGeom>
                            <a:solidFill>
                              <a:srgbClr val="FFFFFF"/>
                            </a:solidFill>
                            <a:ln w="9525">
                              <a:solidFill>
                                <a:srgbClr val="000000"/>
                              </a:solidFill>
                              <a:miter lim="800000"/>
                              <a:headEnd/>
                              <a:tailEnd/>
                            </a:ln>
                          </wps:spPr>
                          <wps:txb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Безнадійна</w:t>
                                </w:r>
                              </w:p>
                            </w:txbxContent>
                          </wps:txbx>
                          <wps:bodyPr rot="0" vert="horz" wrap="square" lIns="91440" tIns="45720" rIns="91440" bIns="45720" anchor="t" anchorCtr="0" upright="1">
                            <a:noAutofit/>
                          </wps:bodyPr>
                        </wps:wsp>
                      </wpg:wgp>
                    </wpc:wpc>
                  </a:graphicData>
                </a:graphic>
              </wp:inline>
            </w:drawing>
          </mc:Choice>
          <mc:Fallback>
            <w:pict>
              <v:group id="Полотно 26" o:spid="_x0000_s1052" editas="canvas" style="width:467.75pt;height:8in;mso-position-horizontal-relative:char;mso-position-vertical-relative:line" coordsize="59404,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">
                <v:shape id="_x0000_s1053" type="#_x0000_t75" style="position:absolute;width:59404;height:73152;visibility:visible;mso-wrap-style:square">
                  <v:fill o:detectmouseclick="t"/>
                  <v:path o:connecttype="none"/>
                </v:shape>
                <v:group id="Group 28" o:spid="_x0000_s1054" style="position:absolute;left:1146;top:1146;width:57144;height:70867" coordorigin="2501,469" coordsize="6926,8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rect id="Rectangle 29" o:spid="_x0000_s1055" style="position:absolute;left:2501;top:7395;width:6926;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rect id="Rectangle 30" o:spid="_x0000_s1056" style="position:absolute;left:2501;top:5317;width:6926;height:1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rect id="Rectangle 31" o:spid="_x0000_s1057" style="position:absolute;left:2501;top:3378;width:6926;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rect id="Rectangle 32" o:spid="_x0000_s1058" style="position:absolute;left:2501;top:1161;width:6926;height: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rect id="Rectangle 33" o:spid="_x0000_s1059" style="position:absolute;left:2639;top:469;width:6650;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631A1C" w:rsidRPr="00CD65C9" w:rsidRDefault="00631A1C" w:rsidP="00307A06">
                          <w:pPr>
                            <w:jc w:val="center"/>
                            <w:rPr>
                              <w:caps/>
                            </w:rPr>
                          </w:pPr>
                          <w:r w:rsidRPr="00CD65C9">
                            <w:rPr>
                              <w:rStyle w:val="FontStyle15"/>
                              <w:caps/>
                              <w:sz w:val="28"/>
                              <w:szCs w:val="28"/>
                            </w:rPr>
                            <w:t>Етапи класифікації кредитного портфеля банку</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4" o:spid="_x0000_s1060" type="#_x0000_t67" style="position:absolute;left:5825;top:884;width:416;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yxb8A&#10;AADcAAAADwAAAGRycy9kb3ducmV2LnhtbERP24rCMBB9F/yHMIJvmnhBdqtRZEHxbVH7AUMztsFm&#10;UpKs1r83Cwv7Nodznc2ud614UIjWs4bZVIEgrryxXGsor4fJB4iYkA22nknDiyLstsPBBgvjn3ym&#10;xyXVIodwLFBDk1JXSBmrhhzGqe+IM3fzwWHKMNTSBHzmcNfKuVIr6dBybmiwo6+Gqvvlx2mw5VX1&#10;58/XEme1Wqjv8sjBzrUej/r9GkSiPv2L/9wnk+cvV/D7TL5Ab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MTLFvwAAANwAAAAPAAAAAAAAAAAAAAAAAJgCAABkcnMvZG93bnJl&#10;di54bWxQSwUGAAAAAAQABAD1AAAAhAMAAAAA&#10;"/>
                  <v:rect id="Rectangle 35" o:spid="_x0000_s1061" style="position:absolute;left:2778;top:1300;width:6372;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631A1C" w:rsidRPr="005C354C" w:rsidRDefault="00631A1C" w:rsidP="00307A06">
                          <w:pPr>
                            <w:spacing w:line="240" w:lineRule="auto"/>
                            <w:jc w:val="center"/>
                            <w:rPr>
                              <w:rFonts w:ascii="Times New Roman" w:hAnsi="Times New Roman" w:cs="Times New Roman"/>
                              <w:b/>
                              <w:sz w:val="28"/>
                              <w:szCs w:val="28"/>
                            </w:rPr>
                          </w:pPr>
                          <w:r w:rsidRPr="005C354C">
                            <w:rPr>
                              <w:rFonts w:ascii="Times New Roman" w:hAnsi="Times New Roman" w:cs="Times New Roman"/>
                              <w:b/>
                              <w:sz w:val="28"/>
                              <w:szCs w:val="28"/>
                            </w:rPr>
                            <w:t>Етап 1. Оцінка кредитоспроможності позичальника</w:t>
                          </w:r>
                        </w:p>
                        <w:p w:rsidR="00631A1C" w:rsidRPr="00CD65C9" w:rsidRDefault="00631A1C" w:rsidP="00307A06">
                          <w:pPr>
                            <w:jc w:val="center"/>
                            <w:rPr>
                              <w:rFonts w:ascii="Times New Roman" w:hAnsi="Times New Roman" w:cs="Times New Roman"/>
                              <w:sz w:val="28"/>
                              <w:szCs w:val="28"/>
                            </w:rPr>
                          </w:pPr>
                        </w:p>
                      </w:txbxContent>
                    </v:textbox>
                  </v:rect>
                  <v:shape id="AutoShape 36" o:spid="_x0000_s1062" type="#_x0000_t32" style="position:absolute;left:5964;top:1715;width:1;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bUsYAAADcAAAADwAAAGRycy9kb3ducmV2LnhtbESPQWvCQBCF70L/wzIFb7qxS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m1LGAAAA3AAAAA8AAAAAAAAA&#10;AAAAAAAAoQIAAGRycy9kb3ducmV2LnhtbFBLBQYAAAAABAAEAPkAAACUAwAAAAA=&#10;">
                    <v:stroke endarrow="block"/>
                  </v:shape>
                  <v:shape id="AutoShape 37" o:spid="_x0000_s1063" type="#_x0000_t32" style="position:absolute;left:3055;top:1854;width:581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iSnsMAAADcAAAADwAAAGRycy9kb3ducmV2LnhtbERPTWsCMRC9F/wPYQQvpWaVKu1qlK0g&#10;qOBB297HzXQTuplsN1G3/74pCN7m8T5nvuxcLS7UButZwWiYgSAuvbZcKfh4Xz+9gAgRWWPtmRT8&#10;UoDlovcwx1z7Kx/ocoyVSCEcclRgYmxyKUNpyGEY+oY4cV++dRgTbCupW7ymcFfLcZZNpUPLqcFg&#10;QytD5ffx7BTst6O34mTsdnf4sfvJuqjP1eOnUoN+V8xAROriXXxzb3Sa//w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4kp7DAAAA3AAAAA8AAAAAAAAAAAAA&#10;AAAAoQIAAGRycy9kb3ducmV2LnhtbFBLBQYAAAAABAAEAPkAAACRAwAAAAA=&#10;"/>
                  <v:shape id="AutoShape 38" o:spid="_x0000_s1064" type="#_x0000_t32" style="position:absolute;left:3055;top:1855;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wBicYAAADcAAAADwAAAGRycy9kb3ducmV2LnhtbESPQWvCQBCF70L/wzIFb7qxY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AYnGAAAA3AAAAA8AAAAAAAAA&#10;AAAAAAAAoQIAAGRycy9kb3ducmV2LnhtbFBLBQYAAAAABAAEAPkAAACUAwAAAAA=&#10;">
                    <v:stroke endarrow="block"/>
                  </v:shape>
                  <v:shape id="AutoShape 39" o:spid="_x0000_s1065" type="#_x0000_t32" style="position:absolute;left:4440;top:1854;width:2;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CkEsQAAADcAAAADwAAAGRycy9kb3ducmV2LnhtbERPTWvCQBC9F/wPywje6iYFpa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KQSxAAAANwAAAAPAAAAAAAAAAAA&#10;AAAAAKECAABkcnMvZG93bnJldi54bWxQSwUGAAAAAAQABAD5AAAAkgMAAAAA&#10;">
                    <v:stroke endarrow="block"/>
                  </v:shape>
                  <v:shape id="AutoShape 40" o:spid="_x0000_s1066" type="#_x0000_t32" style="position:absolute;left:7349;top:1855;width:2;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I6ZcMAAADcAAAADwAAAGRycy9kb3ducmV2LnhtbERPTWvCQBC9C/6HZYTedBOh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SOmXDAAAA3AAAAA8AAAAAAAAAAAAA&#10;AAAAoQIAAGRycy9kb3ducmV2LnhtbFBLBQYAAAAABAAEAPkAAACRAwAAAAA=&#10;">
                    <v:stroke endarrow="block"/>
                  </v:shape>
                  <v:shape id="AutoShape 41" o:spid="_x0000_s1067" type="#_x0000_t32" style="position:absolute;left:8872;top:1854;width:1;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f/sMAAADcAAAADwAAAGRycy9kb3ducmV2LnhtbERPTWsCMRC9C/0PYQreNKui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en/7DAAAA3AAAAA8AAAAAAAAAAAAA&#10;AAAAoQIAAGRycy9kb3ducmV2LnhtbFBLBQYAAAAABAAEAPkAAACRAwAAAAA=&#10;">
                    <v:stroke endarrow="block"/>
                  </v:shape>
                  <v:rect id="Rectangle 42" o:spid="_x0000_s1068" style="position:absolute;left:2639;top:1992;width:1245;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textbox>
                      <w:txbxContent>
                        <w:p w:rsidR="00631A1C" w:rsidRPr="000B3777" w:rsidRDefault="00631A1C" w:rsidP="00307A06">
                          <w:pPr>
                            <w:spacing w:line="240" w:lineRule="auto"/>
                            <w:contextualSpacing/>
                            <w:rPr>
                              <w:sz w:val="28"/>
                              <w:szCs w:val="28"/>
                            </w:rPr>
                          </w:pPr>
                          <w:r w:rsidRPr="000B3777">
                            <w:rPr>
                              <w:rFonts w:ascii="Times New Roman" w:hAnsi="Times New Roman" w:cs="Times New Roman"/>
                              <w:sz w:val="28"/>
                              <w:szCs w:val="28"/>
                            </w:rPr>
                            <w:t>Показник</w:t>
                          </w:r>
                          <w:r>
                            <w:rPr>
                              <w:rFonts w:ascii="Times New Roman" w:hAnsi="Times New Roman" w:cs="Times New Roman"/>
                              <w:sz w:val="28"/>
                              <w:szCs w:val="28"/>
                            </w:rPr>
                            <w:t xml:space="preserve">и </w:t>
                          </w:r>
                          <w:r w:rsidRPr="000B3777">
                            <w:rPr>
                              <w:rFonts w:ascii="Times New Roman" w:hAnsi="Times New Roman" w:cs="Times New Roman"/>
                              <w:sz w:val="28"/>
                              <w:szCs w:val="28"/>
                            </w:rPr>
                            <w:t>ділової активності</w:t>
                          </w:r>
                        </w:p>
                      </w:txbxContent>
                    </v:textbox>
                  </v:rect>
                  <v:rect id="Rectangle 43" o:spid="_x0000_s1069" style="position:absolute;left:3884;top:1992;width:1387;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textbox>
                      <w:txbxContent>
                        <w:p w:rsidR="00631A1C" w:rsidRPr="000B3777" w:rsidRDefault="00631A1C" w:rsidP="00307A06">
                          <w:pPr>
                            <w:rPr>
                              <w:rFonts w:ascii="Times New Roman" w:hAnsi="Times New Roman" w:cs="Times New Roman"/>
                              <w:sz w:val="28"/>
                              <w:szCs w:val="28"/>
                            </w:rPr>
                          </w:pPr>
                          <w:r w:rsidRPr="000B3777">
                            <w:rPr>
                              <w:rFonts w:ascii="Times New Roman" w:hAnsi="Times New Roman" w:cs="Times New Roman"/>
                              <w:sz w:val="28"/>
                              <w:szCs w:val="28"/>
                            </w:rPr>
                            <w:t xml:space="preserve">Показники </w:t>
                          </w:r>
                          <w:proofErr w:type="spellStart"/>
                          <w:r w:rsidRPr="000B3777">
                            <w:rPr>
                              <w:rFonts w:ascii="Times New Roman" w:hAnsi="Times New Roman" w:cs="Times New Roman"/>
                              <w:sz w:val="28"/>
                              <w:szCs w:val="28"/>
                            </w:rPr>
                            <w:t>платоспро</w:t>
                          </w:r>
                          <w:r>
                            <w:rPr>
                              <w:rFonts w:ascii="Times New Roman" w:hAnsi="Times New Roman" w:cs="Times New Roman"/>
                              <w:sz w:val="28"/>
                              <w:szCs w:val="28"/>
                            </w:rPr>
                            <w:t>-</w:t>
                          </w:r>
                          <w:r w:rsidRPr="000B3777">
                            <w:rPr>
                              <w:rFonts w:ascii="Times New Roman" w:hAnsi="Times New Roman" w:cs="Times New Roman"/>
                              <w:sz w:val="28"/>
                              <w:szCs w:val="28"/>
                            </w:rPr>
                            <w:t>можності</w:t>
                          </w:r>
                          <w:proofErr w:type="spellEnd"/>
                        </w:p>
                      </w:txbxContent>
                    </v:textbox>
                  </v:rect>
                  <v:rect id="Rectangle 44" o:spid="_x0000_s1070" style="position:absolute;left:5133;top:1992;width:1247;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textbox>
                      <w:txbxContent>
                        <w:p w:rsidR="00631A1C" w:rsidRPr="000B3777" w:rsidRDefault="00631A1C" w:rsidP="00307A06">
                          <w:pPr>
                            <w:spacing w:line="240" w:lineRule="auto"/>
                            <w:contextualSpacing/>
                            <w:rPr>
                              <w:rFonts w:ascii="Times New Roman" w:hAnsi="Times New Roman" w:cs="Times New Roman"/>
                              <w:sz w:val="28"/>
                              <w:szCs w:val="28"/>
                            </w:rPr>
                          </w:pPr>
                          <w:r w:rsidRPr="000B3777">
                            <w:rPr>
                              <w:rFonts w:ascii="Times New Roman" w:hAnsi="Times New Roman" w:cs="Times New Roman"/>
                              <w:sz w:val="28"/>
                              <w:szCs w:val="28"/>
                            </w:rPr>
                            <w:t>Показники фінансової стійкості</w:t>
                          </w:r>
                        </w:p>
                      </w:txbxContent>
                    </v:textbox>
                  </v:rect>
                  <v:rect id="Rectangle 45" o:spid="_x0000_s1071" style="position:absolute;left:6380;top:1992;width:1662;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textbox>
                      <w:txbxContent>
                        <w:p w:rsidR="00631A1C" w:rsidRPr="000B3777" w:rsidRDefault="00631A1C" w:rsidP="00307A06">
                          <w:pPr>
                            <w:spacing w:line="240" w:lineRule="auto"/>
                            <w:contextualSpacing/>
                            <w:rPr>
                              <w:rFonts w:ascii="Times New Roman" w:hAnsi="Times New Roman" w:cs="Times New Roman"/>
                              <w:sz w:val="28"/>
                              <w:szCs w:val="28"/>
                            </w:rPr>
                          </w:pPr>
                          <w:r w:rsidRPr="000B3777">
                            <w:rPr>
                              <w:rFonts w:ascii="Times New Roman" w:hAnsi="Times New Roman" w:cs="Times New Roman"/>
                              <w:sz w:val="28"/>
                              <w:szCs w:val="28"/>
                            </w:rPr>
                            <w:t>Показники рентабельності</w:t>
                          </w:r>
                        </w:p>
                      </w:txbxContent>
                    </v:textbox>
                  </v:rect>
                  <v:rect id="Rectangle 46" o:spid="_x0000_s1072" style="position:absolute;left:8042;top:1992;width:1247;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textbox>
                      <w:txbxContent>
                        <w:p w:rsidR="00631A1C" w:rsidRPr="000B3777" w:rsidRDefault="00631A1C" w:rsidP="00307A06">
                          <w:pPr>
                            <w:spacing w:line="240" w:lineRule="auto"/>
                            <w:contextualSpacing/>
                            <w:rPr>
                              <w:rFonts w:ascii="Times New Roman" w:hAnsi="Times New Roman" w:cs="Times New Roman"/>
                              <w:sz w:val="28"/>
                              <w:szCs w:val="28"/>
                            </w:rPr>
                          </w:pPr>
                          <w:r w:rsidRPr="000B3777">
                            <w:rPr>
                              <w:rFonts w:ascii="Times New Roman" w:hAnsi="Times New Roman" w:cs="Times New Roman"/>
                              <w:sz w:val="28"/>
                              <w:szCs w:val="28"/>
                            </w:rPr>
                            <w:t>Кредитна історія</w:t>
                          </w:r>
                        </w:p>
                      </w:txbxContent>
                    </v:textbox>
                  </v:rect>
                  <v:shape id="AutoShape 47" o:spid="_x0000_s1073" type="#_x0000_t32" style="position:absolute;left:3056;top:3101;width:581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EEQ8MAAADcAAAADwAAAGRycy9kb3ducmV2LnhtbERPTWsCMRC9C/6HMIIXqVkFS7s1ylYQ&#10;VPCgbe/TzXQTuplsN1HXf2+Egrd5vM+ZLztXizO1wXpWMBlnIIhLry1XCj4/1k8vIEJE1lh7JgVX&#10;CrBc9HtzzLW/8IHOx1iJFMIhRwUmxiaXMpSGHIaxb4gT9+NbhzHBtpK6xUsKd7WcZtmzdGg5NRhs&#10;aGWo/D2enIL9dvJefBu73R3+7H62LupTNfpSajjoijcQkbr4EP+7NzrNn73C/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hBEPDAAAA3AAAAA8AAAAAAAAAAAAA&#10;AAAAoQIAAGRycy9kb3ducmV2LnhtbFBLBQYAAAAABAAEAPkAAACRAwAAAAA=&#10;"/>
                  <v:shape id="AutoShape 48" o:spid="_x0000_s1074" type="#_x0000_t32" style="position:absolute;left:3056;top:2965;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dnY8YAAADcAAAADwAAAGRycy9kb3ducmV2LnhtbESPT2vDMAzF74N9B6PBLmN1Olgpad2S&#10;DgrroIf+2V2NtdgsltPYbbNvPx0Gu0m8p/d+mi+H0Kor9clHNjAeFaCI62g9NwaOh/XzFFTKyBbb&#10;yGTghxIsF/d3cyxtvPGOrvvcKAnhVKIBl3NXap1qRwHTKHbEon3FPmCWtW+07fEm4aHVL0Ux0QE9&#10;S4PDjt4c1d/7SzCw3YxX1cn5zcfu7Lev66q9NE+fxjw+DNUMVKYh/5v/rt+t4E8EX5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3Z2PGAAAA3AAAAA8AAAAAAAAA&#10;AAAAAAAAoQIAAGRycy9kb3ducmV2LnhtbFBLBQYAAAAABAAEAPkAAACUAwAAAAA=&#10;"/>
                  <v:shape id="AutoShape 49" o:spid="_x0000_s1075" type="#_x0000_t32" style="position:absolute;left:4442;top:2962;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50" o:spid="_x0000_s1076" type="#_x0000_t32" style="position:absolute;left:5965;top:2965;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shape id="AutoShape 51" o:spid="_x0000_s1077" type="#_x0000_t32" style="position:absolute;left:7351;top:2965;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5FMMAAADcAAAADwAAAGRycy9kb3ducmV2LnhtbERPTWsCMRC9C/6HMIIXqVmV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l+RTDAAAA3AAAAA8AAAAAAAAAAAAA&#10;AAAAoQIAAGRycy9kb3ducmV2LnhtbFBLBQYAAAAABAAEAPkAAACRAwAAAAA=&#10;"/>
                  <v:shape id="AutoShape 52" o:spid="_x0000_s1078" type="#_x0000_t32" style="position:absolute;left:8872;top:2965;width:1;height: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xhYMMAAADcAAAADwAAAGRycy9kb3ducmV2LnhtbERPTWsCMRC9C/6HMIIXqVnFStkaZSsI&#10;KnjQtvfpZroJ3Uy2m6jrvzcFobd5vM9ZrDpXiwu1wXpWMBlnIIhLry1XCj7eN08vIEJE1lh7JgU3&#10;CrBa9nsLzLW/8pEup1iJFMIhRwUmxiaXMpSGHIaxb4gT9+1bhzHBtpK6xWsKd7WcZtlcOrScGgw2&#10;tDZU/pzOTsFhN3krvozd7Y+/9vC8KepzNfpUajjoilcQkbr4L364tzrNn8/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MYWDDAAAA3AAAAA8AAAAAAAAAAAAA&#10;AAAAoQIAAGRycy9kb3ducmV2LnhtbFBLBQYAAAAABAAEAPkAAACRAwAAAAA=&#10;"/>
                  <v:shape id="AutoShape 53" o:spid="_x0000_s1079" type="#_x0000_t67" style="position:absolute;left:5825;top:3099;width:416;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bw0sAA&#10;AADcAAAADwAAAGRycy9kb3ducmV2LnhtbERPzWoCMRC+C32HMAVvmqy20q5mpRQsvRV1H2DYjLuh&#10;m8mSpLq+vSkI3ubj+53NdnS9OFOI1rOGYq5AEDfeWG411Mfd7A1ETMgGe8+k4UoRttXTZIOl8Rfe&#10;0/mQWpFDOJaooUtpKKWMTUcO49wPxJk7+eAwZRhaaQJecrjr5UKplXRoOTd0ONBnR83v4c9psPVR&#10;jfv36wsWrVqqn/qLg11oPX0eP9YgEo3pIb67v02ev3qF/2fyBbK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bw0sAAAADcAAAADwAAAAAAAAAAAAAAAACYAgAAZHJzL2Rvd25y&#10;ZXYueG1sUEsFBgAAAAAEAAQA9QAAAIUDAAAAAA==&#10;"/>
                  <v:rect id="Rectangle 54" o:spid="_x0000_s1080" style="position:absolute;left:2778;top:3514;width:6372;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textbox>
                      <w:txbxContent>
                        <w:p w:rsidR="00631A1C" w:rsidRPr="000B4BA5" w:rsidRDefault="00631A1C" w:rsidP="00307A06">
                          <w:pPr>
                            <w:spacing w:line="240" w:lineRule="auto"/>
                            <w:jc w:val="center"/>
                            <w:rPr>
                              <w:rFonts w:ascii="Times New Roman" w:hAnsi="Times New Roman" w:cs="Times New Roman"/>
                              <w:b/>
                              <w:sz w:val="28"/>
                              <w:szCs w:val="28"/>
                            </w:rPr>
                          </w:pPr>
                          <w:r w:rsidRPr="000B4BA5">
                            <w:rPr>
                              <w:rFonts w:ascii="Times New Roman" w:hAnsi="Times New Roman" w:cs="Times New Roman"/>
                              <w:b/>
                              <w:sz w:val="28"/>
                              <w:szCs w:val="28"/>
                            </w:rPr>
                            <w:t>Етап 2. Класифікація позичальників за результатами оцінки кредитоспроможності</w:t>
                          </w:r>
                        </w:p>
                      </w:txbxContent>
                    </v:textbox>
                  </v:rect>
                  <v:shape id="AutoShape 55" o:spid="_x0000_s1081" type="#_x0000_t32" style="position:absolute;left:3193;top:4348;width:581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7/F8MAAADcAAAADwAAAGRycy9kb3ducmV2LnhtbERPTWsCMRC9F/wPYYReSs0q1JatUVZB&#10;qIIHt+19uhk3wc1k3UTd/ntTKHibx/uc2aJ3jbhQF6xnBeNRBoK48tpyreDrc/38BiJEZI2NZ1Lw&#10;SwEW88HDDHPtr7ynSxlrkUI45KjAxNjmUobKkMMw8i1x4g6+cxgT7GqpO7ymcNfISZZNpUPLqcFg&#10;SytD1bE8OwW7zXhZ/Bi72e5PdveyLppz/fSt1OOwL95BROrjXfzv/tBp/vQV/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e/xfDAAAA3AAAAA8AAAAAAAAAAAAA&#10;AAAAoQIAAGRycy9kb3ducmV2LnhtbFBLBQYAAAAABAAEAPkAAACRAwAAAAA=&#10;"/>
                  <v:shape id="AutoShape 56" o:spid="_x0000_s1082" type="#_x0000_t32" style="position:absolute;left:6102;top:4209;width:1;height:2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bHMsYAAADcAAAADwAAAGRycy9kb3ducmV2LnhtbESPQWvCQBCF70L/wzKF3nRjD6LRVaTQ&#10;UiweqhL0NmTHJJidDburxv76zqHQ2wzvzXvfLFa9a9WNQmw8GxiPMlDEpbcNVwYO+/fhFFRMyBZb&#10;z2TgQRFWy6fBAnPr7/xNt12qlIRwzNFAnVKXax3LmhzGke+IRTv74DDJGiptA94l3LX6Ncsm2mHD&#10;0lBjR281lZfd1Rk4fs2uxaPY0qYYzzYnDC7+7D+MeXnu13NQifr0b/67/rSCPxF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WxzLGAAAA3AAAAA8AAAAAAAAA&#10;AAAAAAAAoQIAAGRycy9kb3ducmV2LnhtbFBLBQYAAAAABAAEAPkAAACUAwAAAAA=&#10;">
                    <v:stroke endarrow="block"/>
                  </v:shape>
                  <v:shape id="AutoShape 57" o:spid="_x0000_s1083" type="#_x0000_t32" style="position:absolute;left:3193;top:4349;width:1;height:1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piqcMAAADcAAAADwAAAGRycy9kb3ducmV2LnhtbERPS2vCQBC+F/wPywjemo0epImuUgRF&#10;LD34INjbkJ0modnZsLtq7K93CwVv8/E9Z77sTSuu5HxjWcE4SUEQl1Y3XCk4HdevbyB8QNbYWiYF&#10;d/KwXAxe5phre+M9XQ+hEjGEfY4K6hC6XEpf1mTQJ7Yjjty3dQZDhK6S2uEthptWTtJ0Kg02HBtq&#10;7GhVU/lzuBgF54/sUtyLT9oV42z3hc743+NGqdGwf5+BCNSHp/jfvdVx/jSD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aYqnDAAAA3AAAAA8AAAAAAAAAAAAA&#10;AAAAoQIAAGRycy9kb3ducmV2LnhtbFBLBQYAAAAABAAEAPkAAACRAwAAAAA=&#10;">
                    <v:stroke endarrow="block"/>
                  </v:shape>
                  <v:shape id="AutoShape 58" o:spid="_x0000_s1084" type="#_x0000_t32" style="position:absolute;left:4579;top:4350;width:1;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ld6cYAAADcAAAADwAAAGRycy9kb3ducmV2LnhtbESPQWvCQBCF70L/wzIFb7qxB1ujq5RC&#10;S7F4qErQ25CdJqHZ2bC7auyv7xwEbzO8N+99s1j1rlVnCrHxbGAyzkARl942XBnY795HL6BiQrbY&#10;eiYDV4qwWj4MFphbf+FvOm9TpSSEY44G6pS6XOtY1uQwjn1HLNqPDw6TrKHSNuBFwl2rn7Jsqh02&#10;LA01dvRWU/m7PTkDh6/ZqbgWG1oXk9n6iMHFv92HMcPH/nUOKlGf7ubb9acV/Gf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XenGAAAA3AAAAA8AAAAAAAAA&#10;AAAAAAAAoQIAAGRycy9kb3ducmV2LnhtbFBLBQYAAAAABAAEAPkAAACUAwAAAAA=&#10;">
                    <v:stroke endarrow="block"/>
                  </v:shape>
                  <v:shape id="AutoShape 59" o:spid="_x0000_s1085" type="#_x0000_t32" style="position:absolute;left:7488;top:4350;width:1;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X4csQAAADcAAAADwAAAGRycy9kb3ducmV2LnhtbERPTWvCQBC9F/wPywje6iY9aE1dgwgV&#10;UXqoSrC3ITtNQrOzYXeNsb++Wyj0No/3Oct8MK3oyfnGsoJ0moAgLq1uuFJwPr0+PoPwAVlja5kU&#10;3MlDvho9LDHT9sbv1B9DJWII+wwV1CF0mZS+rMmgn9qOOHKf1hkMEbpKaoe3GG5a+ZQkM2mw4dhQ&#10;Y0ebmsqv49UouBwW1+JevNG+SBf7D3TGf5+2Sk3Gw/oFRKAh/Iv/3Dsd589T+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fhyxAAAANwAAAAPAAAAAAAAAAAA&#10;AAAAAKECAABkcnMvZG93bnJldi54bWxQSwUGAAAAAAQABAD5AAAAkgMAAAAA&#10;">
                    <v:stroke endarrow="block"/>
                  </v:shape>
                  <v:shape id="AutoShape 60" o:spid="_x0000_s1086" type="#_x0000_t32" style="position:absolute;left:9010;top:4350;width:2;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rect id="Rectangle 61" o:spid="_x0000_s1087" style="position:absolute;left:2639;top:4488;width:138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«А»</w:t>
                          </w:r>
                        </w:p>
                      </w:txbxContent>
                    </v:textbox>
                  </v:rect>
                  <v:rect id="Rectangle 62" o:spid="_x0000_s1088" style="position:absolute;left:4024;top:4488;width:1386;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«Б»</w:t>
                          </w:r>
                        </w:p>
                      </w:txbxContent>
                    </v:textbox>
                  </v:rect>
                  <v:rect id="Rectangle 63" o:spid="_x0000_s1089" style="position:absolute;left:5410;top:4489;width:1247;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«В»</w:t>
                          </w:r>
                        </w:p>
                      </w:txbxContent>
                    </v:textbox>
                  </v:rect>
                  <v:rect id="Rectangle 64" o:spid="_x0000_s1090" style="position:absolute;left:6657;top:4489;width:1385;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AMMA&#10;AADcAAAADwAAAGRycy9kb3ducmV2LnhtbERPTWvCQBC9C/0PyxR6MxsjaBuzhlKx2KMml97G7DRJ&#10;zc6G7Kqxv75bEHqbx/ucLB9NJy40uNayglkUgyCurG65VlAW2+kzCOeRNXaWScGNHOTrh0mGqbZX&#10;3tPl4GsRQtilqKDxvk+ldFVDBl1ke+LAfdnBoA9wqKUe8BrCTSeTOF5Igy2HhgZ7emuoOh3ORsGx&#10;TUr82RfvsXnZzv3HWHyfPzdKPT2OrysQnkb/L767dzrMXy7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xAMMAAADcAAAADwAAAAAAAAAAAAAAAACYAgAAZHJzL2Rv&#10;d25yZXYueG1sUEsFBgAAAAAEAAQA9QAAAIgDA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«Г»</w:t>
                          </w:r>
                        </w:p>
                      </w:txbxContent>
                    </v:textbox>
                  </v:rect>
                  <v:rect id="Rectangle 65" o:spid="_x0000_s1091" style="position:absolute;left:8042;top:4489;width:1247;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Клас «Д»</w:t>
                          </w:r>
                        </w:p>
                      </w:txbxContent>
                    </v:textbox>
                  </v:rect>
                  <v:shape id="AutoShape 66" o:spid="_x0000_s1092" type="#_x0000_t67" style="position:absolute;left:5825;top:5040;width:416;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7JkcMA&#10;AADcAAAADwAAAGRycy9kb3ducmV2LnhtbESPQWsCMRCF70L/Q5iCN03UYtutUUqhpTdR9wcMm+lu&#10;6GayJKmu/75zELzN8N68981mN4ZenSllH9nCYm5AETfReW4t1KfP2QuoXJAd9pHJwpUy7LYPkw1W&#10;Ll74QOdjaZWEcK7QQlfKUGmdm44C5nkciEX7iSlgkTW12iW8SHjo9dKYtQ7oWRo6HOijo+b3+Bcs&#10;+PpkxsPr9QkXrVmZff3FyS+tnT6O72+gCo3lbr5dfzvBf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7JkcMAAADcAAAADwAAAAAAAAAAAAAAAACYAgAAZHJzL2Rv&#10;d25yZXYueG1sUEsFBgAAAAAEAAQA9QAAAIgDAAAAAA==&#10;"/>
                  <v:rect id="Rectangle 67" o:spid="_x0000_s1093" style="position:absolute;left:2778;top:5456;width:6372;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lcsMA&#10;AADcAAAADwAAAGRycy9kb3ducmV2LnhtbERPTWvCQBC9F/wPywi9NRst2Ca6iigWPWpy6W2aHZO0&#10;2dmQXZO0v74rFHqbx/uc1WY0jeipc7VlBbMoBkFcWF1zqSDPDk+vIJxH1thYJgXf5GCznjysMNV2&#10;4DP1F1+KEMIuRQWV920qpSsqMugi2xIH7mo7gz7ArpS6wyGEm0bO43ghDdYcGipsaVdR8XW5GQUf&#10;9TzHn3P2Fpvk8OxPY/Z5e98r9Tgdt0sQnkb/L/5zH3WY/5L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lcsMAAADcAAAADwAAAAAAAAAAAAAAAACYAgAAZHJzL2Rv&#10;d25yZXYueG1sUEsFBgAAAAAEAAQA9QAAAIgDAAAAAA==&#10;">
                    <v:textbox>
                      <w:txbxContent>
                        <w:p w:rsidR="00631A1C" w:rsidRPr="00FC4B39" w:rsidRDefault="00631A1C" w:rsidP="00307A06">
                          <w:pPr>
                            <w:spacing w:line="240" w:lineRule="auto"/>
                            <w:contextualSpacing/>
                            <w:jc w:val="center"/>
                            <w:rPr>
                              <w:rFonts w:ascii="Times New Roman" w:hAnsi="Times New Roman" w:cs="Times New Roman"/>
                              <w:b/>
                              <w:sz w:val="28"/>
                              <w:szCs w:val="28"/>
                            </w:rPr>
                          </w:pPr>
                          <w:r w:rsidRPr="00FC4B39">
                            <w:rPr>
                              <w:rFonts w:ascii="Times New Roman" w:hAnsi="Times New Roman" w:cs="Times New Roman"/>
                              <w:b/>
                              <w:sz w:val="28"/>
                              <w:szCs w:val="28"/>
                            </w:rPr>
                            <w:t>Етап 3. Оцінка стану обслуговування позичальником заборгованості за кредитом</w:t>
                          </w:r>
                        </w:p>
                      </w:txbxContent>
                    </v:textbox>
                  </v:rect>
                  <v:shape id="AutoShape 68" o:spid="_x0000_s1094" type="#_x0000_t32" style="position:absolute;left:4163;top:6287;width:360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uBmcYAAADcAAAADwAAAGRycy9kb3ducmV2LnhtbESPT2vDMAzF74N+B6PBLqN1OtgoWd2S&#10;DgrroIf+u6uxFpvFcha7bfbtp8NgN4n39N5P8+UQWnWlPvnIBqaTAhRxHa3nxsDxsB7PQKWMbLGN&#10;TAZ+KMFyMbqbY2njjXd03edGSQinEg24nLtS61Q7CpgmsSMW7TP2AbOsfaNtjzcJD61+KooXHdCz&#10;NDjs6M1R/bW/BAPbzXRVnZ3ffOy+/fZ5XbWX5vFkzMP9UL2CyjTkf/Pf9bsV/JngyzMygV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7gZnGAAAA3AAAAA8AAAAAAAAA&#10;AAAAAAAAoQIAAGRycy9kb3ducmV2LnhtbFBLBQYAAAAABAAEAPkAAACUAwAAAAA=&#10;"/>
                  <v:shape id="AutoShape 69" o:spid="_x0000_s1095" type="#_x0000_t32" style="position:absolute;left:6102;top:6149;width:1;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CIVcMAAADcAAAADwAAAGRycy9kb3ducmV2LnhtbERPTWvCQBC9C/0PywjedJMeRGM2IkKL&#10;KD1US7C3ITtNgtnZsLtq7K/vFgq9zeN9Tr4eTCdu5HxrWUE6S0AQV1a3XCv4OL1MFyB8QNbYWSYF&#10;D/KwLp5GOWba3vmdbsdQixjCPkMFTQh9JqWvGjLoZ7YnjtyXdQZDhK6W2uE9hptOPifJXBpsOTY0&#10;2NO2oepyvBoF58PyWj7KN9qX6XL/ic7479OrUpPxsFmBCDSEf/Gfe6fj/EUKv8/EC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giFXDAAAA3AAAAA8AAAAAAAAAAAAA&#10;AAAAoQIAAGRycy9kb3ducmV2LnhtbFBLBQYAAAAABAAEAPkAAACRAwAAAAA=&#10;">
                    <v:stroke endarrow="block"/>
                  </v:shape>
                  <v:shape id="AutoShape 70" o:spid="_x0000_s1096" type="#_x0000_t32" style="position:absolute;left:4161;top:6288;width:2;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WIsQAAADcAAAADwAAAGRycy9kb3ducmV2LnhtbERPTWvCQBC9C/0PyxR6Mxs9FI1ZpRSU&#10;ktJDVYLehuw0Cc3Oht3VxP76bqHgbR7vc/LNaDpxJedbywpmSQqCuLK65VrB8bCdLkD4gKyxs0wK&#10;buRhs36Y5JhpO/AnXfehFjGEfYYKmhD6TEpfNWTQJ7YnjtyXdQZDhK6W2uEQw00n52n6LA22HBsa&#10;7Om1oep7fzEKTu/LS3krP6goZ8vijM74n8NOqafH8WUFItAY7uJ/95uO8xdz+HsmX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hYixAAAANwAAAAPAAAAAAAAAAAA&#10;AAAAAKECAABkcnMvZG93bnJldi54bWxQSwUGAAAAAAQABAD5AAAAkgMAAAAA&#10;">
                    <v:stroke endarrow="block"/>
                  </v:shape>
                  <v:shape id="AutoShape 71" o:spid="_x0000_s1097" type="#_x0000_t32" style="position:absolute;left:7764;top:6288;width:2;height: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6zucMAAADcAAAADwAAAGRycy9kb3ducmV2LnhtbERPTWvCQBC9C/6HZQRvukkLoqmriGAp&#10;Sg/VEtrbkJ0mwexs2F1N9Nd3C0Jv83ifs1z3phFXcr62rCCdJiCIC6trLhV8nnaTOQgfkDU2lknB&#10;jTysV8PBEjNtO/6g6zGUIoawz1BBFUKbSemLigz6qW2JI/djncEQoSuldtjFcNPIpySZSYM1x4YK&#10;W9pWVJyPF6Pg67C45Lf8nfZ5uth/ozP+fnpVajzqNy8gAvXhX/xwv+k4f/4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s7nDAAAA3AAAAA8AAAAAAAAAAAAA&#10;AAAAoQIAAGRycy9kb3ducmV2LnhtbFBLBQYAAAAABAAEAPkAAACRAwAAAAA=&#10;">
                    <v:stroke endarrow="block"/>
                  </v:shape>
                  <v:rect id="Rectangle 72" o:spid="_x0000_s1098" style="position:absolute;left:2639;top:6427;width:2494;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Обслуговування боргу «добре»</w:t>
                          </w:r>
                        </w:p>
                      </w:txbxContent>
                    </v:textbox>
                  </v:rect>
                  <v:rect id="Rectangle 73" o:spid="_x0000_s1099" style="position:absolute;left:5133;top:6426;width:1939;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Обслуговування боргу «слабке»</w:t>
                          </w:r>
                        </w:p>
                      </w:txbxContent>
                    </v:textbox>
                  </v:rect>
                  <v:rect id="Rectangle 74" o:spid="_x0000_s1100" style="position:absolute;left:7072;top:6427;width:2217;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textbox>
                      <w:txbxContent>
                        <w:p w:rsidR="00631A1C" w:rsidRPr="00FC4B39" w:rsidRDefault="00631A1C" w:rsidP="00307A06">
                          <w:pPr>
                            <w:spacing w:line="240" w:lineRule="auto"/>
                            <w:jc w:val="center"/>
                            <w:rPr>
                              <w:rFonts w:ascii="Times New Roman" w:hAnsi="Times New Roman" w:cs="Times New Roman"/>
                              <w:sz w:val="28"/>
                              <w:szCs w:val="28"/>
                            </w:rPr>
                          </w:pPr>
                          <w:r w:rsidRPr="00FC4B39">
                            <w:rPr>
                              <w:rFonts w:ascii="Times New Roman" w:hAnsi="Times New Roman" w:cs="Times New Roman"/>
                              <w:sz w:val="28"/>
                              <w:szCs w:val="28"/>
                            </w:rPr>
                            <w:t>Обслуговування боргу «незадовільне»</w:t>
                          </w:r>
                        </w:p>
                      </w:txbxContent>
                    </v:textbox>
                  </v:rect>
                  <v:shape id="AutoShape 75" o:spid="_x0000_s1101" type="#_x0000_t67" style="position:absolute;left:5964;top:7118;width:416;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txMAA&#10;AADcAAAADwAAAGRycy9kb3ducmV2LnhtbERPzWoCMRC+C32HMAVvmqyW1q5mpRQsvRV1H2DYjLuh&#10;m8mSpLq+vSkI3ubj+53NdnS9OFOI1rOGYq5AEDfeWG411MfdbAUiJmSDvWfScKUI2+ppssHS+Avv&#10;6XxIrcghHEvU0KU0lFLGpiOHce4H4sydfHCYMgytNAEvOdz1cqHUq3RoOTd0ONBnR83v4c9psPVR&#10;jfv36wsWrVqqn/qLg11oPX0eP9YgEo3pIb67v02ev3qD/2fyBbK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QtxMAAAADcAAAADwAAAAAAAAAAAAAAAACYAgAAZHJzL2Rvd25y&#10;ZXYueG1sUEsFBgAAAAAEAAQA9QAAAIUDAAAAAA==&#10;"/>
                  <v:rect id="Rectangle 76" o:spid="_x0000_s1102" style="position:absolute;left:2778;top:7534;width:6372;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w:txbxContent>
                        <w:p w:rsidR="00631A1C" w:rsidRPr="00785BBE" w:rsidRDefault="00631A1C" w:rsidP="00307A06">
                          <w:pPr>
                            <w:spacing w:line="240" w:lineRule="auto"/>
                            <w:jc w:val="center"/>
                            <w:rPr>
                              <w:rFonts w:ascii="Times New Roman" w:hAnsi="Times New Roman" w:cs="Times New Roman"/>
                              <w:b/>
                              <w:sz w:val="28"/>
                              <w:szCs w:val="28"/>
                            </w:rPr>
                          </w:pPr>
                          <w:r w:rsidRPr="00785BBE">
                            <w:rPr>
                              <w:rFonts w:ascii="Times New Roman" w:hAnsi="Times New Roman" w:cs="Times New Roman"/>
                              <w:b/>
                              <w:sz w:val="28"/>
                              <w:szCs w:val="28"/>
                            </w:rPr>
                            <w:t>Етап 4. Визначення категорії кредитної операції</w:t>
                          </w:r>
                        </w:p>
                      </w:txbxContent>
                    </v:textbox>
                  </v:rect>
                  <v:shape id="AutoShape 77" o:spid="_x0000_s1103" type="#_x0000_t32" style="position:absolute;left:3193;top:8088;width:58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EoBMMAAADcAAAADwAAAGRycy9kb3ducmV2LnhtbERPTWsCMRC9C/6HMIIXqVkFi90aZSsI&#10;KnjQtvfpZroJ3Uy2m6jrvzcFobd5vM9ZrDpXiwu1wXpWMBlnIIhLry1XCj7eN09zECEia6w9k4Ib&#10;BVgt+70F5tpf+UiXU6xECuGQowITY5NLGUpDDsPYN8SJ+/atw5hgW0nd4jWFu1pOs+xZOrScGgw2&#10;tDZU/pzOTsFhN3krvozd7Y+/9jDbFPW5Gn0qNRx0xSuISF38Fz/cW53mz1/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BKATDAAAA3AAAAA8AAAAAAAAAAAAA&#10;AAAAoQIAAGRycy9kb3ducmV2LnhtbFBLBQYAAAAABAAEAPkAAACRAwAAAAA=&#10;"/>
                  <v:shape id="AutoShape 78" o:spid="_x0000_s1104" type="#_x0000_t32" style="position:absolute;left:6103;top:7950;width:1;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W7E8YAAADcAAAADwAAAGRycy9kb3ducmV2LnhtbESPQWvCQBCF74X+h2UK3urGHqRJXUUE&#10;pVh6UEtob0N2TILZ2bC7auyvdw6F3mZ4b977ZrYYXKcuFGLr2cBknIEirrxtuTbwdVg/v4KKCdli&#10;55kM3CjCYv74MMPC+ivv6LJPtZIQjgUaaFLqC61j1ZDDOPY9sWhHHxwmWUOtbcCrhLtOv2TZVDts&#10;WRoa7GnVUHXan52B74/8XN7KT9qWk3z7g8HF38PGmNHTsHwDlWhI/+a/63cr+LngyzMygZ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uxPGAAAA3AAAAA8AAAAAAAAA&#10;AAAAAAAAoQIAAGRycy9kb3ducmV2LnhtbFBLBQYAAAAABAAEAPkAAACUAwAAAAA=&#10;">
                    <v:stroke endarrow="block"/>
                  </v:shape>
                  <v:shape id="AutoShape 79" o:spid="_x0000_s1105" type="#_x0000_t32" style="position:absolute;left:3192;top:8088;width:1;height:1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eiMQAAADcAAAADwAAAGRycy9kb3ducmV2LnhtbERPTWvCQBC9F/wPywi91U16KCZ1E0qh&#10;pVg8qCW0tyE7JsHsbNhdNfbXu4LgbR7vcxblaHpxJOc7ywrSWQKCuLa640bBz/bjaQ7CB2SNvWVS&#10;cCYPZTF5WGCu7YnXdNyERsQQ9jkqaEMYcil93ZJBP7MDceR21hkMEbpGaoenGG56+ZwkL9Jgx7Gh&#10;xYHeW6r3m4NR8PudHapztaJllWbLP3TG/28/lXqcjm+vIAKN4S6+ub90nJ+l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6IxAAAANwAAAAPAAAAAAAAAAAA&#10;AAAAAKECAABkcnMvZG93bnJldi54bWxQSwUGAAAAAAQABAD5AAAAkgMAAAAA&#10;">
                    <v:stroke endarrow="block"/>
                  </v:shape>
                  <v:shape id="AutoShape 80" o:spid="_x0000_s1106" type="#_x0000_t32" style="position:absolute;left:4717;top:8088;width:2;height:1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uA/8MAAADcAAAADwAAAGRycy9kb3ducmV2LnhtbERPS2vCQBC+C/6HZYTezEYPpYmuUgRF&#10;LD34INjbkJ0modnZsLtq7K93CwVv8/E9Z77sTSuu5HxjWcEkSUEQl1Y3XCk4HdfjNxA+IGtsLZOC&#10;O3lYLoaDOeba3nhP10OoRAxhn6OCOoQul9KXNRn0ie2II/dtncEQoaukdniL4aaV0zR9lQYbjg01&#10;drSqqfw5XIyC80d2Ke7FJ+2KSbb7Qmf873Gj1Muof5+BCNSHp/jfvdVxfjaFv2fiB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gP/DAAAA3AAAAA8AAAAAAAAAAAAA&#10;AAAAoQIAAGRycy9kb3ducmV2LnhtbFBLBQYAAAAABAAEAPkAAACRAwAAAAA=&#10;">
                    <v:stroke endarrow="block"/>
                  </v:shape>
                  <v:shape id="AutoShape 81" o:spid="_x0000_s1107" type="#_x0000_t32" style="position:absolute;left:7625;top:8088;width:1;height:1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clZMQAAADcAAAADwAAAGRycy9kb3ducmV2LnhtbERPS2vCQBC+F/oflhG81Y0VikldgxQq&#10;YunBB8Hehuw0Cc3Oht01Rn+9Wyj0Nh/fcxb5YFrRk/ONZQXTSQKCuLS64UrB8fD+NAfhA7LG1jIp&#10;uJKHfPn4sMBM2wvvqN+HSsQQ9hkqqEPoMil9WZNBP7EdceS+rTMYInSV1A4vMdy08jlJXqTBhmND&#10;jR291VT+7M9GwekjPRfX4pO2xTTdfqEz/nZYKzUeDatXEIGG8C/+c290nJ/O4P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ZyVkxAAAANwAAAAPAAAAAAAAAAAA&#10;AAAAAKECAABkcnMvZG93bnJldi54bWxQSwUGAAAAAAQABAD5AAAAkgMAAAAA&#10;">
                    <v:stroke endarrow="block"/>
                  </v:shape>
                  <v:shape id="AutoShape 82" o:spid="_x0000_s1108" type="#_x0000_t32" style="position:absolute;left:9007;top:8088;width:2;height:1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69EMQAAADcAAAADwAAAGRycy9kb3ducmV2LnhtbERPS2vCQBC+F/oflhG81Y1FikldgxQq&#10;YunBB8Hehuw0Cc3Oht01Rn+9Wyj0Nh/fcxb5YFrRk/ONZQXTSQKCuLS64UrB8fD+NAfhA7LG1jIp&#10;uJKHfPn4sMBM2wvvqN+HSsQQ9hkqqEPoMil9WZNBP7EdceS+rTMYInSV1A4vMdy08jlJXqTBhmND&#10;jR291VT+7M9GwekjPRfX4pO2xTTdfqEz/nZYKzUeDatXEIGG8C/+c290nJ/O4P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r0QxAAAANwAAAAPAAAAAAAAAAAA&#10;AAAAAKECAABkcnMvZG93bnJldi54bWxQSwUGAAAAAAQABAD5AAAAkgMAAAAA&#10;">
                    <v:stroke endarrow="block"/>
                  </v:shape>
                  <v:rect id="Rectangle 83" o:spid="_x0000_s1109" style="position:absolute;left:2639;top:8227;width:1385;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textbo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Стандартна</w:t>
                          </w:r>
                        </w:p>
                      </w:txbxContent>
                    </v:textbox>
                  </v:rect>
                  <v:rect id="Rectangle 84" o:spid="_x0000_s1110" style="position:absolute;left:4024;top:8227;width:1386;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textbo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Під контролем</w:t>
                          </w:r>
                        </w:p>
                      </w:txbxContent>
                    </v:textbox>
                  </v:rect>
                  <v:rect id="Rectangle 85" o:spid="_x0000_s1111" style="position:absolute;left:5410;top:8227;width:1385;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textbox>
                      <w:txbxContent>
                        <w:p w:rsidR="00631A1C" w:rsidRPr="00785BBE" w:rsidRDefault="00631A1C" w:rsidP="00307A06">
                          <w:pPr>
                            <w:spacing w:line="240" w:lineRule="auto"/>
                            <w:jc w:val="center"/>
                            <w:rPr>
                              <w:rFonts w:ascii="Times New Roman" w:hAnsi="Times New Roman" w:cs="Times New Roman"/>
                              <w:sz w:val="28"/>
                              <w:szCs w:val="28"/>
                            </w:rPr>
                          </w:pPr>
                          <w:proofErr w:type="spellStart"/>
                          <w:r w:rsidRPr="00785BBE">
                            <w:rPr>
                              <w:rFonts w:ascii="Times New Roman" w:hAnsi="Times New Roman" w:cs="Times New Roman"/>
                              <w:sz w:val="28"/>
                              <w:szCs w:val="28"/>
                            </w:rPr>
                            <w:t>Субстандар</w:t>
                          </w:r>
                          <w:r>
                            <w:rPr>
                              <w:rFonts w:ascii="Times New Roman" w:hAnsi="Times New Roman" w:cs="Times New Roman"/>
                              <w:sz w:val="28"/>
                              <w:szCs w:val="28"/>
                            </w:rPr>
                            <w:t>-</w:t>
                          </w:r>
                          <w:r w:rsidRPr="00785BBE">
                            <w:rPr>
                              <w:rFonts w:ascii="Times New Roman" w:hAnsi="Times New Roman" w:cs="Times New Roman"/>
                              <w:sz w:val="28"/>
                              <w:szCs w:val="28"/>
                            </w:rPr>
                            <w:t>тна</w:t>
                          </w:r>
                          <w:proofErr w:type="spellEnd"/>
                        </w:p>
                      </w:txbxContent>
                    </v:textbox>
                  </v:rect>
                  <v:rect id="Rectangle 86" o:spid="_x0000_s1112" style="position:absolute;left:6795;top:8227;width:1247;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Сумнівна</w:t>
                          </w:r>
                        </w:p>
                      </w:txbxContent>
                    </v:textbox>
                  </v:rect>
                  <v:rect id="Rectangle 87" o:spid="_x0000_s1113" style="position:absolute;left:8042;top:8227;width:1247;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w:txbxContent>
                        <w:p w:rsidR="00631A1C" w:rsidRPr="00785BBE" w:rsidRDefault="00631A1C" w:rsidP="00307A06">
                          <w:pPr>
                            <w:spacing w:line="240" w:lineRule="auto"/>
                            <w:jc w:val="center"/>
                            <w:rPr>
                              <w:rFonts w:ascii="Times New Roman" w:hAnsi="Times New Roman" w:cs="Times New Roman"/>
                              <w:sz w:val="28"/>
                              <w:szCs w:val="28"/>
                            </w:rPr>
                          </w:pPr>
                          <w:r w:rsidRPr="00785BBE">
                            <w:rPr>
                              <w:rFonts w:ascii="Times New Roman" w:hAnsi="Times New Roman" w:cs="Times New Roman"/>
                              <w:sz w:val="28"/>
                              <w:szCs w:val="28"/>
                            </w:rPr>
                            <w:t>Безнадійна</w:t>
                          </w:r>
                        </w:p>
                      </w:txbxContent>
                    </v:textbox>
                  </v:rect>
                </v:group>
                <w10:anchorlock/>
              </v:group>
            </w:pict>
          </mc:Fallback>
        </mc:AlternateContent>
      </w:r>
    </w:p>
    <w:p w:rsidR="00307A06" w:rsidRPr="00E37001" w:rsidRDefault="00307A06" w:rsidP="00B07B79">
      <w:pPr>
        <w:pStyle w:val="Style1"/>
        <w:widowControl/>
        <w:spacing w:line="360" w:lineRule="auto"/>
        <w:ind w:firstLine="567"/>
        <w:contextualSpacing/>
        <w:jc w:val="both"/>
        <w:rPr>
          <w:rStyle w:val="FontStyle15"/>
          <w:b w:val="0"/>
          <w:sz w:val="28"/>
          <w:szCs w:val="28"/>
          <w:lang w:eastAsia="uk-UA"/>
        </w:rPr>
      </w:pPr>
      <w:r w:rsidRPr="00E37001">
        <w:rPr>
          <w:rStyle w:val="FontStyle15"/>
          <w:b w:val="0"/>
          <w:sz w:val="28"/>
          <w:szCs w:val="28"/>
          <w:lang w:eastAsia="uk-UA"/>
        </w:rPr>
        <w:t>Рис. 1.3.Етапи класифікації кредитного портфеля банку</w:t>
      </w:r>
    </w:p>
    <w:p w:rsidR="00307A06" w:rsidRPr="00E37001" w:rsidRDefault="00307A06" w:rsidP="00B07B79">
      <w:pPr>
        <w:pStyle w:val="Style1"/>
        <w:widowControl/>
        <w:spacing w:before="5" w:line="360" w:lineRule="auto"/>
        <w:ind w:firstLine="567"/>
        <w:contextualSpacing/>
        <w:jc w:val="both"/>
        <w:rPr>
          <w:rStyle w:val="FontStyle15"/>
          <w:b w:val="0"/>
          <w:sz w:val="28"/>
          <w:szCs w:val="28"/>
          <w:lang w:eastAsia="uk-UA"/>
        </w:rPr>
      </w:pPr>
      <w:r w:rsidRPr="00E37001">
        <w:rPr>
          <w:rStyle w:val="FontStyle15"/>
          <w:b w:val="0"/>
          <w:sz w:val="28"/>
          <w:szCs w:val="28"/>
          <w:lang w:eastAsia="uk-UA"/>
        </w:rPr>
        <w:lastRenderedPageBreak/>
        <w:t xml:space="preserve">За результатами класифікації кредитного портфеля визначається категорія кожної кредитної операції — </w:t>
      </w:r>
      <w:r w:rsidRPr="00E37001">
        <w:rPr>
          <w:rStyle w:val="FontStyle13"/>
          <w:b w:val="0"/>
          <w:i w:val="0"/>
          <w:sz w:val="28"/>
          <w:szCs w:val="28"/>
          <w:lang w:eastAsia="uk-UA"/>
        </w:rPr>
        <w:t>"стандартна", "під контролем", "</w:t>
      </w:r>
      <w:proofErr w:type="spellStart"/>
      <w:r w:rsidRPr="00E37001">
        <w:rPr>
          <w:rStyle w:val="FontStyle13"/>
          <w:b w:val="0"/>
          <w:i w:val="0"/>
          <w:sz w:val="28"/>
          <w:szCs w:val="28"/>
          <w:lang w:eastAsia="uk-UA"/>
        </w:rPr>
        <w:t>субстандартна</w:t>
      </w:r>
      <w:proofErr w:type="spellEnd"/>
      <w:r w:rsidRPr="00E37001">
        <w:rPr>
          <w:rStyle w:val="FontStyle13"/>
          <w:b w:val="0"/>
          <w:i w:val="0"/>
          <w:sz w:val="28"/>
          <w:szCs w:val="28"/>
          <w:lang w:eastAsia="uk-UA"/>
        </w:rPr>
        <w:t xml:space="preserve">", "сумнівна" </w:t>
      </w:r>
      <w:r w:rsidRPr="00E37001">
        <w:rPr>
          <w:rStyle w:val="FontStyle15"/>
          <w:b w:val="0"/>
          <w:sz w:val="28"/>
          <w:szCs w:val="28"/>
          <w:lang w:eastAsia="uk-UA"/>
        </w:rPr>
        <w:t xml:space="preserve">чи </w:t>
      </w:r>
      <w:r w:rsidRPr="00E37001">
        <w:rPr>
          <w:rStyle w:val="FontStyle13"/>
          <w:b w:val="0"/>
          <w:i w:val="0"/>
          <w:sz w:val="28"/>
          <w:szCs w:val="28"/>
          <w:lang w:eastAsia="uk-UA"/>
        </w:rPr>
        <w:t>"безнадійна"</w:t>
      </w:r>
      <w:r w:rsidR="000D7F29" w:rsidRPr="000D7F29">
        <w:rPr>
          <w:rStyle w:val="FontStyle13"/>
          <w:b w:val="0"/>
          <w:i w:val="0"/>
          <w:sz w:val="28"/>
          <w:szCs w:val="28"/>
          <w:lang w:val="ru-RU" w:eastAsia="uk-UA"/>
        </w:rPr>
        <w:t xml:space="preserve"> [59]</w:t>
      </w:r>
      <w:r w:rsidRPr="00E37001">
        <w:rPr>
          <w:rStyle w:val="FontStyle13"/>
          <w:b w:val="0"/>
          <w:i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5"/>
          <w:b w:val="0"/>
          <w:sz w:val="28"/>
          <w:szCs w:val="28"/>
          <w:lang w:eastAsia="uk-UA"/>
        </w:rPr>
      </w:pPr>
      <w:r w:rsidRPr="00E37001">
        <w:rPr>
          <w:rStyle w:val="FontStyle15"/>
          <w:b w:val="0"/>
          <w:sz w:val="28"/>
          <w:szCs w:val="28"/>
          <w:lang w:eastAsia="uk-UA"/>
        </w:rPr>
        <w:t>Досвід роботи багатьох банків доводить, що оптимальною вважається така структура кредитного портфеля за рівнем ризику: "стандартні" кредити — 22 % від загальної суми кредитного портфеля; кредити "під контролем" — 38; "</w:t>
      </w:r>
      <w:proofErr w:type="spellStart"/>
      <w:r w:rsidRPr="00E37001">
        <w:rPr>
          <w:rStyle w:val="FontStyle15"/>
          <w:b w:val="0"/>
          <w:sz w:val="28"/>
          <w:szCs w:val="28"/>
          <w:lang w:eastAsia="uk-UA"/>
        </w:rPr>
        <w:t>субстандартні</w:t>
      </w:r>
      <w:proofErr w:type="spellEnd"/>
      <w:r w:rsidRPr="00E37001">
        <w:rPr>
          <w:rStyle w:val="FontStyle15"/>
          <w:b w:val="0"/>
          <w:sz w:val="28"/>
          <w:szCs w:val="28"/>
          <w:lang w:eastAsia="uk-UA"/>
        </w:rPr>
        <w:t>" кредити — 30; "сумнівні" кредити — 5; "безнадійні" кредити — 5 %</w:t>
      </w:r>
      <w:r w:rsidR="000D7F29" w:rsidRPr="000D7F29">
        <w:rPr>
          <w:rStyle w:val="FontStyle15"/>
          <w:b w:val="0"/>
          <w:sz w:val="28"/>
          <w:szCs w:val="28"/>
          <w:lang w:eastAsia="uk-UA"/>
        </w:rPr>
        <w:t xml:space="preserve"> [69]</w:t>
      </w:r>
      <w:r w:rsidRPr="00E37001">
        <w:rPr>
          <w:rStyle w:val="FontStyle15"/>
          <w:b w:val="0"/>
          <w:sz w:val="28"/>
          <w:szCs w:val="28"/>
          <w:lang w:eastAsia="uk-UA"/>
        </w:rPr>
        <w:t>.</w:t>
      </w:r>
    </w:p>
    <w:p w:rsidR="00307A06" w:rsidRPr="00E37001" w:rsidRDefault="00307A06" w:rsidP="00B07B79">
      <w:pPr>
        <w:pStyle w:val="Style1"/>
        <w:widowControl/>
        <w:spacing w:before="115" w:line="360" w:lineRule="auto"/>
        <w:ind w:firstLine="567"/>
        <w:contextualSpacing/>
        <w:jc w:val="both"/>
        <w:rPr>
          <w:rStyle w:val="FontStyle14"/>
          <w:i w:val="0"/>
          <w:sz w:val="28"/>
          <w:szCs w:val="28"/>
          <w:lang w:eastAsia="uk-UA"/>
        </w:rPr>
      </w:pPr>
      <w:r w:rsidRPr="00E37001">
        <w:rPr>
          <w:rStyle w:val="FontStyle14"/>
          <w:i w:val="0"/>
          <w:sz w:val="28"/>
          <w:szCs w:val="28"/>
          <w:lang w:eastAsia="uk-UA"/>
        </w:rPr>
        <w:t>Категорія кредитної операції за ступенем ризику визначається в результаті комбінації результатів класифікації позичальників та оцінки стану обслуговування заборгованості за кредитом (табл. 1.1.).</w:t>
      </w:r>
    </w:p>
    <w:p w:rsidR="00307A06" w:rsidRPr="00E37001" w:rsidRDefault="00307A06" w:rsidP="00B07B79">
      <w:pPr>
        <w:pStyle w:val="Style1"/>
        <w:widowControl/>
        <w:spacing w:before="115" w:line="360" w:lineRule="auto"/>
        <w:ind w:firstLine="567"/>
        <w:contextualSpacing/>
        <w:jc w:val="both"/>
        <w:rPr>
          <w:rStyle w:val="FontStyle14"/>
          <w:i w:val="0"/>
          <w:sz w:val="28"/>
          <w:szCs w:val="28"/>
          <w:lang w:eastAsia="uk-UA"/>
        </w:rPr>
      </w:pPr>
      <w:r w:rsidRPr="00E37001">
        <w:rPr>
          <w:rStyle w:val="FontStyle14"/>
          <w:i w:val="0"/>
          <w:sz w:val="28"/>
          <w:szCs w:val="28"/>
          <w:lang w:eastAsia="uk-UA"/>
        </w:rPr>
        <w:t>Таблиця 1.1. Класифікація кредитних операцій банку</w:t>
      </w:r>
    </w:p>
    <w:tbl>
      <w:tblPr>
        <w:tblStyle w:val="ae"/>
        <w:tblW w:w="0" w:type="auto"/>
        <w:jc w:val="center"/>
        <w:tblLook w:val="04A0" w:firstRow="1" w:lastRow="0" w:firstColumn="1" w:lastColumn="0" w:noHBand="0" w:noVBand="1"/>
      </w:tblPr>
      <w:tblGrid>
        <w:gridCol w:w="2392"/>
        <w:gridCol w:w="2393"/>
        <w:gridCol w:w="2393"/>
        <w:gridCol w:w="2393"/>
      </w:tblGrid>
      <w:tr w:rsidR="00307A06" w:rsidRPr="00E37001" w:rsidTr="00307A06">
        <w:trPr>
          <w:jc w:val="center"/>
        </w:trPr>
        <w:tc>
          <w:tcPr>
            <w:tcW w:w="2392" w:type="dxa"/>
            <w:vMerge w:val="restart"/>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r w:rsidRPr="00E37001">
              <w:rPr>
                <w:rStyle w:val="FontStyle14"/>
                <w:i w:val="0"/>
                <w:sz w:val="28"/>
                <w:szCs w:val="28"/>
                <w:lang w:eastAsia="uk-UA"/>
              </w:rPr>
              <w:t>Клас позичальника</w:t>
            </w:r>
          </w:p>
        </w:tc>
        <w:tc>
          <w:tcPr>
            <w:tcW w:w="7179" w:type="dxa"/>
            <w:gridSpan w:val="3"/>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Обслуговування боргу позичальником (група)</w:t>
            </w:r>
          </w:p>
        </w:tc>
      </w:tr>
      <w:tr w:rsidR="00307A06" w:rsidRPr="00E37001" w:rsidTr="00307A06">
        <w:trPr>
          <w:jc w:val="center"/>
        </w:trPr>
        <w:tc>
          <w:tcPr>
            <w:tcW w:w="2392" w:type="dxa"/>
            <w:vMerge/>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«добре»</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«слабке»</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«незадовільне»</w:t>
            </w:r>
          </w:p>
        </w:tc>
      </w:tr>
      <w:tr w:rsidR="00307A06" w:rsidRPr="00E37001" w:rsidTr="00307A06">
        <w:trPr>
          <w:jc w:val="center"/>
        </w:trPr>
        <w:tc>
          <w:tcPr>
            <w:tcW w:w="2392" w:type="dxa"/>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r w:rsidRPr="00E37001">
              <w:rPr>
                <w:rStyle w:val="FontStyle14"/>
                <w:i w:val="0"/>
                <w:sz w:val="28"/>
                <w:szCs w:val="28"/>
                <w:lang w:eastAsia="uk-UA"/>
              </w:rPr>
              <w:t>«А»</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«Стандартна»</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«Під контролем»</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w:t>
            </w:r>
            <w:proofErr w:type="spellStart"/>
            <w:r w:rsidRPr="00E37001">
              <w:rPr>
                <w:rStyle w:val="FontStyle14"/>
                <w:i w:val="0"/>
                <w:sz w:val="28"/>
                <w:szCs w:val="28"/>
                <w:lang w:eastAsia="uk-UA"/>
              </w:rPr>
              <w:t>Субстандартна</w:t>
            </w:r>
            <w:proofErr w:type="spellEnd"/>
            <w:r w:rsidRPr="00E37001">
              <w:rPr>
                <w:rStyle w:val="FontStyle14"/>
                <w:i w:val="0"/>
                <w:sz w:val="28"/>
                <w:szCs w:val="28"/>
                <w:lang w:eastAsia="uk-UA"/>
              </w:rPr>
              <w:t>»</w:t>
            </w:r>
          </w:p>
        </w:tc>
      </w:tr>
      <w:tr w:rsidR="00307A06" w:rsidRPr="00E37001" w:rsidTr="00307A06">
        <w:trPr>
          <w:jc w:val="center"/>
        </w:trPr>
        <w:tc>
          <w:tcPr>
            <w:tcW w:w="2392" w:type="dxa"/>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r w:rsidRPr="00E37001">
              <w:rPr>
                <w:rStyle w:val="FontStyle14"/>
                <w:i w:val="0"/>
                <w:sz w:val="28"/>
                <w:szCs w:val="28"/>
                <w:lang w:eastAsia="uk-UA"/>
              </w:rPr>
              <w:t>«Б»</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«Під контролем»</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w:t>
            </w:r>
            <w:proofErr w:type="spellStart"/>
            <w:r w:rsidRPr="00E37001">
              <w:rPr>
                <w:rStyle w:val="FontStyle14"/>
                <w:i w:val="0"/>
                <w:sz w:val="28"/>
                <w:szCs w:val="28"/>
                <w:lang w:eastAsia="uk-UA"/>
              </w:rPr>
              <w:t>Субстандартна</w:t>
            </w:r>
            <w:proofErr w:type="spellEnd"/>
            <w:r w:rsidRPr="00E37001">
              <w:rPr>
                <w:rStyle w:val="FontStyle14"/>
                <w:i w:val="0"/>
                <w:sz w:val="28"/>
                <w:szCs w:val="28"/>
                <w:lang w:eastAsia="uk-UA"/>
              </w:rPr>
              <w:t>»</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w:t>
            </w:r>
            <w:proofErr w:type="spellStart"/>
            <w:r w:rsidRPr="00E37001">
              <w:rPr>
                <w:rStyle w:val="FontStyle14"/>
                <w:i w:val="0"/>
                <w:sz w:val="28"/>
                <w:szCs w:val="28"/>
                <w:lang w:eastAsia="uk-UA"/>
              </w:rPr>
              <w:t>Субстандартна</w:t>
            </w:r>
            <w:proofErr w:type="spellEnd"/>
            <w:r w:rsidRPr="00E37001">
              <w:rPr>
                <w:rStyle w:val="FontStyle14"/>
                <w:i w:val="0"/>
                <w:sz w:val="28"/>
                <w:szCs w:val="28"/>
                <w:lang w:eastAsia="uk-UA"/>
              </w:rPr>
              <w:t>»</w:t>
            </w:r>
          </w:p>
        </w:tc>
      </w:tr>
      <w:tr w:rsidR="00307A06" w:rsidRPr="00E37001" w:rsidTr="00307A06">
        <w:trPr>
          <w:jc w:val="center"/>
        </w:trPr>
        <w:tc>
          <w:tcPr>
            <w:tcW w:w="2392" w:type="dxa"/>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r w:rsidRPr="00E37001">
              <w:rPr>
                <w:rStyle w:val="FontStyle14"/>
                <w:i w:val="0"/>
                <w:sz w:val="28"/>
                <w:szCs w:val="28"/>
                <w:lang w:eastAsia="uk-UA"/>
              </w:rPr>
              <w:t>«В»</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w:t>
            </w:r>
            <w:proofErr w:type="spellStart"/>
            <w:r w:rsidRPr="00E37001">
              <w:rPr>
                <w:rStyle w:val="FontStyle14"/>
                <w:i w:val="0"/>
                <w:sz w:val="28"/>
                <w:szCs w:val="28"/>
                <w:lang w:eastAsia="uk-UA"/>
              </w:rPr>
              <w:t>Субстандартна</w:t>
            </w:r>
            <w:proofErr w:type="spellEnd"/>
            <w:r w:rsidRPr="00E37001">
              <w:rPr>
                <w:rStyle w:val="FontStyle14"/>
                <w:i w:val="0"/>
                <w:sz w:val="28"/>
                <w:szCs w:val="28"/>
                <w:lang w:eastAsia="uk-UA"/>
              </w:rPr>
              <w:t>»</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w:t>
            </w:r>
            <w:proofErr w:type="spellStart"/>
            <w:r w:rsidRPr="00E37001">
              <w:rPr>
                <w:rStyle w:val="FontStyle14"/>
                <w:i w:val="0"/>
                <w:sz w:val="28"/>
                <w:szCs w:val="28"/>
                <w:lang w:eastAsia="uk-UA"/>
              </w:rPr>
              <w:t>Субстандартна</w:t>
            </w:r>
            <w:proofErr w:type="spellEnd"/>
            <w:r w:rsidRPr="00E37001">
              <w:rPr>
                <w:rStyle w:val="FontStyle14"/>
                <w:i w:val="0"/>
                <w:sz w:val="28"/>
                <w:szCs w:val="28"/>
                <w:lang w:eastAsia="uk-UA"/>
              </w:rPr>
              <w:t>»</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«Сумнівна»</w:t>
            </w:r>
          </w:p>
        </w:tc>
      </w:tr>
      <w:tr w:rsidR="00307A06" w:rsidRPr="00E37001" w:rsidTr="00307A06">
        <w:trPr>
          <w:jc w:val="center"/>
        </w:trPr>
        <w:tc>
          <w:tcPr>
            <w:tcW w:w="2392" w:type="dxa"/>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r w:rsidRPr="00E37001">
              <w:rPr>
                <w:rStyle w:val="FontStyle14"/>
                <w:i w:val="0"/>
                <w:sz w:val="28"/>
                <w:szCs w:val="28"/>
                <w:lang w:eastAsia="uk-UA"/>
              </w:rPr>
              <w:t>«Г»</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«Сумнівна»</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«Сумнівна»</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«Безнадійна»</w:t>
            </w:r>
          </w:p>
        </w:tc>
      </w:tr>
      <w:tr w:rsidR="00307A06" w:rsidRPr="00E37001" w:rsidTr="00307A06">
        <w:trPr>
          <w:jc w:val="center"/>
        </w:trPr>
        <w:tc>
          <w:tcPr>
            <w:tcW w:w="2392" w:type="dxa"/>
          </w:tcPr>
          <w:p w:rsidR="00307A06" w:rsidRPr="00E37001" w:rsidRDefault="00307A06" w:rsidP="00B07B79">
            <w:pPr>
              <w:pStyle w:val="Style1"/>
              <w:widowControl/>
              <w:spacing w:before="115" w:line="360" w:lineRule="auto"/>
              <w:ind w:hanging="1"/>
              <w:contextualSpacing/>
              <w:jc w:val="both"/>
              <w:rPr>
                <w:rStyle w:val="FontStyle14"/>
                <w:i w:val="0"/>
                <w:sz w:val="28"/>
                <w:szCs w:val="28"/>
                <w:lang w:eastAsia="uk-UA"/>
              </w:rPr>
            </w:pPr>
            <w:r w:rsidRPr="00E37001">
              <w:rPr>
                <w:rStyle w:val="FontStyle14"/>
                <w:i w:val="0"/>
                <w:sz w:val="28"/>
                <w:szCs w:val="28"/>
                <w:lang w:eastAsia="uk-UA"/>
              </w:rPr>
              <w:t>«Д»</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«Сумнівна»</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«Безнадійна»</w:t>
            </w:r>
          </w:p>
        </w:tc>
        <w:tc>
          <w:tcPr>
            <w:tcW w:w="2393" w:type="dxa"/>
          </w:tcPr>
          <w:p w:rsidR="00307A06" w:rsidRPr="00E37001" w:rsidRDefault="00307A06" w:rsidP="00B07B79">
            <w:pPr>
              <w:pStyle w:val="Style1"/>
              <w:widowControl/>
              <w:spacing w:before="115" w:line="360" w:lineRule="auto"/>
              <w:contextualSpacing/>
              <w:jc w:val="both"/>
              <w:rPr>
                <w:rStyle w:val="FontStyle14"/>
                <w:i w:val="0"/>
                <w:sz w:val="28"/>
                <w:szCs w:val="28"/>
                <w:lang w:eastAsia="uk-UA"/>
              </w:rPr>
            </w:pPr>
            <w:r w:rsidRPr="00E37001">
              <w:rPr>
                <w:rStyle w:val="FontStyle14"/>
                <w:i w:val="0"/>
                <w:sz w:val="28"/>
                <w:szCs w:val="28"/>
                <w:lang w:eastAsia="uk-UA"/>
              </w:rPr>
              <w:t>«Безнадійна»</w:t>
            </w:r>
          </w:p>
        </w:tc>
      </w:tr>
    </w:tbl>
    <w:p w:rsidR="00307A06" w:rsidRPr="00E37001" w:rsidRDefault="00307A06" w:rsidP="00B07B79">
      <w:pPr>
        <w:pStyle w:val="Style1"/>
        <w:widowControl/>
        <w:spacing w:line="360" w:lineRule="auto"/>
        <w:ind w:firstLine="567"/>
        <w:contextualSpacing/>
        <w:jc w:val="both"/>
        <w:rPr>
          <w:rStyle w:val="FontStyle14"/>
          <w:i w:val="0"/>
          <w:sz w:val="28"/>
          <w:szCs w:val="28"/>
          <w:lang w:eastAsia="uk-UA"/>
        </w:rPr>
      </w:pPr>
      <w:r w:rsidRPr="00E37001">
        <w:rPr>
          <w:rStyle w:val="FontStyle14"/>
          <w:i w:val="0"/>
          <w:sz w:val="28"/>
          <w:szCs w:val="28"/>
          <w:lang w:eastAsia="uk-UA"/>
        </w:rPr>
        <w:t>Якщо позичальник за результатами оцінки фінансового стану віднесений до класу "В" або "Г" і стан обслуговування ним боргу протягом останніх шести місяців визначений як "добрий" (крім договорів, пролонгованих зі зниженням класу позичальника), то така кредитна операція класифікується як "під контролем" (якщо позичальник віднесений до класу "В") або "</w:t>
      </w:r>
      <w:proofErr w:type="spellStart"/>
      <w:r w:rsidRPr="00E37001">
        <w:rPr>
          <w:rStyle w:val="FontStyle14"/>
          <w:i w:val="0"/>
          <w:sz w:val="28"/>
          <w:szCs w:val="28"/>
          <w:lang w:eastAsia="uk-UA"/>
        </w:rPr>
        <w:t>субстандартна</w:t>
      </w:r>
      <w:proofErr w:type="spellEnd"/>
      <w:r w:rsidRPr="00E37001">
        <w:rPr>
          <w:rStyle w:val="FontStyle14"/>
          <w:i w:val="0"/>
          <w:sz w:val="28"/>
          <w:szCs w:val="28"/>
          <w:lang w:eastAsia="uk-UA"/>
        </w:rPr>
        <w:t>" (якщо позичальник віднесений до класу "Г"). Зазначена вимога за цими позичальниками застосовується і до кредитних договорів, які на дату класифікації кредитного портфеля діють менше шести місяців</w:t>
      </w:r>
      <w:r w:rsidR="000D7F29" w:rsidRPr="000D7F29">
        <w:rPr>
          <w:rStyle w:val="FontStyle14"/>
          <w:i w:val="0"/>
          <w:sz w:val="28"/>
          <w:szCs w:val="28"/>
          <w:lang w:val="ru-RU" w:eastAsia="uk-UA"/>
        </w:rPr>
        <w:t xml:space="preserve"> [60]</w:t>
      </w:r>
      <w:r w:rsidRPr="00E37001">
        <w:rPr>
          <w:rStyle w:val="FontStyle14"/>
          <w:i w:val="0"/>
          <w:sz w:val="28"/>
          <w:szCs w:val="28"/>
          <w:lang w:eastAsia="uk-UA"/>
        </w:rPr>
        <w:t>.</w:t>
      </w:r>
    </w:p>
    <w:p w:rsidR="00307A06" w:rsidRPr="00E37001" w:rsidRDefault="00307A06" w:rsidP="00B07B79">
      <w:pPr>
        <w:pStyle w:val="Style1"/>
        <w:widowControl/>
        <w:spacing w:before="5" w:line="360" w:lineRule="auto"/>
        <w:ind w:firstLine="567"/>
        <w:contextualSpacing/>
        <w:jc w:val="both"/>
        <w:rPr>
          <w:rStyle w:val="FontStyle14"/>
          <w:i w:val="0"/>
          <w:sz w:val="28"/>
          <w:szCs w:val="28"/>
          <w:lang w:eastAsia="uk-UA"/>
        </w:rPr>
      </w:pPr>
      <w:r w:rsidRPr="00E37001">
        <w:rPr>
          <w:rStyle w:val="FontStyle14"/>
          <w:i w:val="0"/>
          <w:sz w:val="28"/>
          <w:szCs w:val="28"/>
          <w:lang w:eastAsia="uk-UA"/>
        </w:rPr>
        <w:lastRenderedPageBreak/>
        <w:t xml:space="preserve">До категорій кредитних операцій "стандартна" і "під контролем" не можуть належати </w:t>
      </w:r>
      <w:r w:rsidRPr="00E37001">
        <w:rPr>
          <w:rStyle w:val="FontStyle15"/>
          <w:b w:val="0"/>
          <w:sz w:val="28"/>
          <w:szCs w:val="28"/>
          <w:lang w:eastAsia="uk-UA"/>
        </w:rPr>
        <w:t xml:space="preserve">пільгові кредити </w:t>
      </w:r>
      <w:r w:rsidRPr="00E37001">
        <w:rPr>
          <w:rStyle w:val="FontStyle14"/>
          <w:i w:val="0"/>
          <w:sz w:val="28"/>
          <w:szCs w:val="28"/>
          <w:lang w:eastAsia="uk-UA"/>
        </w:rPr>
        <w:t>— кредити, надані позичальникам на більш сприятливих умовах, ніж встановлено внутрішніми документами банку, які визначають його кредитну та облікову політику і відповідають законодавству України.</w:t>
      </w:r>
    </w:p>
    <w:p w:rsidR="00307A06" w:rsidRPr="00E37001" w:rsidRDefault="00307A06" w:rsidP="00B07B79">
      <w:pPr>
        <w:pStyle w:val="Style1"/>
        <w:widowControl/>
        <w:spacing w:before="10" w:line="360" w:lineRule="auto"/>
        <w:ind w:firstLine="567"/>
        <w:contextualSpacing/>
        <w:jc w:val="both"/>
        <w:rPr>
          <w:rStyle w:val="FontStyle14"/>
          <w:i w:val="0"/>
          <w:sz w:val="28"/>
          <w:szCs w:val="28"/>
          <w:lang w:eastAsia="uk-UA"/>
        </w:rPr>
      </w:pPr>
      <w:r w:rsidRPr="00E37001">
        <w:rPr>
          <w:rStyle w:val="FontStyle14"/>
          <w:i w:val="0"/>
          <w:sz w:val="28"/>
          <w:szCs w:val="28"/>
          <w:lang w:eastAsia="uk-UA"/>
        </w:rPr>
        <w:t>Під час класифікації операцій за врахованими векселями, крім оцінки фінансового стану платника за векселем, банк також має враховувати і строк погашення заборгованості</w:t>
      </w:r>
      <w:r w:rsidR="000D7F29" w:rsidRPr="000D7F29">
        <w:rPr>
          <w:rStyle w:val="FontStyle14"/>
          <w:i w:val="0"/>
          <w:sz w:val="28"/>
          <w:szCs w:val="28"/>
          <w:lang w:val="ru-RU" w:eastAsia="uk-UA"/>
        </w:rPr>
        <w:t>[62]</w:t>
      </w:r>
      <w:r w:rsidRPr="00E37001">
        <w:rPr>
          <w:rStyle w:val="FontStyle14"/>
          <w:i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4"/>
          <w:i w:val="0"/>
          <w:sz w:val="28"/>
          <w:szCs w:val="28"/>
          <w:lang w:eastAsia="uk-UA"/>
        </w:rPr>
      </w:pPr>
      <w:r w:rsidRPr="00E37001">
        <w:rPr>
          <w:rStyle w:val="FontStyle14"/>
          <w:i w:val="0"/>
          <w:sz w:val="28"/>
          <w:szCs w:val="28"/>
          <w:lang w:eastAsia="uk-UA"/>
        </w:rPr>
        <w:t>Якщо заборгованість за простроченими векселями прострочена не більше ніж на 30 днів, то така кредитна операція не може бути класифікована вище ніж "сумнівна"</w:t>
      </w:r>
      <w:r w:rsidR="002E487A" w:rsidRPr="002E487A">
        <w:rPr>
          <w:rStyle w:val="FontStyle14"/>
          <w:i w:val="0"/>
          <w:sz w:val="28"/>
          <w:szCs w:val="28"/>
          <w:lang w:val="ru-RU" w:eastAsia="uk-UA"/>
        </w:rPr>
        <w:t xml:space="preserve"> [105]</w:t>
      </w:r>
      <w:r w:rsidRPr="00E37001">
        <w:rPr>
          <w:rStyle w:val="FontStyle14"/>
          <w:i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4"/>
          <w:i w:val="0"/>
          <w:sz w:val="28"/>
          <w:szCs w:val="28"/>
          <w:lang w:eastAsia="uk-UA"/>
        </w:rPr>
      </w:pPr>
      <w:r w:rsidRPr="00E37001">
        <w:rPr>
          <w:rStyle w:val="FontStyle14"/>
          <w:i w:val="0"/>
          <w:sz w:val="28"/>
          <w:szCs w:val="28"/>
          <w:lang w:eastAsia="uk-UA"/>
        </w:rPr>
        <w:t>Заборгованість за простроченими векселями зі строком прострочення понад 30 днів має належати до категорії "безнадійна".</w:t>
      </w:r>
    </w:p>
    <w:p w:rsidR="00307A06" w:rsidRPr="00E37001" w:rsidRDefault="00307A06" w:rsidP="00B07B79">
      <w:pPr>
        <w:pStyle w:val="Style1"/>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Оцінка якості кредитної операції здійснюється до часу виконання позичальником зобов'язання за кредитом незалежно від виду зобов'язання або його заміни на інший вид</w:t>
      </w:r>
      <w:r w:rsidR="000D7F29" w:rsidRPr="000D7F29">
        <w:rPr>
          <w:rStyle w:val="FontStyle11"/>
          <w:sz w:val="28"/>
          <w:szCs w:val="28"/>
          <w:lang w:val="ru-RU" w:eastAsia="uk-UA"/>
        </w:rPr>
        <w:t xml:space="preserve"> [61]</w:t>
      </w:r>
      <w:r w:rsidRPr="00E37001">
        <w:rPr>
          <w:rStyle w:val="FontStyle11"/>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При класифікації кредитних операцій за ступенями ризику і віднесення їх до груп, за якими розраховується резерв за факторингом, наданими зобов'язаннями (аваль), виконаними гарантіями та поручительством, враховується строк погашення заборгованості, а саме</w:t>
      </w:r>
      <w:r w:rsidR="000D7F29" w:rsidRPr="000D7F29">
        <w:rPr>
          <w:rStyle w:val="FontStyle11"/>
          <w:sz w:val="28"/>
          <w:szCs w:val="28"/>
          <w:lang w:val="ru-RU" w:eastAsia="uk-UA"/>
        </w:rPr>
        <w:t xml:space="preserve"> [63]</w:t>
      </w:r>
      <w:r w:rsidRPr="00E37001">
        <w:rPr>
          <w:rStyle w:val="FontStyle11"/>
          <w:sz w:val="28"/>
          <w:szCs w:val="28"/>
          <w:lang w:eastAsia="uk-UA"/>
        </w:rPr>
        <w:t>:</w:t>
      </w:r>
    </w:p>
    <w:p w:rsidR="00307A06" w:rsidRPr="00E37001" w:rsidRDefault="00307A06" w:rsidP="00B07B79">
      <w:pPr>
        <w:pStyle w:val="Style1"/>
        <w:widowControl/>
        <w:numPr>
          <w:ilvl w:val="0"/>
          <w:numId w:val="5"/>
        </w:numPr>
        <w:tabs>
          <w:tab w:val="left" w:pos="566"/>
        </w:tabs>
        <w:spacing w:line="360" w:lineRule="auto"/>
        <w:ind w:firstLine="567"/>
        <w:contextualSpacing/>
        <w:jc w:val="both"/>
        <w:rPr>
          <w:rStyle w:val="FontStyle11"/>
          <w:sz w:val="28"/>
          <w:szCs w:val="28"/>
        </w:rPr>
      </w:pPr>
      <w:r w:rsidRPr="00E37001">
        <w:rPr>
          <w:rStyle w:val="FontStyle11"/>
          <w:sz w:val="28"/>
          <w:szCs w:val="28"/>
          <w:lang w:eastAsia="uk-UA"/>
        </w:rPr>
        <w:t>"стандартна" — заборгованість, за якою строк погашення чи повернення, передбачений договірними умовами (за векселем), ще не настав, або зобов'язання (у тому числі аваль), строк виконання за якими ще не настав;</w:t>
      </w:r>
    </w:p>
    <w:p w:rsidR="00307A06" w:rsidRPr="00E37001" w:rsidRDefault="00307A06" w:rsidP="00B07B79">
      <w:pPr>
        <w:pStyle w:val="Style1"/>
        <w:widowControl/>
        <w:numPr>
          <w:ilvl w:val="0"/>
          <w:numId w:val="5"/>
        </w:numPr>
        <w:tabs>
          <w:tab w:val="left" w:pos="566"/>
        </w:tabs>
        <w:spacing w:line="360" w:lineRule="auto"/>
        <w:ind w:firstLine="567"/>
        <w:contextualSpacing/>
        <w:jc w:val="both"/>
        <w:rPr>
          <w:rStyle w:val="FontStyle11"/>
          <w:sz w:val="28"/>
          <w:szCs w:val="28"/>
        </w:rPr>
      </w:pPr>
      <w:r w:rsidRPr="00E37001">
        <w:rPr>
          <w:rStyle w:val="FontStyle11"/>
          <w:sz w:val="28"/>
          <w:szCs w:val="28"/>
          <w:lang w:eastAsia="uk-UA"/>
        </w:rPr>
        <w:t>"сумнівна" — заборгованість за факторинговими операціями (за основним боргом або черговим платежем) та за виконаними (сплаченими) банком гарантіями і поручительством (у тому числі авалем) становить до 90 днів з дня виконання зобов'язання (платежу), передбаченого договірними умовами (векселем);</w:t>
      </w:r>
    </w:p>
    <w:p w:rsidR="00307A06" w:rsidRPr="00E37001" w:rsidRDefault="00307A06" w:rsidP="00B07B79">
      <w:pPr>
        <w:pStyle w:val="Style1"/>
        <w:widowControl/>
        <w:numPr>
          <w:ilvl w:val="0"/>
          <w:numId w:val="5"/>
        </w:numPr>
        <w:tabs>
          <w:tab w:val="left" w:pos="566"/>
        </w:tabs>
        <w:spacing w:line="360" w:lineRule="auto"/>
        <w:ind w:firstLine="567"/>
        <w:contextualSpacing/>
        <w:jc w:val="both"/>
        <w:rPr>
          <w:rStyle w:val="FontStyle11"/>
          <w:sz w:val="28"/>
          <w:szCs w:val="28"/>
        </w:rPr>
      </w:pPr>
      <w:r w:rsidRPr="00E37001">
        <w:rPr>
          <w:rStyle w:val="FontStyle11"/>
          <w:sz w:val="28"/>
          <w:szCs w:val="28"/>
          <w:lang w:eastAsia="uk-UA"/>
        </w:rPr>
        <w:lastRenderedPageBreak/>
        <w:t>"безнадійна" — заборгованість за факторинговими операціями (основним боргом або черговим платежем) та за гарантіями і поручительством (у тому числі авалем), виконаними (сплаченими) банком, за якими клієнт не виконав своїх зобов'язань, зі строком понад 90 днів після настання строку платежу, передбаченого договірними умовами (векселем)</w:t>
      </w:r>
      <w:r w:rsidR="000D7F29" w:rsidRPr="000D7F29">
        <w:rPr>
          <w:rStyle w:val="FontStyle11"/>
          <w:sz w:val="28"/>
          <w:szCs w:val="28"/>
          <w:lang w:val="ru-RU" w:eastAsia="uk-UA"/>
        </w:rPr>
        <w:t xml:space="preserve"> [68]</w:t>
      </w:r>
      <w:r w:rsidRPr="00E37001">
        <w:rPr>
          <w:rStyle w:val="FontStyle11"/>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1"/>
          <w:sz w:val="28"/>
          <w:szCs w:val="28"/>
          <w:lang w:eastAsia="uk-UA"/>
        </w:rPr>
      </w:pPr>
      <w:r w:rsidRPr="00E37001">
        <w:rPr>
          <w:rStyle w:val="FontStyle11"/>
          <w:sz w:val="28"/>
          <w:szCs w:val="28"/>
          <w:lang w:eastAsia="uk-UA"/>
        </w:rPr>
        <w:t>Якщо на момент виконання банком зобов'язання за наданими гарантіями та поручительством це зобов'язання було класифіковане з урахуванням оцінки кредитоспроможності контрагента як "безнадійне", то після виконання банком такого зобов'язання кредитна заборгованість класифікується також як "безнадійна", якщо фінансова діяльність такого контрагента не поліпшилася</w:t>
      </w:r>
      <w:r w:rsidR="000D7F29" w:rsidRPr="000D7F29">
        <w:rPr>
          <w:rStyle w:val="FontStyle11"/>
          <w:sz w:val="28"/>
          <w:szCs w:val="28"/>
          <w:lang w:val="ru-RU" w:eastAsia="uk-UA"/>
        </w:rPr>
        <w:t xml:space="preserve"> [64]</w:t>
      </w:r>
      <w:r w:rsidRPr="00E37001">
        <w:rPr>
          <w:rStyle w:val="FontStyle11"/>
          <w:sz w:val="28"/>
          <w:szCs w:val="28"/>
          <w:lang w:eastAsia="uk-UA"/>
        </w:rPr>
        <w:t>.</w:t>
      </w:r>
    </w:p>
    <w:p w:rsidR="00B07B79" w:rsidRDefault="00307A06" w:rsidP="00B07B79">
      <w:pPr>
        <w:pStyle w:val="Style1"/>
        <w:widowControl/>
        <w:spacing w:before="115" w:line="360" w:lineRule="auto"/>
        <w:ind w:firstLine="567"/>
        <w:contextualSpacing/>
        <w:jc w:val="both"/>
        <w:rPr>
          <w:rStyle w:val="FontStyle11"/>
          <w:sz w:val="28"/>
          <w:szCs w:val="28"/>
          <w:lang w:eastAsia="uk-UA"/>
        </w:rPr>
      </w:pPr>
      <w:r w:rsidRPr="00E37001">
        <w:rPr>
          <w:rStyle w:val="FontStyle11"/>
          <w:sz w:val="28"/>
          <w:szCs w:val="28"/>
          <w:lang w:eastAsia="uk-UA"/>
        </w:rPr>
        <w:t>З метою виявлення резервів підвищення ефективності кредитної діяльності за умови запланованого рівня дохідності та допустимого рівня ризику банки проводять аналіз кредитного портфеля, який здійснюється у двох напрямах:</w:t>
      </w:r>
      <w:r w:rsidR="00B07B79">
        <w:rPr>
          <w:rStyle w:val="FontStyle11"/>
          <w:sz w:val="28"/>
          <w:szCs w:val="28"/>
          <w:lang w:eastAsia="uk-UA"/>
        </w:rPr>
        <w:t xml:space="preserve"> 1) </w:t>
      </w:r>
      <w:r w:rsidRPr="00E37001">
        <w:rPr>
          <w:rStyle w:val="FontStyle11"/>
          <w:sz w:val="28"/>
          <w:szCs w:val="28"/>
          <w:lang w:eastAsia="uk-UA"/>
        </w:rPr>
        <w:t>аналіз структури та динаміки кредитного портфеля;</w:t>
      </w:r>
    </w:p>
    <w:p w:rsidR="00307A06" w:rsidRDefault="00B07B79" w:rsidP="00B07B79">
      <w:pPr>
        <w:pStyle w:val="Style1"/>
        <w:widowControl/>
        <w:spacing w:before="115" w:line="360" w:lineRule="auto"/>
        <w:ind w:firstLine="567"/>
        <w:contextualSpacing/>
        <w:jc w:val="both"/>
        <w:rPr>
          <w:rStyle w:val="FontStyle11"/>
          <w:sz w:val="28"/>
          <w:szCs w:val="28"/>
        </w:rPr>
      </w:pPr>
      <w:r>
        <w:rPr>
          <w:rStyle w:val="FontStyle11"/>
          <w:sz w:val="28"/>
          <w:szCs w:val="28"/>
          <w:lang w:eastAsia="uk-UA"/>
        </w:rPr>
        <w:t xml:space="preserve">2) </w:t>
      </w:r>
      <w:r w:rsidR="00307A06" w:rsidRPr="00E37001">
        <w:rPr>
          <w:rStyle w:val="FontStyle11"/>
          <w:sz w:val="28"/>
          <w:szCs w:val="28"/>
          <w:lang w:eastAsia="uk-UA"/>
        </w:rPr>
        <w:t>якісний аналіз кредитного портфеля (рис. 1.4.).</w:t>
      </w:r>
    </w:p>
    <w:p w:rsidR="00307A06" w:rsidRPr="00E37001" w:rsidRDefault="00776A19" w:rsidP="00B07B79">
      <w:pPr>
        <w:pStyle w:val="Style5"/>
        <w:widowControl/>
        <w:spacing w:line="360" w:lineRule="auto"/>
        <w:ind w:firstLine="0"/>
        <w:contextualSpacing/>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c">
            <w:drawing>
              <wp:inline distT="0" distB="0" distL="0" distR="0">
                <wp:extent cx="5940425" cy="3771900"/>
                <wp:effectExtent l="3810" t="0" r="0" b="2540"/>
                <wp:docPr id="139"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29" name="Group 16"/>
                        <wpg:cNvGrpSpPr>
                          <a:grpSpLocks/>
                        </wpg:cNvGrpSpPr>
                        <wpg:grpSpPr bwMode="auto">
                          <a:xfrm>
                            <a:off x="102307" y="114675"/>
                            <a:ext cx="5726735" cy="3543375"/>
                            <a:chOff x="2486" y="7991"/>
                            <a:chExt cx="6941" cy="4295"/>
                          </a:xfrm>
                        </wpg:grpSpPr>
                        <wps:wsp>
                          <wps:cNvPr id="130" name="Rectangle 17"/>
                          <wps:cNvSpPr>
                            <a:spLocks noChangeArrowheads="1"/>
                          </wps:cNvSpPr>
                          <wps:spPr bwMode="auto">
                            <a:xfrm>
                              <a:off x="2486" y="7991"/>
                              <a:ext cx="2370" cy="1385"/>
                            </a:xfrm>
                            <a:prstGeom prst="rect">
                              <a:avLst/>
                            </a:prstGeom>
                            <a:solidFill>
                              <a:srgbClr val="FFFFFF"/>
                            </a:solidFill>
                            <a:ln w="9525">
                              <a:solidFill>
                                <a:srgbClr val="000000"/>
                              </a:solidFill>
                              <a:miter lim="800000"/>
                              <a:headEnd/>
                              <a:tailEnd/>
                            </a:ln>
                          </wps:spPr>
                          <wps:txbx>
                            <w:txbxContent>
                              <w:p w:rsidR="00631A1C" w:rsidRPr="00B10BA4" w:rsidRDefault="00631A1C" w:rsidP="00307A06">
                                <w:pPr>
                                  <w:pStyle w:val="Style5"/>
                                  <w:widowControl/>
                                  <w:spacing w:before="211" w:line="240" w:lineRule="auto"/>
                                  <w:ind w:firstLine="567"/>
                                  <w:contextualSpacing/>
                                  <w:jc w:val="center"/>
                                  <w:rPr>
                                    <w:b/>
                                  </w:rPr>
                                </w:pPr>
                                <w:r w:rsidRPr="00B10BA4">
                                  <w:rPr>
                                    <w:rStyle w:val="FontStyle11"/>
                                    <w:b/>
                                    <w:sz w:val="28"/>
                                    <w:szCs w:val="28"/>
                                    <w:lang w:eastAsia="uk-UA"/>
                                  </w:rPr>
                                  <w:t xml:space="preserve">Аналіз структури та </w:t>
                                </w:r>
                                <w:r>
                                  <w:rPr>
                                    <w:rStyle w:val="FontStyle11"/>
                                    <w:b/>
                                    <w:sz w:val="28"/>
                                    <w:szCs w:val="28"/>
                                    <w:lang w:eastAsia="uk-UA"/>
                                  </w:rPr>
                                  <w:t>д</w:t>
                                </w:r>
                                <w:r w:rsidRPr="00B10BA4">
                                  <w:rPr>
                                    <w:rStyle w:val="FontStyle11"/>
                                    <w:b/>
                                    <w:sz w:val="28"/>
                                    <w:szCs w:val="28"/>
                                    <w:lang w:eastAsia="uk-UA"/>
                                  </w:rPr>
                                  <w:t>инаміки кредитного портфеля</w:t>
                                </w:r>
                              </w:p>
                            </w:txbxContent>
                          </wps:txbx>
                          <wps:bodyPr rot="0" vert="horz" wrap="square" lIns="91440" tIns="45720" rIns="91440" bIns="45720" anchor="t" anchorCtr="0" upright="1">
                            <a:noAutofit/>
                          </wps:bodyPr>
                        </wps:wsp>
                        <wps:wsp>
                          <wps:cNvPr id="131" name="Rectangle 18"/>
                          <wps:cNvSpPr>
                            <a:spLocks noChangeArrowheads="1"/>
                          </wps:cNvSpPr>
                          <wps:spPr bwMode="auto">
                            <a:xfrm>
                              <a:off x="5548" y="8129"/>
                              <a:ext cx="1663" cy="970"/>
                            </a:xfrm>
                            <a:prstGeom prst="rect">
                              <a:avLst/>
                            </a:prstGeom>
                            <a:solidFill>
                              <a:srgbClr val="FFFFFF"/>
                            </a:solidFill>
                            <a:ln w="9525">
                              <a:solidFill>
                                <a:srgbClr val="000000"/>
                              </a:solidFill>
                              <a:miter lim="800000"/>
                              <a:headEnd/>
                              <a:tailEnd/>
                            </a:ln>
                          </wps:spPr>
                          <wps:txbx>
                            <w:txbxContent>
                              <w:p w:rsidR="00631A1C" w:rsidRPr="00B10BA4" w:rsidRDefault="00631A1C" w:rsidP="00307A06">
                                <w:pPr>
                                  <w:spacing w:line="240" w:lineRule="auto"/>
                                  <w:jc w:val="center"/>
                                  <w:rPr>
                                    <w:rFonts w:ascii="Times New Roman" w:hAnsi="Times New Roman" w:cs="Times New Roman"/>
                                    <w:caps/>
                                    <w:sz w:val="28"/>
                                    <w:szCs w:val="28"/>
                                  </w:rPr>
                                </w:pPr>
                                <w:r w:rsidRPr="00B10BA4">
                                  <w:rPr>
                                    <w:rFonts w:ascii="Times New Roman" w:hAnsi="Times New Roman" w:cs="Times New Roman"/>
                                    <w:caps/>
                                    <w:sz w:val="28"/>
                                    <w:szCs w:val="28"/>
                                  </w:rPr>
                                  <w:t>Аналіз кредитного портфеля</w:t>
                                </w:r>
                              </w:p>
                            </w:txbxContent>
                          </wps:txbx>
                          <wps:bodyPr rot="0" vert="horz" wrap="square" lIns="91440" tIns="45720" rIns="91440" bIns="45720" anchor="t" anchorCtr="0" upright="1">
                            <a:noAutofit/>
                          </wps:bodyPr>
                        </wps:wsp>
                        <wps:wsp>
                          <wps:cNvPr id="132" name="Rectangle 19"/>
                          <wps:cNvSpPr>
                            <a:spLocks noChangeArrowheads="1"/>
                          </wps:cNvSpPr>
                          <wps:spPr bwMode="auto">
                            <a:xfrm>
                              <a:off x="7903" y="8268"/>
                              <a:ext cx="1524" cy="1108"/>
                            </a:xfrm>
                            <a:prstGeom prst="rect">
                              <a:avLst/>
                            </a:prstGeom>
                            <a:solidFill>
                              <a:srgbClr val="FFFFFF"/>
                            </a:solidFill>
                            <a:ln w="9525">
                              <a:solidFill>
                                <a:srgbClr val="000000"/>
                              </a:solidFill>
                              <a:miter lim="800000"/>
                              <a:headEnd/>
                              <a:tailEnd/>
                            </a:ln>
                          </wps:spPr>
                          <wps:txbx>
                            <w:txbxContent>
                              <w:p w:rsidR="00631A1C" w:rsidRPr="00B10BA4" w:rsidRDefault="00631A1C" w:rsidP="00307A06">
                                <w:pPr>
                                  <w:spacing w:line="240" w:lineRule="auto"/>
                                  <w:contextualSpacing/>
                                  <w:jc w:val="center"/>
                                  <w:rPr>
                                    <w:rFonts w:ascii="Times New Roman" w:hAnsi="Times New Roman" w:cs="Times New Roman"/>
                                    <w:b/>
                                    <w:sz w:val="28"/>
                                    <w:szCs w:val="28"/>
                                  </w:rPr>
                                </w:pPr>
                                <w:r w:rsidRPr="00B10BA4">
                                  <w:rPr>
                                    <w:rFonts w:ascii="Times New Roman" w:hAnsi="Times New Roman" w:cs="Times New Roman"/>
                                    <w:b/>
                                    <w:sz w:val="28"/>
                                    <w:szCs w:val="28"/>
                                  </w:rPr>
                                  <w:t>Аналіз якості кредитного портфеля</w:t>
                                </w:r>
                              </w:p>
                            </w:txbxContent>
                          </wps:txbx>
                          <wps:bodyPr rot="0" vert="horz" wrap="square" lIns="91440" tIns="45720" rIns="91440" bIns="45720" anchor="t" anchorCtr="0" upright="1">
                            <a:noAutofit/>
                          </wps:bodyPr>
                        </wps:wsp>
                        <wps:wsp>
                          <wps:cNvPr id="133" name="Rectangle 20"/>
                          <wps:cNvSpPr>
                            <a:spLocks noChangeArrowheads="1"/>
                          </wps:cNvSpPr>
                          <wps:spPr bwMode="auto">
                            <a:xfrm>
                              <a:off x="2486" y="9661"/>
                              <a:ext cx="3894" cy="2625"/>
                            </a:xfrm>
                            <a:prstGeom prst="rect">
                              <a:avLst/>
                            </a:prstGeom>
                            <a:solidFill>
                              <a:srgbClr val="FFFFFF"/>
                            </a:solidFill>
                            <a:ln w="9525">
                              <a:solidFill>
                                <a:srgbClr val="000000"/>
                              </a:solidFill>
                              <a:miter lim="800000"/>
                              <a:headEnd/>
                              <a:tailEnd/>
                            </a:ln>
                          </wps:spPr>
                          <wps:txbx>
                            <w:txbxContent>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строком кредитування;</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валютою кредитів;</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вида</w:t>
                                </w:r>
                                <w:r>
                                  <w:rPr>
                                    <w:rStyle w:val="FontStyle11"/>
                                    <w:sz w:val="28"/>
                                    <w:szCs w:val="28"/>
                                    <w:lang w:eastAsia="uk-UA"/>
                                  </w:rPr>
                                  <w:t>ми кредитних продуктів;</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галузями економіки;</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статусом позичальника;</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видом і рівнем забезпечення;</w:t>
                                </w:r>
                              </w:p>
                              <w:p w:rsidR="00631A1C" w:rsidRPr="001A7982" w:rsidRDefault="00631A1C" w:rsidP="00307A06">
                                <w:pPr>
                                  <w:pStyle w:val="Style5"/>
                                  <w:widowControl/>
                                  <w:spacing w:before="19" w:line="360" w:lineRule="auto"/>
                                  <w:ind w:firstLine="0"/>
                                  <w:contextualSpacing/>
                                  <w:jc w:val="center"/>
                                </w:pPr>
                                <w:r w:rsidRPr="003E5976">
                                  <w:rPr>
                                    <w:rStyle w:val="FontStyle11"/>
                                    <w:sz w:val="28"/>
                                    <w:szCs w:val="28"/>
                                    <w:lang w:eastAsia="uk-UA"/>
                                  </w:rPr>
                                  <w:t>за рівне</w:t>
                                </w:r>
                                <w:r>
                                  <w:rPr>
                                    <w:rStyle w:val="FontStyle11"/>
                                    <w:sz w:val="28"/>
                                    <w:szCs w:val="28"/>
                                    <w:lang w:eastAsia="uk-UA"/>
                                  </w:rPr>
                                  <w:t>м</w:t>
                                </w:r>
                                <w:r w:rsidRPr="003E5976">
                                  <w:rPr>
                                    <w:rStyle w:val="FontStyle11"/>
                                    <w:sz w:val="28"/>
                                    <w:szCs w:val="28"/>
                                    <w:lang w:eastAsia="uk-UA"/>
                                  </w:rPr>
                                  <w:t xml:space="preserve"> ризику</w:t>
                                </w:r>
                              </w:p>
                            </w:txbxContent>
                          </wps:txbx>
                          <wps:bodyPr rot="0" vert="horz" wrap="square" lIns="91440" tIns="45720" rIns="91440" bIns="45720" anchor="t" anchorCtr="0" upright="1">
                            <a:noAutofit/>
                          </wps:bodyPr>
                        </wps:wsp>
                        <wps:wsp>
                          <wps:cNvPr id="134" name="Rectangle 21"/>
                          <wps:cNvSpPr>
                            <a:spLocks noChangeArrowheads="1"/>
                          </wps:cNvSpPr>
                          <wps:spPr bwMode="auto">
                            <a:xfrm>
                              <a:off x="7903" y="9661"/>
                              <a:ext cx="1524" cy="2209"/>
                            </a:xfrm>
                            <a:prstGeom prst="rect">
                              <a:avLst/>
                            </a:prstGeom>
                            <a:solidFill>
                              <a:srgbClr val="FFFFFF"/>
                            </a:solidFill>
                            <a:ln w="9525">
                              <a:solidFill>
                                <a:srgbClr val="000000"/>
                              </a:solidFill>
                              <a:miter lim="800000"/>
                              <a:headEnd/>
                              <a:tailEnd/>
                            </a:ln>
                          </wps:spPr>
                          <wps:txbx>
                            <w:txbxContent>
                              <w:p w:rsidR="00631A1C" w:rsidRPr="004D3ED2" w:rsidRDefault="00631A1C" w:rsidP="00307A06">
                                <w:pPr>
                                  <w:spacing w:line="240" w:lineRule="auto"/>
                                  <w:contextualSpacing/>
                                  <w:jc w:val="center"/>
                                  <w:rPr>
                                    <w:rFonts w:ascii="Times New Roman" w:hAnsi="Times New Roman" w:cs="Times New Roman"/>
                                    <w:sz w:val="28"/>
                                    <w:szCs w:val="28"/>
                                  </w:rPr>
                                </w:pPr>
                                <w:r w:rsidRPr="004D3ED2">
                                  <w:rPr>
                                    <w:rFonts w:ascii="Times New Roman" w:hAnsi="Times New Roman" w:cs="Times New Roman"/>
                                    <w:sz w:val="28"/>
                                    <w:szCs w:val="28"/>
                                  </w:rPr>
                                  <w:t>Оцінка ризику кредитного портфеля;</w:t>
                                </w:r>
                              </w:p>
                              <w:p w:rsidR="00631A1C" w:rsidRPr="004D3ED2" w:rsidRDefault="00631A1C" w:rsidP="00307A0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о</w:t>
                                </w:r>
                                <w:r w:rsidRPr="004D3ED2">
                                  <w:rPr>
                                    <w:rFonts w:ascii="Times New Roman" w:hAnsi="Times New Roman" w:cs="Times New Roman"/>
                                    <w:sz w:val="28"/>
                                    <w:szCs w:val="28"/>
                                  </w:rPr>
                                  <w:t>цінка дохідності кредитного портфеля</w:t>
                                </w:r>
                              </w:p>
                            </w:txbxContent>
                          </wps:txbx>
                          <wps:bodyPr rot="0" vert="horz" wrap="square" lIns="91440" tIns="45720" rIns="91440" bIns="45720" anchor="t" anchorCtr="0" upright="1">
                            <a:noAutofit/>
                          </wps:bodyPr>
                        </wps:wsp>
                        <wps:wsp>
                          <wps:cNvPr id="135" name="AutoShape 22"/>
                          <wps:cNvSpPr>
                            <a:spLocks noChangeArrowheads="1"/>
                          </wps:cNvSpPr>
                          <wps:spPr bwMode="auto">
                            <a:xfrm>
                              <a:off x="3503" y="9376"/>
                              <a:ext cx="383" cy="416"/>
                            </a:xfrm>
                            <a:prstGeom prst="downArrow">
                              <a:avLst>
                                <a:gd name="adj1" fmla="val 50000"/>
                                <a:gd name="adj2" fmla="val 2715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AutoShape 23"/>
                          <wps:cNvSpPr>
                            <a:spLocks noChangeArrowheads="1"/>
                          </wps:cNvSpPr>
                          <wps:spPr bwMode="auto">
                            <a:xfrm>
                              <a:off x="7349" y="8406"/>
                              <a:ext cx="416" cy="415"/>
                            </a:xfrm>
                            <a:prstGeom prst="rightArrow">
                              <a:avLst>
                                <a:gd name="adj1" fmla="val 50000"/>
                                <a:gd name="adj2" fmla="val 2506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AutoShape 24"/>
                          <wps:cNvSpPr>
                            <a:spLocks noChangeArrowheads="1"/>
                          </wps:cNvSpPr>
                          <wps:spPr bwMode="auto">
                            <a:xfrm>
                              <a:off x="4994" y="8406"/>
                              <a:ext cx="416" cy="416"/>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AutoShape 25"/>
                          <wps:cNvSpPr>
                            <a:spLocks noChangeArrowheads="1"/>
                          </wps:cNvSpPr>
                          <wps:spPr bwMode="auto">
                            <a:xfrm>
                              <a:off x="8458" y="9376"/>
                              <a:ext cx="415" cy="4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c:wpc>
                  </a:graphicData>
                </a:graphic>
              </wp:inline>
            </w:drawing>
          </mc:Choice>
          <mc:Fallback>
            <w:pict>
              <v:group id="Полотно 14" o:spid="_x0000_s1114" editas="canvas" style="width:467.75pt;height:297pt;mso-position-horizontal-relative:char;mso-position-vertical-relative:line" coordsize="59404,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">
                <v:shape id="_x0000_s1115" type="#_x0000_t75" style="position:absolute;width:59404;height:37719;visibility:visible;mso-wrap-style:square">
                  <v:fill o:detectmouseclick="t"/>
                  <v:path o:connecttype="none"/>
                </v:shape>
                <v:group id="Group 16" o:spid="_x0000_s1116" style="position:absolute;left:1023;top:1146;width:57267;height:35434" coordorigin="2486,7991" coordsize="6941,4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rect id="Rectangle 17" o:spid="_x0000_s1117" style="position:absolute;left:2486;top:7991;width:2370;height:1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631A1C" w:rsidRPr="00B10BA4" w:rsidRDefault="00631A1C" w:rsidP="00307A06">
                          <w:pPr>
                            <w:pStyle w:val="Style5"/>
                            <w:widowControl/>
                            <w:spacing w:before="211" w:line="240" w:lineRule="auto"/>
                            <w:ind w:firstLine="567"/>
                            <w:contextualSpacing/>
                            <w:jc w:val="center"/>
                            <w:rPr>
                              <w:b/>
                            </w:rPr>
                          </w:pPr>
                          <w:r w:rsidRPr="00B10BA4">
                            <w:rPr>
                              <w:rStyle w:val="FontStyle11"/>
                              <w:b/>
                              <w:sz w:val="28"/>
                              <w:szCs w:val="28"/>
                              <w:lang w:eastAsia="uk-UA"/>
                            </w:rPr>
                            <w:t xml:space="preserve">Аналіз структури та </w:t>
                          </w:r>
                          <w:r>
                            <w:rPr>
                              <w:rStyle w:val="FontStyle11"/>
                              <w:b/>
                              <w:sz w:val="28"/>
                              <w:szCs w:val="28"/>
                              <w:lang w:eastAsia="uk-UA"/>
                            </w:rPr>
                            <w:t>д</w:t>
                          </w:r>
                          <w:r w:rsidRPr="00B10BA4">
                            <w:rPr>
                              <w:rStyle w:val="FontStyle11"/>
                              <w:b/>
                              <w:sz w:val="28"/>
                              <w:szCs w:val="28"/>
                              <w:lang w:eastAsia="uk-UA"/>
                            </w:rPr>
                            <w:t>инаміки кредитного портфеля</w:t>
                          </w:r>
                        </w:p>
                      </w:txbxContent>
                    </v:textbox>
                  </v:rect>
                  <v:rect id="Rectangle 18" o:spid="_x0000_s1118" style="position:absolute;left:5548;top:8129;width:1663;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w:txbxContent>
                        <w:p w:rsidR="00631A1C" w:rsidRPr="00B10BA4" w:rsidRDefault="00631A1C" w:rsidP="00307A06">
                          <w:pPr>
                            <w:spacing w:line="240" w:lineRule="auto"/>
                            <w:jc w:val="center"/>
                            <w:rPr>
                              <w:rFonts w:ascii="Times New Roman" w:hAnsi="Times New Roman" w:cs="Times New Roman"/>
                              <w:caps/>
                              <w:sz w:val="28"/>
                              <w:szCs w:val="28"/>
                            </w:rPr>
                          </w:pPr>
                          <w:r w:rsidRPr="00B10BA4">
                            <w:rPr>
                              <w:rFonts w:ascii="Times New Roman" w:hAnsi="Times New Roman" w:cs="Times New Roman"/>
                              <w:caps/>
                              <w:sz w:val="28"/>
                              <w:szCs w:val="28"/>
                            </w:rPr>
                            <w:t>Аналіз кредитного портфеля</w:t>
                          </w:r>
                        </w:p>
                      </w:txbxContent>
                    </v:textbox>
                  </v:rect>
                  <v:rect id="Rectangle 19" o:spid="_x0000_s1119" style="position:absolute;left:7903;top:8268;width:1524;height:1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textbox>
                      <w:txbxContent>
                        <w:p w:rsidR="00631A1C" w:rsidRPr="00B10BA4" w:rsidRDefault="00631A1C" w:rsidP="00307A06">
                          <w:pPr>
                            <w:spacing w:line="240" w:lineRule="auto"/>
                            <w:contextualSpacing/>
                            <w:jc w:val="center"/>
                            <w:rPr>
                              <w:rFonts w:ascii="Times New Roman" w:hAnsi="Times New Roman" w:cs="Times New Roman"/>
                              <w:b/>
                              <w:sz w:val="28"/>
                              <w:szCs w:val="28"/>
                            </w:rPr>
                          </w:pPr>
                          <w:r w:rsidRPr="00B10BA4">
                            <w:rPr>
                              <w:rFonts w:ascii="Times New Roman" w:hAnsi="Times New Roman" w:cs="Times New Roman"/>
                              <w:b/>
                              <w:sz w:val="28"/>
                              <w:szCs w:val="28"/>
                            </w:rPr>
                            <w:t>Аналіз якості кредитного портфеля</w:t>
                          </w:r>
                        </w:p>
                      </w:txbxContent>
                    </v:textbox>
                  </v:rect>
                  <v:rect id="Rectangle 20" o:spid="_x0000_s1120" style="position:absolute;left:2486;top:9661;width:3894;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textbox>
                      <w:txbxContent>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строком кредитування;</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валютою кредитів;</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вида</w:t>
                          </w:r>
                          <w:r>
                            <w:rPr>
                              <w:rStyle w:val="FontStyle11"/>
                              <w:sz w:val="28"/>
                              <w:szCs w:val="28"/>
                              <w:lang w:eastAsia="uk-UA"/>
                            </w:rPr>
                            <w:t>ми кредитних продуктів;</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галузями економіки;</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статусом позичальника;</w:t>
                          </w:r>
                        </w:p>
                        <w:p w:rsidR="00631A1C" w:rsidRDefault="00631A1C" w:rsidP="00307A06">
                          <w:pPr>
                            <w:pStyle w:val="Style5"/>
                            <w:widowControl/>
                            <w:spacing w:before="19" w:line="360" w:lineRule="auto"/>
                            <w:ind w:firstLine="0"/>
                            <w:contextualSpacing/>
                            <w:jc w:val="center"/>
                            <w:rPr>
                              <w:rStyle w:val="FontStyle11"/>
                              <w:sz w:val="28"/>
                              <w:szCs w:val="28"/>
                              <w:lang w:eastAsia="uk-UA"/>
                            </w:rPr>
                          </w:pPr>
                          <w:r w:rsidRPr="003E5976">
                            <w:rPr>
                              <w:rStyle w:val="FontStyle11"/>
                              <w:sz w:val="28"/>
                              <w:szCs w:val="28"/>
                              <w:lang w:eastAsia="uk-UA"/>
                            </w:rPr>
                            <w:t>за видом і рівнем забезпечення;</w:t>
                          </w:r>
                        </w:p>
                        <w:p w:rsidR="00631A1C" w:rsidRPr="001A7982" w:rsidRDefault="00631A1C" w:rsidP="00307A06">
                          <w:pPr>
                            <w:pStyle w:val="Style5"/>
                            <w:widowControl/>
                            <w:spacing w:before="19" w:line="360" w:lineRule="auto"/>
                            <w:ind w:firstLine="0"/>
                            <w:contextualSpacing/>
                            <w:jc w:val="center"/>
                          </w:pPr>
                          <w:r w:rsidRPr="003E5976">
                            <w:rPr>
                              <w:rStyle w:val="FontStyle11"/>
                              <w:sz w:val="28"/>
                              <w:szCs w:val="28"/>
                              <w:lang w:eastAsia="uk-UA"/>
                            </w:rPr>
                            <w:t>за рівне</w:t>
                          </w:r>
                          <w:r>
                            <w:rPr>
                              <w:rStyle w:val="FontStyle11"/>
                              <w:sz w:val="28"/>
                              <w:szCs w:val="28"/>
                              <w:lang w:eastAsia="uk-UA"/>
                            </w:rPr>
                            <w:t>м</w:t>
                          </w:r>
                          <w:r w:rsidRPr="003E5976">
                            <w:rPr>
                              <w:rStyle w:val="FontStyle11"/>
                              <w:sz w:val="28"/>
                              <w:szCs w:val="28"/>
                              <w:lang w:eastAsia="uk-UA"/>
                            </w:rPr>
                            <w:t xml:space="preserve"> ризику</w:t>
                          </w:r>
                        </w:p>
                      </w:txbxContent>
                    </v:textbox>
                  </v:rect>
                  <v:rect id="Rectangle 21" o:spid="_x0000_s1121" style="position:absolute;left:7903;top:9661;width:1524;height: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textbox>
                      <w:txbxContent>
                        <w:p w:rsidR="00631A1C" w:rsidRPr="004D3ED2" w:rsidRDefault="00631A1C" w:rsidP="00307A06">
                          <w:pPr>
                            <w:spacing w:line="240" w:lineRule="auto"/>
                            <w:contextualSpacing/>
                            <w:jc w:val="center"/>
                            <w:rPr>
                              <w:rFonts w:ascii="Times New Roman" w:hAnsi="Times New Roman" w:cs="Times New Roman"/>
                              <w:sz w:val="28"/>
                              <w:szCs w:val="28"/>
                            </w:rPr>
                          </w:pPr>
                          <w:r w:rsidRPr="004D3ED2">
                            <w:rPr>
                              <w:rFonts w:ascii="Times New Roman" w:hAnsi="Times New Roman" w:cs="Times New Roman"/>
                              <w:sz w:val="28"/>
                              <w:szCs w:val="28"/>
                            </w:rPr>
                            <w:t>Оцінка ризику кредитного портфеля;</w:t>
                          </w:r>
                        </w:p>
                        <w:p w:rsidR="00631A1C" w:rsidRPr="004D3ED2" w:rsidRDefault="00631A1C" w:rsidP="00307A0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о</w:t>
                          </w:r>
                          <w:r w:rsidRPr="004D3ED2">
                            <w:rPr>
                              <w:rFonts w:ascii="Times New Roman" w:hAnsi="Times New Roman" w:cs="Times New Roman"/>
                              <w:sz w:val="28"/>
                              <w:szCs w:val="28"/>
                            </w:rPr>
                            <w:t>цінка дохідності кредитного портфеля</w:t>
                          </w:r>
                        </w:p>
                      </w:txbxContent>
                    </v:textbox>
                  </v:rect>
                  <v:shape id="AutoShape 22" o:spid="_x0000_s1122" type="#_x0000_t67" style="position:absolute;left:3503;top:9376;width:383;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fz8AA&#10;AADcAAAADwAAAGRycy9kb3ducmV2LnhtbERPzWoCMRC+C75DGKE3TdS21O1mRQotvRV1H2DYjLuh&#10;m8mSRF3fvikI3ubj+51yO7peXChE61nDcqFAEDfeWG411MfP+RuImJAN9p5Jw40ibKvppMTC+Cvv&#10;6XJIrcghHAvU0KU0FFLGpiOHceEH4sydfHCYMgytNAGvOdz1cqXUq3RoOTd0ONBHR83v4ew02Pqo&#10;xv3m9ozLVq3VT/3Fwa60fpqNu3cQicb0EN/d3ybPX7/A/zP5Al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Xfz8AAAADcAAAADwAAAAAAAAAAAAAAAACYAgAAZHJzL2Rvd25y&#10;ZXYueG1sUEsFBgAAAAAEAAQA9QAAAIU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 o:spid="_x0000_s1123" type="#_x0000_t13" style="position:absolute;left:7349;top:8406;width:416;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D4MEA&#10;AADcAAAADwAAAGRycy9kb3ducmV2LnhtbERPS2vCQBC+F/wPywje6sQWgkRXEUvBW3300OOYHZNg&#10;djZmtyb6691Cwdt8fM+ZL3tbqyu3vnKiYTJOQLHkzlRSaPg+fL5OQflAYqh2whpu7GG5GLzMKTOu&#10;kx1f96FQMUR8RhrKEJoM0eclW/Jj17BE7uRaSyHCtkDTUhfDbY1vSZKipUpiQ0kNr0vOz/tfq+FY&#10;f6Q/2+ayQYPdlu8JHvrdl9ajYb+agQrch6f4370xcf57Cn/PxAtw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bw+DBAAAA3AAAAA8AAAAAAAAAAAAAAAAAmAIAAGRycy9kb3du&#10;cmV2LnhtbFBLBQYAAAAABAAEAPUAAACGAw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4" o:spid="_x0000_s1124" type="#_x0000_t66" style="position:absolute;left:4994;top:8406;width:416;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W/8MA&#10;AADcAAAADwAAAGRycy9kb3ducmV2LnhtbERPS2vCQBC+F/oflil4qxsbtJq6StGKepH66H3ITpPQ&#10;7Gzc3Zr4712h0Nt8fM+ZzjtTiws5X1lWMOgnIIhzqysuFJyOq+cxCB+QNdaWScGVPMxnjw9TzLRt&#10;eU+XQyhEDGGfoYIyhCaT0uclGfR92xBH7ts6gyFCV0jtsI3hppYvSTKSBiuODSU2tCgp/zn8GgX7&#10;MLi26cfOLfWk+Rx+den6vF0r1Xvq3t9ABOrCv/jPvdFxfvoK92fiB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W/8MAAADcAAAADwAAAAAAAAAAAAAAAACYAgAAZHJzL2Rv&#10;d25yZXYueG1sUEsFBgAAAAAEAAQA9QAAAIgDAAAAAA==&#10;"/>
                  <v:shape id="AutoShape 25" o:spid="_x0000_s1125" type="#_x0000_t67" style="position:absolute;left:8458;top:9376;width:415;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RwUcIA&#10;AADcAAAADwAAAGRycy9kb3ducmV2LnhtbESPQWsCMRCF70L/QxihN03UIu1qlFJo6a2o+wOGzbgb&#10;3EyWJNX133cOBW8zvDfvfbPdj6FXV0rZR7awmBtQxE10nlsL9elz9goqF2SHfWSycKcM+93TZIuV&#10;izc+0PVYWiUhnCu00JUyVFrnpqOAeR4HYtHOMQUssqZWu4Q3CQ+9Xhqz1gE9S0OHA3101FyOv8GC&#10;r09mPLzdX3DRmpX5qb84+aW1z9PxfQOq0Fge5v/rbyf4K6GVZ2QC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5HBRwgAAANwAAAAPAAAAAAAAAAAAAAAAAJgCAABkcnMvZG93&#10;bnJldi54bWxQSwUGAAAAAAQABAD1AAAAhwMAAAAA&#10;"/>
                </v:group>
                <w10:anchorlock/>
              </v:group>
            </w:pict>
          </mc:Fallback>
        </mc:AlternateContent>
      </w:r>
    </w:p>
    <w:p w:rsidR="00307A06" w:rsidRPr="00E37001" w:rsidRDefault="00307A06" w:rsidP="00B07B79">
      <w:pPr>
        <w:pStyle w:val="Style1"/>
        <w:widowControl/>
        <w:spacing w:before="43" w:line="360" w:lineRule="auto"/>
        <w:ind w:firstLine="567"/>
        <w:contextualSpacing/>
        <w:jc w:val="both"/>
        <w:rPr>
          <w:rStyle w:val="FontStyle11"/>
          <w:sz w:val="28"/>
          <w:szCs w:val="28"/>
          <w:lang w:eastAsia="uk-UA"/>
        </w:rPr>
      </w:pPr>
      <w:r w:rsidRPr="00E37001">
        <w:rPr>
          <w:rStyle w:val="FontStyle14"/>
          <w:i w:val="0"/>
          <w:sz w:val="28"/>
          <w:szCs w:val="28"/>
          <w:lang w:eastAsia="uk-UA"/>
        </w:rPr>
        <w:lastRenderedPageBreak/>
        <w:t xml:space="preserve">Рис. </w:t>
      </w:r>
      <w:r w:rsidRPr="00E37001">
        <w:rPr>
          <w:rStyle w:val="FontStyle11"/>
          <w:sz w:val="28"/>
          <w:szCs w:val="28"/>
          <w:lang w:eastAsia="uk-UA"/>
        </w:rPr>
        <w:t>1.4. Напрями аналізу кредитного портфеля банку</w:t>
      </w:r>
    </w:p>
    <w:p w:rsidR="00307A06" w:rsidRPr="00E37001" w:rsidRDefault="00307A06" w:rsidP="00B07B79">
      <w:pPr>
        <w:pStyle w:val="Style1"/>
        <w:widowControl/>
        <w:spacing w:line="360" w:lineRule="auto"/>
        <w:ind w:firstLine="567"/>
        <w:contextualSpacing/>
        <w:jc w:val="both"/>
        <w:rPr>
          <w:rFonts w:ascii="Times New Roman" w:hAnsi="Times New Roman" w:cs="Times New Roman"/>
          <w:sz w:val="28"/>
          <w:szCs w:val="28"/>
        </w:rPr>
      </w:pPr>
    </w:p>
    <w:p w:rsidR="00307A06" w:rsidRPr="00E37001" w:rsidRDefault="00307A06" w:rsidP="00B07B79">
      <w:pPr>
        <w:pStyle w:val="Style1"/>
        <w:widowControl/>
        <w:spacing w:before="38" w:line="360" w:lineRule="auto"/>
        <w:ind w:firstLine="567"/>
        <w:contextualSpacing/>
        <w:jc w:val="both"/>
        <w:rPr>
          <w:rStyle w:val="FontStyle11"/>
          <w:sz w:val="28"/>
          <w:szCs w:val="28"/>
          <w:lang w:eastAsia="uk-UA"/>
        </w:rPr>
      </w:pPr>
      <w:r w:rsidRPr="00E37001">
        <w:rPr>
          <w:rStyle w:val="FontStyle15"/>
          <w:b w:val="0"/>
          <w:sz w:val="28"/>
          <w:szCs w:val="28"/>
          <w:lang w:eastAsia="uk-UA"/>
        </w:rPr>
        <w:t xml:space="preserve">Аналіз структури та динаміки кредитного портфеля </w:t>
      </w:r>
      <w:r w:rsidRPr="00E37001">
        <w:rPr>
          <w:rStyle w:val="FontStyle11"/>
          <w:sz w:val="28"/>
          <w:szCs w:val="28"/>
          <w:lang w:eastAsia="uk-UA"/>
        </w:rPr>
        <w:t>здійснюється за допомогою методик горизонтального і вертикального аналізу за такими параметрами, як строк кредитування, валюта кредитів, види кредитних продуктів, галузі економіки, статус позичальника, вид і рівень забезпечення, рівень ризику</w:t>
      </w:r>
      <w:r w:rsidR="002E487A" w:rsidRPr="002E487A">
        <w:rPr>
          <w:rStyle w:val="FontStyle11"/>
          <w:sz w:val="28"/>
          <w:szCs w:val="28"/>
          <w:lang w:val="ru-RU" w:eastAsia="uk-UA"/>
        </w:rPr>
        <w:t xml:space="preserve"> [104]</w:t>
      </w:r>
      <w:r w:rsidRPr="00E37001">
        <w:rPr>
          <w:rStyle w:val="FontStyle11"/>
          <w:sz w:val="28"/>
          <w:szCs w:val="28"/>
          <w:lang w:eastAsia="uk-UA"/>
        </w:rPr>
        <w:t>.</w:t>
      </w:r>
    </w:p>
    <w:p w:rsidR="00307A06" w:rsidRPr="00E37001" w:rsidRDefault="00307A06" w:rsidP="00B07B79">
      <w:pPr>
        <w:pStyle w:val="Style1"/>
        <w:widowControl/>
        <w:spacing w:before="48" w:line="360" w:lineRule="auto"/>
        <w:ind w:firstLine="567"/>
        <w:contextualSpacing/>
        <w:jc w:val="both"/>
        <w:rPr>
          <w:rStyle w:val="FontStyle12"/>
          <w:b w:val="0"/>
          <w:sz w:val="28"/>
          <w:szCs w:val="28"/>
          <w:lang w:eastAsia="uk-UA"/>
        </w:rPr>
      </w:pPr>
      <w:r w:rsidRPr="00E37001">
        <w:rPr>
          <w:rStyle w:val="FontStyle11"/>
          <w:sz w:val="28"/>
          <w:szCs w:val="28"/>
          <w:lang w:eastAsia="uk-UA"/>
        </w:rPr>
        <w:t xml:space="preserve">Горизонтальний </w:t>
      </w:r>
      <w:r w:rsidRPr="00E37001">
        <w:rPr>
          <w:rStyle w:val="FontStyle12"/>
          <w:b w:val="0"/>
          <w:sz w:val="28"/>
          <w:szCs w:val="28"/>
          <w:lang w:eastAsia="uk-UA"/>
        </w:rPr>
        <w:t xml:space="preserve">(або </w:t>
      </w:r>
      <w:proofErr w:type="spellStart"/>
      <w:r w:rsidRPr="00E37001">
        <w:rPr>
          <w:rStyle w:val="FontStyle11"/>
          <w:sz w:val="28"/>
          <w:szCs w:val="28"/>
          <w:lang w:eastAsia="uk-UA"/>
        </w:rPr>
        <w:t>трендовий</w:t>
      </w:r>
      <w:proofErr w:type="spellEnd"/>
      <w:r w:rsidRPr="00E37001">
        <w:rPr>
          <w:rStyle w:val="FontStyle11"/>
          <w:sz w:val="28"/>
          <w:szCs w:val="28"/>
          <w:lang w:eastAsia="uk-UA"/>
        </w:rPr>
        <w:t xml:space="preserve"> аналіз) </w:t>
      </w:r>
      <w:r w:rsidRPr="00E37001">
        <w:rPr>
          <w:rStyle w:val="FontStyle12"/>
          <w:b w:val="0"/>
          <w:sz w:val="28"/>
          <w:szCs w:val="28"/>
          <w:lang w:eastAsia="uk-UA"/>
        </w:rPr>
        <w:t>дає можливість дослідити динаміку кредитного портфеля банку в цілому та його окремих статей. У процесі використання цього виду аналізу розраховується абсолютний приріст, темпи приросту окремих статей за ряд періодів і визначаються тенденції їх розвитку</w:t>
      </w:r>
      <w:r w:rsidR="000D7F29" w:rsidRPr="000D7F29">
        <w:rPr>
          <w:rStyle w:val="FontStyle12"/>
          <w:b w:val="0"/>
          <w:sz w:val="28"/>
          <w:szCs w:val="28"/>
          <w:lang w:val="ru-RU" w:eastAsia="uk-UA"/>
        </w:rPr>
        <w:t xml:space="preserve"> [65]</w:t>
      </w:r>
      <w:r w:rsidRPr="00E37001">
        <w:rPr>
          <w:rStyle w:val="FontStyle12"/>
          <w:b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1"/>
          <w:sz w:val="28"/>
          <w:szCs w:val="28"/>
          <w:lang w:eastAsia="uk-UA"/>
        </w:rPr>
        <w:t xml:space="preserve">Вертикальний </w:t>
      </w:r>
      <w:r w:rsidRPr="00E37001">
        <w:rPr>
          <w:rStyle w:val="FontStyle12"/>
          <w:b w:val="0"/>
          <w:sz w:val="28"/>
          <w:szCs w:val="28"/>
          <w:lang w:eastAsia="uk-UA"/>
        </w:rPr>
        <w:t xml:space="preserve">(або </w:t>
      </w:r>
      <w:r w:rsidRPr="00E37001">
        <w:rPr>
          <w:rStyle w:val="FontStyle11"/>
          <w:sz w:val="28"/>
          <w:szCs w:val="28"/>
          <w:lang w:eastAsia="uk-UA"/>
        </w:rPr>
        <w:t xml:space="preserve">структурний) аналіз </w:t>
      </w:r>
      <w:r w:rsidRPr="00E37001">
        <w:rPr>
          <w:rStyle w:val="FontStyle12"/>
          <w:b w:val="0"/>
          <w:sz w:val="28"/>
          <w:szCs w:val="28"/>
          <w:lang w:eastAsia="uk-UA"/>
        </w:rPr>
        <w:t>ґрунтується на структурному дослідженні кредитного портфеля. В процесі такого аналізу визначається частка окремої статті в загальній сумі кредитного портфеля. Під час аналізу кредитного портфеля у розрізі строків кредитування особливу увагу приділяють частці прострочених, пролонгованих і сумнівних кредитів. Результати аналізу зводяться до аналітичної таблиці.</w:t>
      </w:r>
    </w:p>
    <w:p w:rsidR="00307A06" w:rsidRPr="00E37001" w:rsidRDefault="00307A06" w:rsidP="00B07B79">
      <w:pPr>
        <w:pStyle w:val="Style1"/>
        <w:widowControl/>
        <w:spacing w:before="43" w:line="360" w:lineRule="auto"/>
        <w:ind w:firstLine="567"/>
        <w:contextualSpacing/>
        <w:jc w:val="both"/>
        <w:rPr>
          <w:rStyle w:val="FontStyle12"/>
          <w:b w:val="0"/>
          <w:sz w:val="28"/>
          <w:szCs w:val="28"/>
          <w:lang w:eastAsia="uk-UA"/>
        </w:rPr>
      </w:pPr>
      <w:r w:rsidRPr="00E37001">
        <w:rPr>
          <w:rStyle w:val="FontStyle11"/>
          <w:sz w:val="28"/>
          <w:szCs w:val="28"/>
          <w:lang w:eastAsia="uk-UA"/>
        </w:rPr>
        <w:t xml:space="preserve">Аналіз якості кредитного портфеля </w:t>
      </w:r>
      <w:r w:rsidRPr="00E37001">
        <w:rPr>
          <w:rStyle w:val="FontStyle12"/>
          <w:b w:val="0"/>
          <w:sz w:val="28"/>
          <w:szCs w:val="28"/>
          <w:lang w:eastAsia="uk-UA"/>
        </w:rPr>
        <w:t>здійснюється коефіцієнтним методом на підставі розрахунку та аналізу тенденцій зміни відповідних кількісних показників</w:t>
      </w:r>
      <w:r w:rsidR="000D7F29" w:rsidRPr="000D7F29">
        <w:rPr>
          <w:rStyle w:val="FontStyle12"/>
          <w:b w:val="0"/>
          <w:sz w:val="28"/>
          <w:szCs w:val="28"/>
          <w:lang w:eastAsia="uk-UA"/>
        </w:rPr>
        <w:t xml:space="preserve"> [66]</w:t>
      </w:r>
      <w:r w:rsidRPr="00E37001">
        <w:rPr>
          <w:rStyle w:val="FontStyle12"/>
          <w:b w:val="0"/>
          <w:sz w:val="28"/>
          <w:szCs w:val="28"/>
          <w:lang w:eastAsia="uk-UA"/>
        </w:rPr>
        <w:t>.</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В економічній літературі показники, що дають змогу оцінити якість кредитного портфеля банку, представлені у вигляді двох груп (рис. 1.5.): показники ризику кредитного портфеля та показники дохідності кредитних операцій.</w: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p>
    <w:p w:rsidR="00307A06" w:rsidRPr="00E37001" w:rsidRDefault="00776A19" w:rsidP="00B07B79">
      <w:pPr>
        <w:pStyle w:val="Style1"/>
        <w:widowControl/>
        <w:spacing w:line="360" w:lineRule="auto"/>
        <w:contextualSpacing/>
        <w:jc w:val="both"/>
        <w:rPr>
          <w:rStyle w:val="FontStyle12"/>
          <w:b w:val="0"/>
          <w:sz w:val="28"/>
          <w:szCs w:val="28"/>
          <w:lang w:eastAsia="uk-UA"/>
        </w:rPr>
      </w:pPr>
      <w:r>
        <w:rPr>
          <w:noProof/>
          <w:lang w:eastAsia="uk-UA"/>
        </w:rPr>
        <w:lastRenderedPageBreak/>
        <mc:AlternateContent>
          <mc:Choice Requires="wpc">
            <w:drawing>
              <wp:inline distT="0" distB="0" distL="0" distR="0">
                <wp:extent cx="5940425" cy="3318510"/>
                <wp:effectExtent l="3810" t="0" r="0" b="0"/>
                <wp:docPr id="12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8" name="Group 4"/>
                        <wpg:cNvGrpSpPr>
                          <a:grpSpLocks/>
                        </wpg:cNvGrpSpPr>
                        <wpg:grpSpPr bwMode="auto">
                          <a:xfrm>
                            <a:off x="102307" y="114687"/>
                            <a:ext cx="5669806" cy="3099036"/>
                            <a:chOff x="2486" y="7991"/>
                            <a:chExt cx="6872" cy="3756"/>
                          </a:xfrm>
                        </wpg:grpSpPr>
                        <wps:wsp>
                          <wps:cNvPr id="119" name="Rectangle 5"/>
                          <wps:cNvSpPr>
                            <a:spLocks noChangeArrowheads="1"/>
                          </wps:cNvSpPr>
                          <wps:spPr bwMode="auto">
                            <a:xfrm>
                              <a:off x="2486" y="7991"/>
                              <a:ext cx="1537" cy="1385"/>
                            </a:xfrm>
                            <a:prstGeom prst="rect">
                              <a:avLst/>
                            </a:prstGeom>
                            <a:solidFill>
                              <a:srgbClr val="FFFFFF"/>
                            </a:solidFill>
                            <a:ln w="9525">
                              <a:solidFill>
                                <a:srgbClr val="000000"/>
                              </a:solidFill>
                              <a:miter lim="800000"/>
                              <a:headEnd/>
                              <a:tailEnd/>
                            </a:ln>
                          </wps:spPr>
                          <wps:txbx>
                            <w:txbxContent>
                              <w:p w:rsidR="00631A1C" w:rsidRPr="00B10BA4" w:rsidRDefault="00631A1C" w:rsidP="00307A06">
                                <w:pPr>
                                  <w:pStyle w:val="Style5"/>
                                  <w:widowControl/>
                                  <w:spacing w:before="211" w:line="240" w:lineRule="auto"/>
                                  <w:ind w:firstLine="0"/>
                                  <w:contextualSpacing/>
                                  <w:jc w:val="center"/>
                                  <w:rPr>
                                    <w:b/>
                                  </w:rPr>
                                </w:pPr>
                                <w:r>
                                  <w:rPr>
                                    <w:rStyle w:val="FontStyle11"/>
                                    <w:b/>
                                    <w:sz w:val="28"/>
                                    <w:szCs w:val="28"/>
                                    <w:lang w:eastAsia="uk-UA"/>
                                  </w:rPr>
                                  <w:t>Оцінка ризику кредитного портфеля</w:t>
                                </w:r>
                              </w:p>
                            </w:txbxContent>
                          </wps:txbx>
                          <wps:bodyPr rot="0" vert="horz" wrap="square" lIns="91440" tIns="45720" rIns="91440" bIns="45720" anchor="t" anchorCtr="0" upright="1">
                            <a:noAutofit/>
                          </wps:bodyPr>
                        </wps:wsp>
                        <wps:wsp>
                          <wps:cNvPr id="120" name="Rectangle 6"/>
                          <wps:cNvSpPr>
                            <a:spLocks noChangeArrowheads="1"/>
                          </wps:cNvSpPr>
                          <wps:spPr bwMode="auto">
                            <a:xfrm>
                              <a:off x="5133" y="8053"/>
                              <a:ext cx="1664" cy="1090"/>
                            </a:xfrm>
                            <a:prstGeom prst="rect">
                              <a:avLst/>
                            </a:prstGeom>
                            <a:solidFill>
                              <a:srgbClr val="FFFFFF"/>
                            </a:solidFill>
                            <a:ln w="9525">
                              <a:solidFill>
                                <a:srgbClr val="000000"/>
                              </a:solidFill>
                              <a:miter lim="800000"/>
                              <a:headEnd/>
                              <a:tailEnd/>
                            </a:ln>
                          </wps:spPr>
                          <wps:txbx>
                            <w:txbxContent>
                              <w:p w:rsidR="00631A1C" w:rsidRPr="00B10BA4" w:rsidRDefault="00631A1C" w:rsidP="00307A06">
                                <w:pPr>
                                  <w:spacing w:line="240" w:lineRule="auto"/>
                                  <w:jc w:val="center"/>
                                  <w:rPr>
                                    <w:rFonts w:ascii="Times New Roman" w:hAnsi="Times New Roman" w:cs="Times New Roman"/>
                                    <w:caps/>
                                    <w:sz w:val="28"/>
                                    <w:szCs w:val="28"/>
                                  </w:rPr>
                                </w:pPr>
                                <w:r w:rsidRPr="00B10BA4">
                                  <w:rPr>
                                    <w:rFonts w:ascii="Times New Roman" w:hAnsi="Times New Roman" w:cs="Times New Roman"/>
                                    <w:caps/>
                                    <w:sz w:val="28"/>
                                    <w:szCs w:val="28"/>
                                  </w:rPr>
                                  <w:t xml:space="preserve">Аналіз </w:t>
                                </w:r>
                                <w:r>
                                  <w:rPr>
                                    <w:rFonts w:ascii="Times New Roman" w:hAnsi="Times New Roman" w:cs="Times New Roman"/>
                                    <w:caps/>
                                    <w:sz w:val="28"/>
                                    <w:szCs w:val="28"/>
                                  </w:rPr>
                                  <w:t xml:space="preserve">якості </w:t>
                                </w:r>
                                <w:r w:rsidRPr="00B10BA4">
                                  <w:rPr>
                                    <w:rFonts w:ascii="Times New Roman" w:hAnsi="Times New Roman" w:cs="Times New Roman"/>
                                    <w:caps/>
                                    <w:sz w:val="28"/>
                                    <w:szCs w:val="28"/>
                                  </w:rPr>
                                  <w:t>кредитного портфеля</w:t>
                                </w:r>
                              </w:p>
                            </w:txbxContent>
                          </wps:txbx>
                          <wps:bodyPr rot="0" vert="horz" wrap="square" lIns="91440" tIns="45720" rIns="91440" bIns="45720" anchor="t" anchorCtr="0" upright="1">
                            <a:noAutofit/>
                          </wps:bodyPr>
                        </wps:wsp>
                        <wps:wsp>
                          <wps:cNvPr id="121" name="Rectangle 7"/>
                          <wps:cNvSpPr>
                            <a:spLocks noChangeArrowheads="1"/>
                          </wps:cNvSpPr>
                          <wps:spPr bwMode="auto">
                            <a:xfrm>
                              <a:off x="7749" y="8268"/>
                              <a:ext cx="1525" cy="1108"/>
                            </a:xfrm>
                            <a:prstGeom prst="rect">
                              <a:avLst/>
                            </a:prstGeom>
                            <a:solidFill>
                              <a:srgbClr val="FFFFFF"/>
                            </a:solidFill>
                            <a:ln w="9525">
                              <a:solidFill>
                                <a:srgbClr val="000000"/>
                              </a:solidFill>
                              <a:miter lim="800000"/>
                              <a:headEnd/>
                              <a:tailEnd/>
                            </a:ln>
                          </wps:spPr>
                          <wps:txbx>
                            <w:txbxContent>
                              <w:p w:rsidR="00631A1C" w:rsidRPr="00B10BA4" w:rsidRDefault="00631A1C" w:rsidP="00307A0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Оцінка дохідності кредитних операцій</w:t>
                                </w:r>
                              </w:p>
                            </w:txbxContent>
                          </wps:txbx>
                          <wps:bodyPr rot="0" vert="horz" wrap="square" lIns="91440" tIns="45720" rIns="91440" bIns="45720" anchor="t" anchorCtr="0" upright="1">
                            <a:noAutofit/>
                          </wps:bodyPr>
                        </wps:wsp>
                        <wps:wsp>
                          <wps:cNvPr id="122" name="Rectangle 8"/>
                          <wps:cNvSpPr>
                            <a:spLocks noChangeArrowheads="1"/>
                          </wps:cNvSpPr>
                          <wps:spPr bwMode="auto">
                            <a:xfrm>
                              <a:off x="2486" y="9661"/>
                              <a:ext cx="2610" cy="2086"/>
                            </a:xfrm>
                            <a:prstGeom prst="rect">
                              <a:avLst/>
                            </a:prstGeom>
                            <a:solidFill>
                              <a:srgbClr val="FFFFFF"/>
                            </a:solidFill>
                            <a:ln w="9525">
                              <a:solidFill>
                                <a:srgbClr val="000000"/>
                              </a:solidFill>
                              <a:miter lim="800000"/>
                              <a:headEnd/>
                              <a:tailEnd/>
                            </a:ln>
                          </wps:spPr>
                          <wps:txbx>
                            <w:txbxContent>
                              <w:p w:rsidR="00631A1C" w:rsidRDefault="00631A1C" w:rsidP="00307A06">
                                <w:pPr>
                                  <w:pStyle w:val="Style5"/>
                                  <w:widowControl/>
                                  <w:spacing w:before="19" w:line="240" w:lineRule="auto"/>
                                  <w:ind w:firstLine="0"/>
                                  <w:contextualSpacing/>
                                  <w:jc w:val="left"/>
                                  <w:rPr>
                                    <w:rStyle w:val="FontStyle11"/>
                                    <w:sz w:val="28"/>
                                    <w:szCs w:val="28"/>
                                    <w:lang w:eastAsia="uk-UA"/>
                                  </w:rPr>
                                </w:pPr>
                                <w:r>
                                  <w:rPr>
                                    <w:rStyle w:val="FontStyle11"/>
                                    <w:sz w:val="28"/>
                                    <w:szCs w:val="28"/>
                                    <w:lang w:eastAsia="uk-UA"/>
                                  </w:rPr>
                                  <w:t>Коефіцієнт покриття кредитного портфеля власним капіталом банку;</w:t>
                                </w:r>
                              </w:p>
                              <w:p w:rsidR="00631A1C" w:rsidRDefault="00631A1C" w:rsidP="00307A06">
                                <w:pPr>
                                  <w:pStyle w:val="Style5"/>
                                  <w:widowControl/>
                                  <w:spacing w:before="19" w:line="240" w:lineRule="auto"/>
                                  <w:ind w:firstLine="0"/>
                                  <w:contextualSpacing/>
                                  <w:jc w:val="left"/>
                                  <w:rPr>
                                    <w:rStyle w:val="FontStyle11"/>
                                    <w:sz w:val="28"/>
                                    <w:szCs w:val="28"/>
                                    <w:lang w:eastAsia="uk-UA"/>
                                  </w:rPr>
                                </w:pPr>
                                <w:r>
                                  <w:rPr>
                                    <w:rStyle w:val="FontStyle11"/>
                                    <w:sz w:val="28"/>
                                    <w:szCs w:val="28"/>
                                    <w:lang w:eastAsia="uk-UA"/>
                                  </w:rPr>
                                  <w:t>коефіцієнт якості кредитного портфеля;</w:t>
                                </w:r>
                              </w:p>
                              <w:p w:rsidR="00631A1C" w:rsidRPr="001A7982" w:rsidRDefault="00631A1C" w:rsidP="00307A06">
                                <w:pPr>
                                  <w:pStyle w:val="Style5"/>
                                  <w:widowControl/>
                                  <w:spacing w:before="19" w:line="240" w:lineRule="auto"/>
                                  <w:ind w:firstLine="0"/>
                                  <w:contextualSpacing/>
                                  <w:jc w:val="left"/>
                                </w:pPr>
                                <w:r>
                                  <w:rPr>
                                    <w:rStyle w:val="FontStyle11"/>
                                    <w:sz w:val="28"/>
                                    <w:szCs w:val="28"/>
                                    <w:lang w:eastAsia="uk-UA"/>
                                  </w:rPr>
                                  <w:t>коефіцієнт проблемних кредитів</w:t>
                                </w:r>
                              </w:p>
                            </w:txbxContent>
                          </wps:txbx>
                          <wps:bodyPr rot="0" vert="horz" wrap="square" lIns="91440" tIns="45720" rIns="91440" bIns="45720" anchor="t" anchorCtr="0" upright="1">
                            <a:noAutofit/>
                          </wps:bodyPr>
                        </wps:wsp>
                        <wps:wsp>
                          <wps:cNvPr id="123" name="Rectangle 9"/>
                          <wps:cNvSpPr>
                            <a:spLocks noChangeArrowheads="1"/>
                          </wps:cNvSpPr>
                          <wps:spPr bwMode="auto">
                            <a:xfrm>
                              <a:off x="5396" y="9661"/>
                              <a:ext cx="3962" cy="2086"/>
                            </a:xfrm>
                            <a:prstGeom prst="rect">
                              <a:avLst/>
                            </a:prstGeom>
                            <a:solidFill>
                              <a:srgbClr val="FFFFFF"/>
                            </a:solidFill>
                            <a:ln w="9525">
                              <a:solidFill>
                                <a:srgbClr val="000000"/>
                              </a:solidFill>
                              <a:miter lim="800000"/>
                              <a:headEnd/>
                              <a:tailEnd/>
                            </a:ln>
                          </wps:spPr>
                          <wps:txbx>
                            <w:txbxContent>
                              <w:p w:rsidR="00631A1C" w:rsidRPr="00693D4D" w:rsidRDefault="00631A1C" w:rsidP="00307A06">
                                <w:pPr>
                                  <w:spacing w:line="240" w:lineRule="auto"/>
                                  <w:contextualSpacing/>
                                  <w:rPr>
                                    <w:rFonts w:ascii="Times New Roman" w:hAnsi="Times New Roman" w:cs="Times New Roman"/>
                                    <w:sz w:val="28"/>
                                    <w:szCs w:val="28"/>
                                  </w:rPr>
                                </w:pPr>
                                <w:r w:rsidRPr="00693D4D">
                                  <w:rPr>
                                    <w:rFonts w:ascii="Times New Roman" w:hAnsi="Times New Roman" w:cs="Times New Roman"/>
                                    <w:sz w:val="28"/>
                                    <w:szCs w:val="28"/>
                                  </w:rPr>
                                  <w:t>Коефіцієнт дохідності кредитного портфеля;</w:t>
                                </w:r>
                              </w:p>
                              <w:p w:rsidR="00631A1C" w:rsidRPr="00693D4D" w:rsidRDefault="00631A1C" w:rsidP="00307A06">
                                <w:pPr>
                                  <w:spacing w:line="240" w:lineRule="auto"/>
                                  <w:contextualSpacing/>
                                  <w:rPr>
                                    <w:rFonts w:ascii="Times New Roman" w:hAnsi="Times New Roman" w:cs="Times New Roman"/>
                                    <w:sz w:val="28"/>
                                    <w:szCs w:val="28"/>
                                  </w:rPr>
                                </w:pPr>
                                <w:r>
                                  <w:rPr>
                                    <w:rFonts w:ascii="Times New Roman" w:hAnsi="Times New Roman" w:cs="Times New Roman"/>
                                    <w:sz w:val="28"/>
                                    <w:szCs w:val="28"/>
                                  </w:rPr>
                                  <w:t>ч</w:t>
                                </w:r>
                                <w:r w:rsidRPr="00693D4D">
                                  <w:rPr>
                                    <w:rFonts w:ascii="Times New Roman" w:hAnsi="Times New Roman" w:cs="Times New Roman"/>
                                    <w:sz w:val="28"/>
                                    <w:szCs w:val="28"/>
                                  </w:rPr>
                                  <w:t>астка відсоткових доходів у загальній сумі доходів банку;</w:t>
                                </w:r>
                              </w:p>
                              <w:p w:rsidR="00631A1C" w:rsidRPr="00693D4D" w:rsidRDefault="00631A1C" w:rsidP="00307A06">
                                <w:pPr>
                                  <w:spacing w:line="240" w:lineRule="auto"/>
                                  <w:contextualSpacing/>
                                  <w:rPr>
                                    <w:rFonts w:ascii="Times New Roman" w:hAnsi="Times New Roman" w:cs="Times New Roman"/>
                                    <w:sz w:val="28"/>
                                    <w:szCs w:val="28"/>
                                  </w:rPr>
                                </w:pPr>
                                <w:r>
                                  <w:rPr>
                                    <w:rFonts w:ascii="Times New Roman" w:hAnsi="Times New Roman" w:cs="Times New Roman"/>
                                    <w:sz w:val="28"/>
                                    <w:szCs w:val="28"/>
                                  </w:rPr>
                                  <w:t>к</w:t>
                                </w:r>
                                <w:r w:rsidRPr="00693D4D">
                                  <w:rPr>
                                    <w:rFonts w:ascii="Times New Roman" w:hAnsi="Times New Roman" w:cs="Times New Roman"/>
                                    <w:sz w:val="28"/>
                                    <w:szCs w:val="28"/>
                                  </w:rPr>
                                  <w:t>оефіцієнт співвідношення відсоткових доходів і відсоткових витрат;</w:t>
                                </w:r>
                              </w:p>
                              <w:p w:rsidR="00631A1C" w:rsidRPr="00693D4D" w:rsidRDefault="00631A1C" w:rsidP="00307A06">
                                <w:pPr>
                                  <w:spacing w:line="240" w:lineRule="auto"/>
                                  <w:contextualSpacing/>
                                  <w:rPr>
                                    <w:rFonts w:ascii="Times New Roman" w:hAnsi="Times New Roman" w:cs="Times New Roman"/>
                                    <w:sz w:val="28"/>
                                    <w:szCs w:val="28"/>
                                  </w:rPr>
                                </w:pPr>
                                <w:r>
                                  <w:rPr>
                                    <w:rFonts w:ascii="Times New Roman" w:hAnsi="Times New Roman" w:cs="Times New Roman"/>
                                    <w:sz w:val="28"/>
                                    <w:szCs w:val="28"/>
                                  </w:rPr>
                                  <w:t>п</w:t>
                                </w:r>
                                <w:r w:rsidRPr="00693D4D">
                                  <w:rPr>
                                    <w:rFonts w:ascii="Times New Roman" w:hAnsi="Times New Roman" w:cs="Times New Roman"/>
                                    <w:sz w:val="28"/>
                                    <w:szCs w:val="28"/>
                                  </w:rPr>
                                  <w:t>рибутковість кредитних операцій;</w:t>
                                </w:r>
                              </w:p>
                              <w:p w:rsidR="00631A1C" w:rsidRPr="00693D4D" w:rsidRDefault="00631A1C" w:rsidP="00307A06">
                                <w:pPr>
                                  <w:spacing w:line="240" w:lineRule="auto"/>
                                  <w:contextualSpacing/>
                                </w:pPr>
                                <w:r>
                                  <w:rPr>
                                    <w:rFonts w:ascii="Times New Roman" w:hAnsi="Times New Roman" w:cs="Times New Roman"/>
                                    <w:sz w:val="28"/>
                                    <w:szCs w:val="28"/>
                                  </w:rPr>
                                  <w:t>ч</w:t>
                                </w:r>
                                <w:r w:rsidRPr="00693D4D">
                                  <w:rPr>
                                    <w:rFonts w:ascii="Times New Roman" w:hAnsi="Times New Roman" w:cs="Times New Roman"/>
                                    <w:sz w:val="28"/>
                                    <w:szCs w:val="28"/>
                                  </w:rPr>
                                  <w:t xml:space="preserve">истий </w:t>
                                </w:r>
                                <w:proofErr w:type="spellStart"/>
                                <w:r w:rsidRPr="00693D4D">
                                  <w:rPr>
                                    <w:rFonts w:ascii="Times New Roman" w:hAnsi="Times New Roman" w:cs="Times New Roman"/>
                                    <w:sz w:val="28"/>
                                    <w:szCs w:val="28"/>
                                  </w:rPr>
                                  <w:t>спред</w:t>
                                </w:r>
                                <w:proofErr w:type="spellEnd"/>
                              </w:p>
                            </w:txbxContent>
                          </wps:txbx>
                          <wps:bodyPr rot="0" vert="horz" wrap="square" lIns="91440" tIns="45720" rIns="91440" bIns="45720" anchor="t" anchorCtr="0" upright="1">
                            <a:noAutofit/>
                          </wps:bodyPr>
                        </wps:wsp>
                        <wps:wsp>
                          <wps:cNvPr id="124" name="AutoShape 10"/>
                          <wps:cNvSpPr>
                            <a:spLocks noChangeArrowheads="1"/>
                          </wps:cNvSpPr>
                          <wps:spPr bwMode="auto">
                            <a:xfrm>
                              <a:off x="3055" y="9374"/>
                              <a:ext cx="382" cy="417"/>
                            </a:xfrm>
                            <a:prstGeom prst="downArrow">
                              <a:avLst>
                                <a:gd name="adj1" fmla="val 50000"/>
                                <a:gd name="adj2" fmla="val 272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AutoShape 11"/>
                          <wps:cNvSpPr>
                            <a:spLocks noChangeArrowheads="1"/>
                          </wps:cNvSpPr>
                          <wps:spPr bwMode="auto">
                            <a:xfrm>
                              <a:off x="7082" y="8406"/>
                              <a:ext cx="533" cy="415"/>
                            </a:xfrm>
                            <a:prstGeom prst="rightArrow">
                              <a:avLst>
                                <a:gd name="adj1" fmla="val 50000"/>
                                <a:gd name="adj2" fmla="val 321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AutoShape 12"/>
                          <wps:cNvSpPr>
                            <a:spLocks noChangeArrowheads="1"/>
                          </wps:cNvSpPr>
                          <wps:spPr bwMode="auto">
                            <a:xfrm>
                              <a:off x="4265" y="8405"/>
                              <a:ext cx="591" cy="416"/>
                            </a:xfrm>
                            <a:prstGeom prst="leftArrow">
                              <a:avLst>
                                <a:gd name="adj1" fmla="val 50000"/>
                                <a:gd name="adj2" fmla="val 355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 name="AutoShape 13"/>
                          <wps:cNvSpPr>
                            <a:spLocks noChangeArrowheads="1"/>
                          </wps:cNvSpPr>
                          <wps:spPr bwMode="auto">
                            <a:xfrm>
                              <a:off x="8389" y="9376"/>
                              <a:ext cx="415" cy="41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c:wpc>
                  </a:graphicData>
                </a:graphic>
              </wp:inline>
            </w:drawing>
          </mc:Choice>
          <mc:Fallback>
            <w:pict>
              <v:group id="Полотно 2" o:spid="_x0000_s1126" editas="canvas" style="width:467.75pt;height:261.3pt;mso-position-horizontal-relative:char;mso-position-vertical-relative:line" coordsize="59404,3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">
                <v:shape id="_x0000_s1127" type="#_x0000_t75" style="position:absolute;width:59404;height:33185;visibility:visible;mso-wrap-style:square">
                  <v:fill o:detectmouseclick="t"/>
                  <v:path o:connecttype="none"/>
                </v:shape>
                <v:group id="Group 4" o:spid="_x0000_s1128" style="position:absolute;left:1023;top:1146;width:56698;height:30991" coordorigin="2486,7991" coordsize="6872,3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rect id="Rectangle 5" o:spid="_x0000_s1129" style="position:absolute;left:2486;top:7991;width:1537;height:1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textbox>
                      <w:txbxContent>
                        <w:p w:rsidR="00631A1C" w:rsidRPr="00B10BA4" w:rsidRDefault="00631A1C" w:rsidP="00307A06">
                          <w:pPr>
                            <w:pStyle w:val="Style5"/>
                            <w:widowControl/>
                            <w:spacing w:before="211" w:line="240" w:lineRule="auto"/>
                            <w:ind w:firstLine="0"/>
                            <w:contextualSpacing/>
                            <w:jc w:val="center"/>
                            <w:rPr>
                              <w:b/>
                            </w:rPr>
                          </w:pPr>
                          <w:r>
                            <w:rPr>
                              <w:rStyle w:val="FontStyle11"/>
                              <w:b/>
                              <w:sz w:val="28"/>
                              <w:szCs w:val="28"/>
                              <w:lang w:eastAsia="uk-UA"/>
                            </w:rPr>
                            <w:t>Оцінка ризику кредитного портфеля</w:t>
                          </w:r>
                        </w:p>
                      </w:txbxContent>
                    </v:textbox>
                  </v:rect>
                  <v:rect id="Rectangle 6" o:spid="_x0000_s1130" style="position:absolute;left:5133;top:8053;width:1664;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w:txbxContent>
                        <w:p w:rsidR="00631A1C" w:rsidRPr="00B10BA4" w:rsidRDefault="00631A1C" w:rsidP="00307A06">
                          <w:pPr>
                            <w:spacing w:line="240" w:lineRule="auto"/>
                            <w:jc w:val="center"/>
                            <w:rPr>
                              <w:rFonts w:ascii="Times New Roman" w:hAnsi="Times New Roman" w:cs="Times New Roman"/>
                              <w:caps/>
                              <w:sz w:val="28"/>
                              <w:szCs w:val="28"/>
                            </w:rPr>
                          </w:pPr>
                          <w:r w:rsidRPr="00B10BA4">
                            <w:rPr>
                              <w:rFonts w:ascii="Times New Roman" w:hAnsi="Times New Roman" w:cs="Times New Roman"/>
                              <w:caps/>
                              <w:sz w:val="28"/>
                              <w:szCs w:val="28"/>
                            </w:rPr>
                            <w:t xml:space="preserve">Аналіз </w:t>
                          </w:r>
                          <w:r>
                            <w:rPr>
                              <w:rFonts w:ascii="Times New Roman" w:hAnsi="Times New Roman" w:cs="Times New Roman"/>
                              <w:caps/>
                              <w:sz w:val="28"/>
                              <w:szCs w:val="28"/>
                            </w:rPr>
                            <w:t xml:space="preserve">якості </w:t>
                          </w:r>
                          <w:r w:rsidRPr="00B10BA4">
                            <w:rPr>
                              <w:rFonts w:ascii="Times New Roman" w:hAnsi="Times New Roman" w:cs="Times New Roman"/>
                              <w:caps/>
                              <w:sz w:val="28"/>
                              <w:szCs w:val="28"/>
                            </w:rPr>
                            <w:t>кредитного портфеля</w:t>
                          </w:r>
                        </w:p>
                      </w:txbxContent>
                    </v:textbox>
                  </v:rect>
                  <v:rect id="Rectangle 7" o:spid="_x0000_s1131" style="position:absolute;left:7749;top:8268;width:1525;height:1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w:txbxContent>
                        <w:p w:rsidR="00631A1C" w:rsidRPr="00B10BA4" w:rsidRDefault="00631A1C" w:rsidP="00307A0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Оцінка дохідності кредитних операцій</w:t>
                          </w:r>
                        </w:p>
                      </w:txbxContent>
                    </v:textbox>
                  </v:rect>
                  <v:rect id="Rectangle 8" o:spid="_x0000_s1132" style="position:absolute;left:2486;top:9661;width:2610;height:2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w:txbxContent>
                        <w:p w:rsidR="00631A1C" w:rsidRDefault="00631A1C" w:rsidP="00307A06">
                          <w:pPr>
                            <w:pStyle w:val="Style5"/>
                            <w:widowControl/>
                            <w:spacing w:before="19" w:line="240" w:lineRule="auto"/>
                            <w:ind w:firstLine="0"/>
                            <w:contextualSpacing/>
                            <w:jc w:val="left"/>
                            <w:rPr>
                              <w:rStyle w:val="FontStyle11"/>
                              <w:sz w:val="28"/>
                              <w:szCs w:val="28"/>
                              <w:lang w:eastAsia="uk-UA"/>
                            </w:rPr>
                          </w:pPr>
                          <w:r>
                            <w:rPr>
                              <w:rStyle w:val="FontStyle11"/>
                              <w:sz w:val="28"/>
                              <w:szCs w:val="28"/>
                              <w:lang w:eastAsia="uk-UA"/>
                            </w:rPr>
                            <w:t>Коефіцієнт покриття кредитного портфеля власним капіталом банку;</w:t>
                          </w:r>
                        </w:p>
                        <w:p w:rsidR="00631A1C" w:rsidRDefault="00631A1C" w:rsidP="00307A06">
                          <w:pPr>
                            <w:pStyle w:val="Style5"/>
                            <w:widowControl/>
                            <w:spacing w:before="19" w:line="240" w:lineRule="auto"/>
                            <w:ind w:firstLine="0"/>
                            <w:contextualSpacing/>
                            <w:jc w:val="left"/>
                            <w:rPr>
                              <w:rStyle w:val="FontStyle11"/>
                              <w:sz w:val="28"/>
                              <w:szCs w:val="28"/>
                              <w:lang w:eastAsia="uk-UA"/>
                            </w:rPr>
                          </w:pPr>
                          <w:r>
                            <w:rPr>
                              <w:rStyle w:val="FontStyle11"/>
                              <w:sz w:val="28"/>
                              <w:szCs w:val="28"/>
                              <w:lang w:eastAsia="uk-UA"/>
                            </w:rPr>
                            <w:t>коефіцієнт якості кредитного портфеля;</w:t>
                          </w:r>
                        </w:p>
                        <w:p w:rsidR="00631A1C" w:rsidRPr="001A7982" w:rsidRDefault="00631A1C" w:rsidP="00307A06">
                          <w:pPr>
                            <w:pStyle w:val="Style5"/>
                            <w:widowControl/>
                            <w:spacing w:before="19" w:line="240" w:lineRule="auto"/>
                            <w:ind w:firstLine="0"/>
                            <w:contextualSpacing/>
                            <w:jc w:val="left"/>
                          </w:pPr>
                          <w:r>
                            <w:rPr>
                              <w:rStyle w:val="FontStyle11"/>
                              <w:sz w:val="28"/>
                              <w:szCs w:val="28"/>
                              <w:lang w:eastAsia="uk-UA"/>
                            </w:rPr>
                            <w:t>коефіцієнт проблемних кредитів</w:t>
                          </w:r>
                        </w:p>
                      </w:txbxContent>
                    </v:textbox>
                  </v:rect>
                  <v:rect id="Rectangle 9" o:spid="_x0000_s1133" style="position:absolute;left:5396;top:9661;width:3962;height:2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w:txbxContent>
                        <w:p w:rsidR="00631A1C" w:rsidRPr="00693D4D" w:rsidRDefault="00631A1C" w:rsidP="00307A06">
                          <w:pPr>
                            <w:spacing w:line="240" w:lineRule="auto"/>
                            <w:contextualSpacing/>
                            <w:rPr>
                              <w:rFonts w:ascii="Times New Roman" w:hAnsi="Times New Roman" w:cs="Times New Roman"/>
                              <w:sz w:val="28"/>
                              <w:szCs w:val="28"/>
                            </w:rPr>
                          </w:pPr>
                          <w:r w:rsidRPr="00693D4D">
                            <w:rPr>
                              <w:rFonts w:ascii="Times New Roman" w:hAnsi="Times New Roman" w:cs="Times New Roman"/>
                              <w:sz w:val="28"/>
                              <w:szCs w:val="28"/>
                            </w:rPr>
                            <w:t>Коефіцієнт дохідності кредитного портфеля;</w:t>
                          </w:r>
                        </w:p>
                        <w:p w:rsidR="00631A1C" w:rsidRPr="00693D4D" w:rsidRDefault="00631A1C" w:rsidP="00307A06">
                          <w:pPr>
                            <w:spacing w:line="240" w:lineRule="auto"/>
                            <w:contextualSpacing/>
                            <w:rPr>
                              <w:rFonts w:ascii="Times New Roman" w:hAnsi="Times New Roman" w:cs="Times New Roman"/>
                              <w:sz w:val="28"/>
                              <w:szCs w:val="28"/>
                            </w:rPr>
                          </w:pPr>
                          <w:r>
                            <w:rPr>
                              <w:rFonts w:ascii="Times New Roman" w:hAnsi="Times New Roman" w:cs="Times New Roman"/>
                              <w:sz w:val="28"/>
                              <w:szCs w:val="28"/>
                            </w:rPr>
                            <w:t>ч</w:t>
                          </w:r>
                          <w:r w:rsidRPr="00693D4D">
                            <w:rPr>
                              <w:rFonts w:ascii="Times New Roman" w:hAnsi="Times New Roman" w:cs="Times New Roman"/>
                              <w:sz w:val="28"/>
                              <w:szCs w:val="28"/>
                            </w:rPr>
                            <w:t>астка відсоткових доходів у загальній сумі доходів банку;</w:t>
                          </w:r>
                        </w:p>
                        <w:p w:rsidR="00631A1C" w:rsidRPr="00693D4D" w:rsidRDefault="00631A1C" w:rsidP="00307A06">
                          <w:pPr>
                            <w:spacing w:line="240" w:lineRule="auto"/>
                            <w:contextualSpacing/>
                            <w:rPr>
                              <w:rFonts w:ascii="Times New Roman" w:hAnsi="Times New Roman" w:cs="Times New Roman"/>
                              <w:sz w:val="28"/>
                              <w:szCs w:val="28"/>
                            </w:rPr>
                          </w:pPr>
                          <w:r>
                            <w:rPr>
                              <w:rFonts w:ascii="Times New Roman" w:hAnsi="Times New Roman" w:cs="Times New Roman"/>
                              <w:sz w:val="28"/>
                              <w:szCs w:val="28"/>
                            </w:rPr>
                            <w:t>к</w:t>
                          </w:r>
                          <w:r w:rsidRPr="00693D4D">
                            <w:rPr>
                              <w:rFonts w:ascii="Times New Roman" w:hAnsi="Times New Roman" w:cs="Times New Roman"/>
                              <w:sz w:val="28"/>
                              <w:szCs w:val="28"/>
                            </w:rPr>
                            <w:t>оефіцієнт співвідношення відсоткових доходів і відсоткових витрат;</w:t>
                          </w:r>
                        </w:p>
                        <w:p w:rsidR="00631A1C" w:rsidRPr="00693D4D" w:rsidRDefault="00631A1C" w:rsidP="00307A06">
                          <w:pPr>
                            <w:spacing w:line="240" w:lineRule="auto"/>
                            <w:contextualSpacing/>
                            <w:rPr>
                              <w:rFonts w:ascii="Times New Roman" w:hAnsi="Times New Roman" w:cs="Times New Roman"/>
                              <w:sz w:val="28"/>
                              <w:szCs w:val="28"/>
                            </w:rPr>
                          </w:pPr>
                          <w:r>
                            <w:rPr>
                              <w:rFonts w:ascii="Times New Roman" w:hAnsi="Times New Roman" w:cs="Times New Roman"/>
                              <w:sz w:val="28"/>
                              <w:szCs w:val="28"/>
                            </w:rPr>
                            <w:t>п</w:t>
                          </w:r>
                          <w:r w:rsidRPr="00693D4D">
                            <w:rPr>
                              <w:rFonts w:ascii="Times New Roman" w:hAnsi="Times New Roman" w:cs="Times New Roman"/>
                              <w:sz w:val="28"/>
                              <w:szCs w:val="28"/>
                            </w:rPr>
                            <w:t>рибутковість кредитних операцій;</w:t>
                          </w:r>
                        </w:p>
                        <w:p w:rsidR="00631A1C" w:rsidRPr="00693D4D" w:rsidRDefault="00631A1C" w:rsidP="00307A06">
                          <w:pPr>
                            <w:spacing w:line="240" w:lineRule="auto"/>
                            <w:contextualSpacing/>
                          </w:pPr>
                          <w:r>
                            <w:rPr>
                              <w:rFonts w:ascii="Times New Roman" w:hAnsi="Times New Roman" w:cs="Times New Roman"/>
                              <w:sz w:val="28"/>
                              <w:szCs w:val="28"/>
                            </w:rPr>
                            <w:t>ч</w:t>
                          </w:r>
                          <w:r w:rsidRPr="00693D4D">
                            <w:rPr>
                              <w:rFonts w:ascii="Times New Roman" w:hAnsi="Times New Roman" w:cs="Times New Roman"/>
                              <w:sz w:val="28"/>
                              <w:szCs w:val="28"/>
                            </w:rPr>
                            <w:t xml:space="preserve">истий </w:t>
                          </w:r>
                          <w:proofErr w:type="spellStart"/>
                          <w:r w:rsidRPr="00693D4D">
                            <w:rPr>
                              <w:rFonts w:ascii="Times New Roman" w:hAnsi="Times New Roman" w:cs="Times New Roman"/>
                              <w:sz w:val="28"/>
                              <w:szCs w:val="28"/>
                            </w:rPr>
                            <w:t>спред</w:t>
                          </w:r>
                          <w:proofErr w:type="spellEnd"/>
                        </w:p>
                      </w:txbxContent>
                    </v:textbox>
                  </v:rect>
                  <v:shape id="AutoShape 10" o:spid="_x0000_s1134" type="#_x0000_t67" style="position:absolute;left:3055;top:9374;width:382;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sib8A&#10;AADcAAAADwAAAGRycy9kb3ducmV2LnhtbERPzWoCMRC+F3yHMIK3mriVoqtRpNDiraj7AMNm3A1u&#10;JksSdX17IxR6m4/vd9bbwXXiRiFazxpmUwWCuPbGcqOhOn2/L0DEhGyw80waHhRhuxm9rbE0/s4H&#10;uh1TI3IIxxI1tCn1pZSxbslhnPqeOHNnHxymDEMjTcB7DnedLJT6lA4t54YWe/pqqb4cr06DrU5q&#10;OCwfc5w16kP9Vj8cbKH1ZDzsViASDelf/Ofemzy/mMPrmXyB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cOyJvwAAANwAAAAPAAAAAAAAAAAAAAAAAJgCAABkcnMvZG93bnJl&#10;di54bWxQSwUGAAAAAAQABAD1AAAAhAMAAAAA&#10;"/>
                  <v:shape id="AutoShape 11" o:spid="_x0000_s1135" type="#_x0000_t13" style="position:absolute;left:7082;top:8406;width:533;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DLSsEA&#10;AADcAAAADwAAAGRycy9kb3ducmV2LnhtbERPS2vCQBC+C/6HZYTedNKAIqlrkErBm89Dj9PsNAlm&#10;Z2N2a9L++m6h4G0+vues8sE26s6dr51oeJ4loFgKZ2opNVzOb9MlKB9IDDVOWMM3e8jX49GKMuN6&#10;OfL9FEoVQ8RnpKEKoc0QfVGxJT9zLUvkPl1nKUTYlWg66mO4bTBNkgVaqiU2VNTya8XF9fRlNXw0&#10;28X7ob3t0GB/4J8Ez8Nxr/XTZNi8gAo8hIf4370zcX46h79n4gW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Qy0rBAAAA3AAAAA8AAAAAAAAAAAAAAAAAmAIAAGRycy9kb3du&#10;cmV2LnhtbFBLBQYAAAAABAAEAPUAAACGAwAAAAA=&#10;"/>
                  <v:shape id="AutoShape 12" o:spid="_x0000_s1136" type="#_x0000_t66" style="position:absolute;left:4265;top:8405;width:59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RlucMA&#10;AADcAAAADwAAAGRycy9kb3ducmV2LnhtbERPTWvCQBC9C/0PyxR6041KpU3dhKIW9SLVtvchO01C&#10;s7Nxd2viv3cFwds83ufM89404kTO15YVjEcJCOLC6ppLBd9fH8MXED4ga2wsk4Izecizh8EcU207&#10;3tPpEEoRQ9inqKAKoU2l9EVFBv3ItsSR+7XOYIjQlVI77GK4aeQkSWbSYM2xocKWFhUVf4d/o2Af&#10;xuduutq5pX5tP59/+un6uF0r9fTYv7+BCNSHu/jm3ug4fzKD6zPxAp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RlucMAAADcAAAADwAAAAAAAAAAAAAAAACYAgAAZHJzL2Rv&#10;d25yZXYueG1sUEsFBgAAAAAEAAQA9QAAAIgDAAAAAA==&#10;"/>
                  <v:shape id="AutoShape 13" o:spid="_x0000_s1137" type="#_x0000_t67" style="position:absolute;left:8389;top:9376;width:415;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y/r8A&#10;AADcAAAADwAAAGRycy9kb3ducmV2LnhtbERPzWoCMRC+F3yHMAVvNXGVqlujSEHxVtR9gGEz3Q3d&#10;TJYk1fXtjVDobT6+31lvB9eJK4VoPWuYThQI4toby42G6rJ/W4KICdlg55k03CnCdjN6WWNp/I1P&#10;dD2nRuQQjiVqaFPqSylj3ZLDOPE9cea+fXCYMgyNNAFvOdx1slDqXTq0nBta7Omzpfrn/Os02Oqi&#10;htPqPsdpo2bqqzpwsIXW49dh9wEi0ZD+xX/uo8nziwU8n8kX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onL+vwAAANwAAAAPAAAAAAAAAAAAAAAAAJgCAABkcnMvZG93bnJl&#10;di54bWxQSwUGAAAAAAQABAD1AAAAhAMAAAAA&#10;"/>
                </v:group>
                <w10:anchorlock/>
              </v:group>
            </w:pict>
          </mc:Fallback>
        </mc:AlternateContent>
      </w:r>
    </w:p>
    <w:p w:rsidR="00307A06" w:rsidRPr="00E37001" w:rsidRDefault="00307A06" w:rsidP="00B07B79">
      <w:pPr>
        <w:pStyle w:val="Style1"/>
        <w:widowControl/>
        <w:spacing w:line="360" w:lineRule="auto"/>
        <w:ind w:firstLine="567"/>
        <w:contextualSpacing/>
        <w:jc w:val="both"/>
        <w:rPr>
          <w:rStyle w:val="FontStyle12"/>
          <w:b w:val="0"/>
          <w:sz w:val="28"/>
          <w:szCs w:val="28"/>
          <w:lang w:eastAsia="uk-UA"/>
        </w:rPr>
      </w:pPr>
      <w:r w:rsidRPr="00E37001">
        <w:rPr>
          <w:rStyle w:val="FontStyle12"/>
          <w:b w:val="0"/>
          <w:sz w:val="28"/>
          <w:szCs w:val="28"/>
          <w:lang w:eastAsia="uk-UA"/>
        </w:rPr>
        <w:t>Рис. 1.5. Показники оцінки ризику та дохідності кредитних операцій банку</w:t>
      </w:r>
    </w:p>
    <w:p w:rsidR="00307A06" w:rsidRPr="00E37001" w:rsidRDefault="00307A06" w:rsidP="00B07B79">
      <w:pPr>
        <w:spacing w:before="100" w:beforeAutospacing="1" w:after="100" w:afterAutospacing="1" w:line="360" w:lineRule="auto"/>
        <w:ind w:firstLine="567"/>
        <w:contextualSpacing/>
        <w:jc w:val="both"/>
        <w:rPr>
          <w:rFonts w:ascii="Times New Roman" w:eastAsia="Times New Roman" w:hAnsi="Times New Roman" w:cs="Times New Roman"/>
          <w:sz w:val="28"/>
          <w:szCs w:val="28"/>
          <w:lang w:eastAsia="ru-RU"/>
        </w:rPr>
      </w:pPr>
      <w:r w:rsidRPr="00E37001">
        <w:rPr>
          <w:rFonts w:ascii="Times New Roman" w:hAnsi="Times New Roman" w:cs="Times New Roman"/>
          <w:sz w:val="28"/>
          <w:szCs w:val="28"/>
        </w:rPr>
        <w:t>Отже, кредитну політику необхідно розробляти та діяти згідно з нею насамперед тому, що вона дає змогу планувати, регулювати, контролювати, раціонально організовувати взаємовідносини між банком і його клієнтами щодо зворотного руху грошових коштів.</w:t>
      </w:r>
    </w:p>
    <w:p w:rsidR="00307A06" w:rsidRPr="00E37001" w:rsidRDefault="00307A06" w:rsidP="00B07B79">
      <w:pPr>
        <w:spacing w:before="100" w:beforeAutospacing="1"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Основою кредитної діяльності є формування кредитного портфелю. Тому, при формуванні кредитного портфелю, а також під час управління ним, обов’язковою умовою є проведення аналізу структури даного активу. Адже саме від складу кредитного портфелю залежить його ефективність і прибутковість. Особливу увагу слід звертати на найбільш ризикові позики, чітко контролювати їх частку в загальній сукупності кредитів. Формуючи кредитний портфель, менеджмент банку звичайно керується правилом — видавати ті кредити, які приносять максимальні доходи за інших однакових умов</w:t>
      </w:r>
      <w:r w:rsidR="000D7F29" w:rsidRPr="000D7F29">
        <w:rPr>
          <w:rFonts w:ascii="Times New Roman" w:hAnsi="Times New Roman" w:cs="Times New Roman"/>
          <w:sz w:val="28"/>
          <w:szCs w:val="28"/>
          <w:lang w:val="ru-RU"/>
        </w:rPr>
        <w:t xml:space="preserve"> [67]</w:t>
      </w:r>
      <w:r w:rsidRPr="00E37001">
        <w:rPr>
          <w:rFonts w:ascii="Times New Roman" w:hAnsi="Times New Roman" w:cs="Times New Roman"/>
          <w:sz w:val="28"/>
          <w:szCs w:val="28"/>
        </w:rPr>
        <w:t xml:space="preserve">. </w:t>
      </w:r>
    </w:p>
    <w:p w:rsidR="00307A06" w:rsidRPr="00E37001" w:rsidRDefault="00307A06" w:rsidP="00E37001">
      <w:pPr>
        <w:spacing w:line="360" w:lineRule="auto"/>
        <w:ind w:firstLine="567"/>
        <w:contextualSpacing/>
        <w:rPr>
          <w:rFonts w:ascii="Times New Roman" w:hAnsi="Times New Roman" w:cs="Times New Roman"/>
          <w:sz w:val="28"/>
          <w:szCs w:val="28"/>
        </w:rPr>
      </w:pPr>
    </w:p>
    <w:p w:rsidR="00A17EED" w:rsidRDefault="00A17EED" w:rsidP="00E37001">
      <w:pPr>
        <w:shd w:val="clear" w:color="auto" w:fill="FFFFFF"/>
        <w:spacing w:line="360" w:lineRule="auto"/>
        <w:ind w:firstLine="567"/>
        <w:contextualSpacing/>
        <w:jc w:val="center"/>
        <w:rPr>
          <w:rFonts w:ascii="Times New Roman" w:hAnsi="Times New Roman" w:cs="Times New Roman"/>
          <w:sz w:val="28"/>
          <w:szCs w:val="28"/>
        </w:rPr>
      </w:pPr>
    </w:p>
    <w:p w:rsidR="00B63CA8" w:rsidRDefault="00B63CA8" w:rsidP="00E37001">
      <w:pPr>
        <w:shd w:val="clear" w:color="auto" w:fill="FFFFFF"/>
        <w:spacing w:line="360" w:lineRule="auto"/>
        <w:ind w:firstLine="567"/>
        <w:contextualSpacing/>
        <w:jc w:val="center"/>
        <w:rPr>
          <w:rFonts w:ascii="Times New Roman" w:hAnsi="Times New Roman" w:cs="Times New Roman"/>
          <w:sz w:val="28"/>
          <w:szCs w:val="28"/>
        </w:rPr>
        <w:sectPr w:rsidR="00B63CA8" w:rsidSect="00E37001">
          <w:footerReference w:type="default" r:id="rId9"/>
          <w:type w:val="continuous"/>
          <w:pgSz w:w="11909" w:h="16834" w:code="9"/>
          <w:pgMar w:top="1134" w:right="850" w:bottom="1134" w:left="1701" w:header="720" w:footer="720" w:gutter="0"/>
          <w:cols w:space="60"/>
          <w:noEndnote/>
        </w:sectPr>
      </w:pPr>
    </w:p>
    <w:p w:rsidR="00406315" w:rsidRPr="00A17EED" w:rsidRDefault="00406315" w:rsidP="00406315">
      <w:pPr>
        <w:pStyle w:val="1"/>
        <w:spacing w:line="360" w:lineRule="auto"/>
        <w:ind w:firstLine="567"/>
        <w:jc w:val="center"/>
        <w:rPr>
          <w:rFonts w:ascii="Times New Roman" w:hAnsi="Times New Roman" w:cs="Times New Roman"/>
          <w:caps/>
          <w:color w:val="auto"/>
        </w:rPr>
      </w:pPr>
      <w:bookmarkStart w:id="7" w:name="_Toc293306705"/>
      <w:r w:rsidRPr="00A17EED">
        <w:rPr>
          <w:rFonts w:ascii="Times New Roman" w:hAnsi="Times New Roman" w:cs="Times New Roman"/>
          <w:caps/>
          <w:color w:val="auto"/>
        </w:rPr>
        <w:lastRenderedPageBreak/>
        <w:t>РОЗДІЛ ІІ</w:t>
      </w:r>
      <w:r>
        <w:rPr>
          <w:rFonts w:ascii="Times New Roman" w:hAnsi="Times New Roman" w:cs="Times New Roman"/>
          <w:caps/>
          <w:color w:val="auto"/>
        </w:rPr>
        <w:t>.</w:t>
      </w:r>
      <w:r w:rsidRPr="00A17EED">
        <w:rPr>
          <w:rFonts w:ascii="Times New Roman" w:hAnsi="Times New Roman" w:cs="Times New Roman"/>
          <w:caps/>
          <w:color w:val="auto"/>
        </w:rPr>
        <w:t xml:space="preserve"> АНАЛІЗ УПРАВЛІННЯ КРЕДИТНИМИ ОПЕРАЦІЯМИ КОМЕРЦІЙНОГО БАНКУ З ПІДПРИЄМСТВАМИ І УСТАНОВАМИ (НА ПРИКЛАДІ ПАТ "МІЖНАРОДНИЙ ІНВЕСТИЦІЙНИЙ БАНК")</w:t>
      </w:r>
      <w:bookmarkEnd w:id="7"/>
    </w:p>
    <w:p w:rsidR="00406315" w:rsidRPr="00A17EED" w:rsidRDefault="00406315" w:rsidP="00406315">
      <w:pPr>
        <w:pStyle w:val="2"/>
        <w:spacing w:line="360" w:lineRule="auto"/>
        <w:ind w:firstLine="567"/>
        <w:jc w:val="center"/>
        <w:rPr>
          <w:rFonts w:ascii="Times New Roman" w:hAnsi="Times New Roman" w:cs="Times New Roman"/>
          <w:color w:val="auto"/>
          <w:sz w:val="28"/>
          <w:szCs w:val="28"/>
        </w:rPr>
      </w:pPr>
      <w:bookmarkStart w:id="8" w:name="_Toc293306706"/>
      <w:r w:rsidRPr="00A17EED">
        <w:rPr>
          <w:rFonts w:ascii="Times New Roman" w:hAnsi="Times New Roman" w:cs="Times New Roman"/>
          <w:color w:val="auto"/>
          <w:sz w:val="28"/>
          <w:szCs w:val="28"/>
        </w:rPr>
        <w:t>2.1.Особливості банківського кредитування підприємств і установ</w:t>
      </w:r>
      <w:bookmarkEnd w:id="8"/>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Відкрите акціонерне товариство "МІБ" зареєстровано Національним </w:t>
      </w:r>
      <w:r w:rsidRPr="00B07B79">
        <w:rPr>
          <w:rFonts w:ascii="Times New Roman" w:hAnsi="Times New Roman" w:cs="Times New Roman"/>
          <w:spacing w:val="-1"/>
          <w:sz w:val="28"/>
          <w:szCs w:val="28"/>
        </w:rPr>
        <w:t xml:space="preserve">банком України 18 квітня 2008 року у формі акціонерного товариства відкритого </w:t>
      </w:r>
      <w:r w:rsidRPr="00B07B79">
        <w:rPr>
          <w:rFonts w:ascii="Times New Roman" w:hAnsi="Times New Roman" w:cs="Times New Roman"/>
          <w:sz w:val="28"/>
          <w:szCs w:val="28"/>
        </w:rPr>
        <w:t>типу. ПАТ "МІБ" - універсальний комерційний банк, що надає весь спектр банківських послуг європейського рівня і будує свою роботу за принципами індивідуального підходу до кожного клієнта, гнучкості й оперативності в прийнятті рішень. За результатами своєї діяльності ПАТ "МІБ" входить до групи найбільших банків України й до десятки банків-лідерів українського фінансового ринку.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Для надання банківських послуг ПАТ "МІБ" має всі необхідні ліцензії і дозволи, зокрема:</w:t>
      </w:r>
    </w:p>
    <w:p w:rsidR="00406315" w:rsidRPr="00B07B79" w:rsidRDefault="00406315" w:rsidP="00406315">
      <w:pPr>
        <w:widowControl w:val="0"/>
        <w:numPr>
          <w:ilvl w:val="0"/>
          <w:numId w:val="22"/>
        </w:numPr>
        <w:shd w:val="clear" w:color="auto" w:fill="FFFFFF"/>
        <w:tabs>
          <w:tab w:val="left" w:pos="79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Ліцензію Національного банку України від 18.04.08 р. і дозвіл</w:t>
      </w:r>
      <w:r w:rsidRPr="00B07B79">
        <w:rPr>
          <w:rFonts w:ascii="Times New Roman" w:hAnsi="Times New Roman" w:cs="Times New Roman"/>
          <w:spacing w:val="-1"/>
          <w:sz w:val="28"/>
          <w:szCs w:val="28"/>
        </w:rPr>
        <w:t xml:space="preserve"> на здійснення банківських операцій</w:t>
      </w:r>
      <w:r w:rsidRPr="00B07B79">
        <w:rPr>
          <w:rFonts w:ascii="Times New Roman" w:hAnsi="Times New Roman" w:cs="Times New Roman"/>
          <w:sz w:val="28"/>
          <w:szCs w:val="28"/>
        </w:rPr>
        <w:t>;</w:t>
      </w:r>
    </w:p>
    <w:p w:rsidR="00406315" w:rsidRPr="00B07B79" w:rsidRDefault="00406315" w:rsidP="00406315">
      <w:pPr>
        <w:widowControl w:val="0"/>
        <w:numPr>
          <w:ilvl w:val="0"/>
          <w:numId w:val="22"/>
        </w:numPr>
        <w:shd w:val="clear" w:color="auto" w:fill="FFFFFF"/>
        <w:tabs>
          <w:tab w:val="left" w:pos="79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Ліцензію Держкомісії з цінних паперів і фондового ринку (ДКЦПФР) № 909 від 30.10.2008 р. на здійснення професійної діяльності на ринку цінних паперів.</w:t>
      </w:r>
    </w:p>
    <w:p w:rsidR="00406315" w:rsidRPr="00B07B79" w:rsidRDefault="00406315" w:rsidP="00406315">
      <w:pPr>
        <w:widowControl w:val="0"/>
        <w:numPr>
          <w:ilvl w:val="0"/>
          <w:numId w:val="22"/>
        </w:numPr>
        <w:shd w:val="clear" w:color="auto" w:fill="FFFFFF"/>
        <w:tabs>
          <w:tab w:val="left" w:pos="79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Банківська ліцензія № 242 від 11 червня 2010 р..</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ПАТ "МІБ" пропонує клієнтам широкий спектр банківських продуктів, що поєднують у собі класичні фінансові послуги та сучасні технології, серед </w:t>
      </w:r>
      <w:r w:rsidRPr="00B07B79">
        <w:rPr>
          <w:rFonts w:ascii="Times New Roman" w:hAnsi="Times New Roman" w:cs="Times New Roman"/>
          <w:spacing w:val="-1"/>
          <w:sz w:val="28"/>
          <w:szCs w:val="28"/>
        </w:rPr>
        <w:t>яких найбільш прибутковими виступають кредитні операції.</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Ефективне управління кредитною діяльністю банку значною мірою пов'язане з розробкою та реалізацією ним відповідної кредитної політики (див. Додаток З).</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B63CA8">
          <w:pgSz w:w="11909" w:h="16834" w:code="9"/>
          <w:pgMar w:top="1134" w:right="850" w:bottom="1134" w:left="1701" w:header="720" w:footer="720" w:gutter="0"/>
          <w:cols w:space="60"/>
          <w:noEndnote/>
        </w:sectPr>
      </w:pPr>
    </w:p>
    <w:p w:rsidR="00406315" w:rsidRPr="005E1FD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 xml:space="preserve">Кредитна політика банку – механізм забезпечення єдності та захисту інтересів Банку, його акціонерів, вкладників і позичальників при проведенні </w:t>
      </w:r>
      <w:r w:rsidRPr="00B07B79">
        <w:rPr>
          <w:rFonts w:ascii="Times New Roman" w:hAnsi="Times New Roman" w:cs="Times New Roman"/>
          <w:sz w:val="28"/>
          <w:szCs w:val="28"/>
        </w:rPr>
        <w:lastRenderedPageBreak/>
        <w:t>кредитних операцій банком із врахуванням загальнодержавних інтересів.</w:t>
      </w:r>
      <w:r w:rsidRPr="005E1FD9">
        <w:rPr>
          <w:rFonts w:ascii="Times New Roman" w:hAnsi="Times New Roman" w:cs="Times New Roman"/>
          <w:sz w:val="28"/>
          <w:szCs w:val="28"/>
        </w:rPr>
        <w:t>[110]</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Кредитна політика спрямована на формування якісного та збалансованого кредитного портфелю Банку шляхом забезпечення оптимального співвідношення рівня ризику та дохідності від проведення кредитних операцій.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Головною метою кредитної політики банку є формування зваженого та якісного підходу до управління ризиком щодо кредитних операцій.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Основні задачі та принципи кредитної політики ПАТ "МІБ" наведені в таблиці 2.1.</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4"/>
          <w:sz w:val="28"/>
          <w:szCs w:val="28"/>
        </w:rPr>
        <w:t xml:space="preserve">Таблиця 2.1. </w:t>
      </w:r>
      <w:r w:rsidRPr="00B07B79">
        <w:rPr>
          <w:rFonts w:ascii="Times New Roman" w:hAnsi="Times New Roman" w:cs="Times New Roman"/>
          <w:spacing w:val="-2"/>
          <w:sz w:val="28"/>
          <w:szCs w:val="28"/>
        </w:rPr>
        <w:t>Основні задачі та принципи кредитної політики ПАТ "МІБ"</w:t>
      </w:r>
    </w:p>
    <w:tbl>
      <w:tblPr>
        <w:tblW w:w="0" w:type="auto"/>
        <w:tblInd w:w="40" w:type="dxa"/>
        <w:tblLayout w:type="fixed"/>
        <w:tblCellMar>
          <w:left w:w="40" w:type="dxa"/>
          <w:right w:w="40" w:type="dxa"/>
        </w:tblCellMar>
        <w:tblLook w:val="0000" w:firstRow="0" w:lastRow="0" w:firstColumn="0" w:lastColumn="0" w:noHBand="0" w:noVBand="0"/>
      </w:tblPr>
      <w:tblGrid>
        <w:gridCol w:w="5246"/>
        <w:gridCol w:w="4541"/>
      </w:tblGrid>
      <w:tr w:rsidR="00406315" w:rsidRPr="00B07B79" w:rsidTr="003E162B">
        <w:trPr>
          <w:trHeight w:hRule="exact" w:val="811"/>
        </w:trPr>
        <w:tc>
          <w:tcPr>
            <w:tcW w:w="524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9"/>
                <w:sz w:val="28"/>
                <w:szCs w:val="28"/>
              </w:rPr>
              <w:t>Основні задачі кредитної політики ПАТ "МІБ"</w:t>
            </w:r>
          </w:p>
        </w:tc>
        <w:tc>
          <w:tcPr>
            <w:tcW w:w="4541"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9"/>
                <w:sz w:val="28"/>
                <w:szCs w:val="28"/>
              </w:rPr>
              <w:t xml:space="preserve">Основні принципи кредитної політики ПАТ </w:t>
            </w:r>
            <w:r w:rsidRPr="00B07B79">
              <w:rPr>
                <w:rFonts w:ascii="Times New Roman" w:hAnsi="Times New Roman" w:cs="Times New Roman"/>
                <w:sz w:val="28"/>
                <w:szCs w:val="28"/>
              </w:rPr>
              <w:t>"МІБ"</w:t>
            </w:r>
          </w:p>
        </w:tc>
      </w:tr>
      <w:tr w:rsidR="00406315" w:rsidRPr="00B07B79" w:rsidTr="003E162B">
        <w:trPr>
          <w:trHeight w:hRule="exact" w:val="7810"/>
        </w:trPr>
        <w:tc>
          <w:tcPr>
            <w:tcW w:w="5246"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tabs>
                <w:tab w:val="left" w:pos="63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забезпечення максимального рівня дохідності кредитного портфелю та акціонерного капіталу банку при мінімальному рівні ризику;</w:t>
            </w:r>
          </w:p>
          <w:p w:rsidR="00406315" w:rsidRPr="00B07B79" w:rsidRDefault="00406315" w:rsidP="003E162B">
            <w:pPr>
              <w:shd w:val="clear" w:color="auto" w:fill="FFFFFF"/>
              <w:tabs>
                <w:tab w:val="left" w:pos="63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забезпечення зваженого та оптимального використання кредитних ресурсів;</w:t>
            </w:r>
          </w:p>
          <w:p w:rsidR="00406315" w:rsidRPr="00B07B79" w:rsidRDefault="00406315" w:rsidP="003E162B">
            <w:pPr>
              <w:shd w:val="clear" w:color="auto" w:fill="FFFFFF"/>
              <w:tabs>
                <w:tab w:val="left" w:pos="63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r>
            <w:r w:rsidRPr="00B07B79">
              <w:rPr>
                <w:rFonts w:ascii="Times New Roman" w:hAnsi="Times New Roman" w:cs="Times New Roman"/>
                <w:spacing w:val="-1"/>
                <w:sz w:val="28"/>
                <w:szCs w:val="28"/>
              </w:rPr>
              <w:t xml:space="preserve">досягнення оптимального балансу між </w:t>
            </w:r>
            <w:r w:rsidRPr="00B07B79">
              <w:rPr>
                <w:rFonts w:ascii="Times New Roman" w:hAnsi="Times New Roman" w:cs="Times New Roman"/>
                <w:sz w:val="28"/>
                <w:szCs w:val="28"/>
              </w:rPr>
              <w:t>ростом обсягу кредитного портфелю банку та темпами покращання його якості;</w:t>
            </w:r>
          </w:p>
          <w:p w:rsidR="00406315" w:rsidRPr="00B07B79" w:rsidRDefault="00406315" w:rsidP="003E162B">
            <w:pPr>
              <w:shd w:val="clear" w:color="auto" w:fill="FFFFFF"/>
              <w:tabs>
                <w:tab w:val="left" w:pos="63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виконання усіх вимог та нормативних показників НБУ, в тому числі регламентуючих максимальні суми кредитів;</w:t>
            </w:r>
          </w:p>
          <w:p w:rsidR="00406315" w:rsidRPr="00B07B79" w:rsidRDefault="00406315" w:rsidP="003E162B">
            <w:pPr>
              <w:shd w:val="clear" w:color="auto" w:fill="FFFFFF"/>
              <w:tabs>
                <w:tab w:val="left" w:pos="63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розширення клієнтської бази шляхом продажу високої якості банківських продуктів щодо кредитних операцій;</w:t>
            </w:r>
          </w:p>
          <w:p w:rsidR="00406315" w:rsidRPr="00B07B79" w:rsidRDefault="00406315" w:rsidP="003E162B">
            <w:pPr>
              <w:shd w:val="clear" w:color="auto" w:fill="FFFFFF"/>
              <w:tabs>
                <w:tab w:val="left" w:pos="63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збереження високого рівня довіри та поваги юридичних і фізичних осіб до банку шляхом своєчасного та повного виконання своїх зобов'язань перед вкладниками та акціонерами.</w:t>
            </w:r>
          </w:p>
        </w:tc>
        <w:tc>
          <w:tcPr>
            <w:tcW w:w="4541"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tabs>
                <w:tab w:val="left" w:pos="56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вкладення коштів у високоякісні активи з метою захисту інтересів вкладників та акціонерів банку;</w:t>
            </w:r>
          </w:p>
          <w:p w:rsidR="00406315" w:rsidRPr="00B07B79" w:rsidRDefault="00406315" w:rsidP="003E162B">
            <w:pPr>
              <w:shd w:val="clear" w:color="auto" w:fill="FFFFFF"/>
              <w:tabs>
                <w:tab w:val="left" w:pos="46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здійснення диверсифікації ризиків шляхом додержання прийнятного рівня концентрації кредитних вкладень на одного позичальника, на філію, тип кредитних операцій тощо;</w:t>
            </w:r>
          </w:p>
          <w:p w:rsidR="00406315" w:rsidRPr="00B07B79" w:rsidRDefault="00406315" w:rsidP="003E162B">
            <w:pPr>
              <w:shd w:val="clear" w:color="auto" w:fill="FFFFFF"/>
              <w:tabs>
                <w:tab w:val="left" w:pos="46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проведення всіх кредитних операцій відповідно до вимог діючого законодавства України, нормативних актів НБУ та відповідних внутрішніх положень банку.</w:t>
            </w:r>
          </w:p>
        </w:tc>
      </w:tr>
    </w:tbl>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У кредитній політиці ПАТ "МІБ" визначено, що банк може здійснювати наступні кредитні операції:</w:t>
      </w:r>
    </w:p>
    <w:p w:rsidR="00406315" w:rsidRPr="00B07B79" w:rsidRDefault="00406315" w:rsidP="00406315">
      <w:pPr>
        <w:widowControl w:val="0"/>
        <w:numPr>
          <w:ilvl w:val="0"/>
          <w:numId w:val="23"/>
        </w:numPr>
        <w:shd w:val="clear" w:color="auto" w:fill="FFFFFF"/>
        <w:tabs>
          <w:tab w:val="left" w:pos="883"/>
        </w:tabs>
        <w:autoSpaceDE w:val="0"/>
        <w:autoSpaceDN w:val="0"/>
        <w:adjustRightInd w:val="0"/>
        <w:spacing w:after="0" w:line="360" w:lineRule="auto"/>
        <w:ind w:firstLine="567"/>
        <w:contextualSpacing/>
        <w:jc w:val="both"/>
        <w:rPr>
          <w:rFonts w:ascii="Times New Roman" w:hAnsi="Times New Roman" w:cs="Times New Roman"/>
          <w:spacing w:val="-23"/>
          <w:sz w:val="28"/>
          <w:szCs w:val="28"/>
        </w:rPr>
      </w:pPr>
      <w:r w:rsidRPr="00B07B79">
        <w:rPr>
          <w:rFonts w:ascii="Times New Roman" w:hAnsi="Times New Roman" w:cs="Times New Roman"/>
          <w:sz w:val="28"/>
          <w:szCs w:val="28"/>
        </w:rPr>
        <w:t xml:space="preserve">банківський кредит (у тому числі кредитна лінія, овердрафт, бланковий кредит, міжбанківський кредит (у тому числі </w:t>
      </w:r>
      <w:proofErr w:type="spellStart"/>
      <w:r w:rsidRPr="00B07B79">
        <w:rPr>
          <w:rFonts w:ascii="Times New Roman" w:hAnsi="Times New Roman" w:cs="Times New Roman"/>
          <w:sz w:val="28"/>
          <w:szCs w:val="28"/>
        </w:rPr>
        <w:t>овернайт</w:t>
      </w:r>
      <w:proofErr w:type="spellEnd"/>
      <w:r w:rsidRPr="00B07B79">
        <w:rPr>
          <w:rFonts w:ascii="Times New Roman" w:hAnsi="Times New Roman" w:cs="Times New Roman"/>
          <w:sz w:val="28"/>
          <w:szCs w:val="28"/>
        </w:rPr>
        <w:t>), гарантійні та документарні операції (акредитиви), врахування та авалювання векселя, інвестиційне кредитування під інвестиційний проект, придбання зобов'язань уряду України, інших країн та емітентів, кредитування фізичних осіб);</w:t>
      </w:r>
    </w:p>
    <w:p w:rsidR="00406315" w:rsidRPr="00B07B79" w:rsidRDefault="00406315" w:rsidP="00406315">
      <w:pPr>
        <w:widowControl w:val="0"/>
        <w:numPr>
          <w:ilvl w:val="0"/>
          <w:numId w:val="23"/>
        </w:numPr>
        <w:shd w:val="clear" w:color="auto" w:fill="FFFFFF"/>
        <w:tabs>
          <w:tab w:val="left" w:pos="883"/>
        </w:tabs>
        <w:autoSpaceDE w:val="0"/>
        <w:autoSpaceDN w:val="0"/>
        <w:adjustRightInd w:val="0"/>
        <w:spacing w:after="0" w:line="360" w:lineRule="auto"/>
        <w:ind w:firstLine="567"/>
        <w:contextualSpacing/>
        <w:jc w:val="both"/>
        <w:rPr>
          <w:rFonts w:ascii="Times New Roman" w:hAnsi="Times New Roman" w:cs="Times New Roman"/>
          <w:spacing w:val="-8"/>
          <w:sz w:val="28"/>
          <w:szCs w:val="28"/>
        </w:rPr>
      </w:pPr>
      <w:r w:rsidRPr="00B07B79">
        <w:rPr>
          <w:rFonts w:ascii="Times New Roman" w:hAnsi="Times New Roman" w:cs="Times New Roman"/>
          <w:spacing w:val="-3"/>
          <w:sz w:val="28"/>
          <w:szCs w:val="28"/>
        </w:rPr>
        <w:t>факторинг;</w:t>
      </w:r>
    </w:p>
    <w:p w:rsidR="00406315" w:rsidRPr="00B07B79" w:rsidRDefault="00406315" w:rsidP="00406315">
      <w:pPr>
        <w:widowControl w:val="0"/>
        <w:numPr>
          <w:ilvl w:val="0"/>
          <w:numId w:val="23"/>
        </w:numPr>
        <w:shd w:val="clear" w:color="auto" w:fill="FFFFFF"/>
        <w:tabs>
          <w:tab w:val="left" w:pos="883"/>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z w:val="28"/>
          <w:szCs w:val="28"/>
        </w:rPr>
        <w:t>лізинговий кредит;</w:t>
      </w:r>
    </w:p>
    <w:p w:rsidR="00406315" w:rsidRPr="00B07B79" w:rsidRDefault="00406315" w:rsidP="00406315">
      <w:pPr>
        <w:widowControl w:val="0"/>
        <w:numPr>
          <w:ilvl w:val="0"/>
          <w:numId w:val="23"/>
        </w:numPr>
        <w:shd w:val="clear" w:color="auto" w:fill="FFFFFF"/>
        <w:tabs>
          <w:tab w:val="left" w:pos="883"/>
        </w:tabs>
        <w:autoSpaceDE w:val="0"/>
        <w:autoSpaceDN w:val="0"/>
        <w:adjustRightInd w:val="0"/>
        <w:spacing w:after="0" w:line="360" w:lineRule="auto"/>
        <w:ind w:firstLine="567"/>
        <w:contextualSpacing/>
        <w:jc w:val="both"/>
        <w:rPr>
          <w:rFonts w:ascii="Times New Roman" w:hAnsi="Times New Roman" w:cs="Times New Roman"/>
          <w:spacing w:val="-8"/>
          <w:sz w:val="28"/>
          <w:szCs w:val="28"/>
        </w:rPr>
      </w:pPr>
      <w:proofErr w:type="spellStart"/>
      <w:r w:rsidRPr="00B07B79">
        <w:rPr>
          <w:rFonts w:ascii="Times New Roman" w:hAnsi="Times New Roman" w:cs="Times New Roman"/>
          <w:sz w:val="28"/>
          <w:szCs w:val="28"/>
        </w:rPr>
        <w:t>консорціумний</w:t>
      </w:r>
      <w:proofErr w:type="spellEnd"/>
      <w:r w:rsidRPr="00B07B79">
        <w:rPr>
          <w:rFonts w:ascii="Times New Roman" w:hAnsi="Times New Roman" w:cs="Times New Roman"/>
          <w:sz w:val="28"/>
          <w:szCs w:val="28"/>
        </w:rPr>
        <w:t xml:space="preserve"> кредит.</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На даному етапі розвитку основними клієнтами банку є нижчезазначені позичальники за умови, що вони задовольняють установленим банком критеріям кредитоспроможності:</w:t>
      </w:r>
    </w:p>
    <w:p w:rsidR="00406315" w:rsidRPr="00B07B79" w:rsidRDefault="00406315" w:rsidP="00406315">
      <w:pPr>
        <w:widowControl w:val="0"/>
        <w:numPr>
          <w:ilvl w:val="0"/>
          <w:numId w:val="24"/>
        </w:numPr>
        <w:shd w:val="clear" w:color="auto" w:fill="FFFFFF"/>
        <w:tabs>
          <w:tab w:val="left" w:pos="71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дрібні підприємства;</w:t>
      </w:r>
    </w:p>
    <w:p w:rsidR="00406315" w:rsidRPr="00B07B79" w:rsidRDefault="00406315" w:rsidP="00406315">
      <w:pPr>
        <w:widowControl w:val="0"/>
        <w:numPr>
          <w:ilvl w:val="0"/>
          <w:numId w:val="24"/>
        </w:numPr>
        <w:shd w:val="clear" w:color="auto" w:fill="FFFFFF"/>
        <w:tabs>
          <w:tab w:val="left" w:pos="71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середні, приватні та державні підприємства;</w:t>
      </w:r>
    </w:p>
    <w:p w:rsidR="00406315" w:rsidRPr="00B07B79" w:rsidRDefault="00406315" w:rsidP="00406315">
      <w:pPr>
        <w:widowControl w:val="0"/>
        <w:numPr>
          <w:ilvl w:val="0"/>
          <w:numId w:val="24"/>
        </w:numPr>
        <w:shd w:val="clear" w:color="auto" w:fill="FFFFFF"/>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великі підприємства, у тому числі підприємства всеукраїнського масштабу;</w:t>
      </w:r>
    </w:p>
    <w:p w:rsidR="00406315" w:rsidRPr="00B07B79" w:rsidRDefault="00406315" w:rsidP="00406315">
      <w:pPr>
        <w:widowControl w:val="0"/>
        <w:numPr>
          <w:ilvl w:val="0"/>
          <w:numId w:val="24"/>
        </w:numPr>
        <w:shd w:val="clear" w:color="auto" w:fill="FFFFFF"/>
        <w:tabs>
          <w:tab w:val="left" w:pos="71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фізичні особи та підприємці без утворення юридичної особи;</w:t>
      </w:r>
    </w:p>
    <w:p w:rsidR="00406315" w:rsidRPr="00B07B79" w:rsidRDefault="00406315" w:rsidP="00406315">
      <w:pPr>
        <w:widowControl w:val="0"/>
        <w:numPr>
          <w:ilvl w:val="0"/>
          <w:numId w:val="24"/>
        </w:numPr>
        <w:shd w:val="clear" w:color="auto" w:fill="FFFFFF"/>
        <w:tabs>
          <w:tab w:val="left" w:pos="71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3"/>
          <w:sz w:val="28"/>
          <w:szCs w:val="28"/>
        </w:rPr>
        <w:t>інші банки.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ПАТ "МІБ" здійснює кредитні операції з позичальниками - юридичними особами різних галузей економіки, форм власності та організаційно-правових форм та фізичними особами.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кредитній політиці ПАТ "МІБ" також визначені певні види діяльності, фінансування яких банк не здійснює. Банк не надає кредити на:</w:t>
      </w:r>
    </w:p>
    <w:p w:rsidR="00406315" w:rsidRPr="00B07B79" w:rsidRDefault="00406315" w:rsidP="00406315">
      <w:pPr>
        <w:widowControl w:val="0"/>
        <w:numPr>
          <w:ilvl w:val="0"/>
          <w:numId w:val="24"/>
        </w:numPr>
        <w:shd w:val="clear" w:color="auto" w:fill="FFFFFF"/>
        <w:tabs>
          <w:tab w:val="left" w:pos="71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формування та збільшення статутних фондів банків;</w:t>
      </w:r>
    </w:p>
    <w:p w:rsidR="00406315" w:rsidRPr="00B07B79" w:rsidRDefault="00406315" w:rsidP="00406315">
      <w:pPr>
        <w:widowControl w:val="0"/>
        <w:numPr>
          <w:ilvl w:val="0"/>
          <w:numId w:val="24"/>
        </w:numPr>
        <w:shd w:val="clear" w:color="auto" w:fill="FFFFFF"/>
        <w:tabs>
          <w:tab w:val="left" w:pos="71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для придбання цінних паперів ПАТ"МІБ";</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для погашення будь-яких зобов'язань перед інсайдером банку, придбання їх активів, цінних паперів, розміщених чи підписаних інсайдерами банку, за винятком продукції, що виробляється цією особою;</w:t>
      </w:r>
    </w:p>
    <w:p w:rsidR="00406315" w:rsidRPr="00B07B79" w:rsidRDefault="00406315" w:rsidP="00406315">
      <w:pPr>
        <w:shd w:val="clear" w:color="auto" w:fill="FFFFFF"/>
        <w:tabs>
          <w:tab w:val="left" w:pos="710"/>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w:t>
      </w:r>
      <w:r w:rsidRPr="00B07B79">
        <w:rPr>
          <w:rFonts w:ascii="Times New Roman" w:hAnsi="Times New Roman" w:cs="Times New Roman"/>
          <w:sz w:val="28"/>
          <w:szCs w:val="28"/>
        </w:rPr>
        <w:tab/>
        <w:t>банк не здійснює фінансування виробництва товарів або діяльності, які можуть завдати шкоди здоров'ю людини, безпеці або оточуючому середовищу та відносяться до злочинів.</w:t>
      </w:r>
    </w:p>
    <w:p w:rsidR="00406315" w:rsidRPr="00B07B79" w:rsidRDefault="00406315" w:rsidP="00406315">
      <w:pPr>
        <w:shd w:val="clear" w:color="auto" w:fill="FFFFFF"/>
        <w:tabs>
          <w:tab w:val="left" w:pos="710"/>
        </w:tabs>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Основними джерелами формування кредитних ресурсів ПАТ "МІБ" є власні кошти банку, залишки коштів на поточних рахунках, залучені кошти юридичних та фізичних осіб (депозити до запитання/строкові), міжбанківські кредити та кошти, одержані від випуску цінних паперів і міжнародних фінансових організацій.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Основні напрямки кредитної діяльності ПАТ "МІБ" включають проектне та торгове фінансування, програма мікрокредитування, кредитування під інвестиційний проект, кредитування фізичних осіб, міжбанківське кредитування.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Проектне фінансування - фінансування засобів виробництва (купівлі обладнання тощо) та обігового капіталу, в якому джерелами погашення є грошові потоки (доходи), що генеруються при впровадженні проекту.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Торгове фінансування (кредитування поточної діяльності) - кредити, надані позичальникам на задоволення тимчасової потреби в коштах для придбання поточних активів у разі розриву між часом надходження засобів і здійсненням витрат.</w:t>
      </w:r>
    </w:p>
    <w:p w:rsidR="00406315" w:rsidRPr="005E1FD9"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 xml:space="preserve">Програма мікрокредитування - програма надання Банком кредитів для розвитку </w:t>
      </w:r>
      <w:proofErr w:type="spellStart"/>
      <w:r w:rsidRPr="00B07B79">
        <w:rPr>
          <w:rFonts w:ascii="Times New Roman" w:hAnsi="Times New Roman" w:cs="Times New Roman"/>
          <w:sz w:val="28"/>
          <w:szCs w:val="28"/>
        </w:rPr>
        <w:t>мікро</w:t>
      </w:r>
      <w:proofErr w:type="spellEnd"/>
      <w:r w:rsidRPr="00B07B79">
        <w:rPr>
          <w:rFonts w:ascii="Times New Roman" w:hAnsi="Times New Roman" w:cs="Times New Roman"/>
          <w:sz w:val="28"/>
          <w:szCs w:val="28"/>
        </w:rPr>
        <w:t>, малого та середнього бізнесу за рахунок коштів, наданих Банку по кредитним лініям Європейського Банку Реконструкції та Розвитку (ЄБРР) та Німецько-Українського Фонду (НУФ).</w:t>
      </w:r>
      <w:r w:rsidRPr="005E1FD9">
        <w:rPr>
          <w:rFonts w:ascii="Times New Roman" w:hAnsi="Times New Roman" w:cs="Times New Roman"/>
          <w:sz w:val="28"/>
          <w:szCs w:val="28"/>
          <w:lang w:val="ru-RU"/>
        </w:rPr>
        <w:t>[111]</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Кредитування під інвестиційний проект (інвестиційний кредит) </w:t>
      </w:r>
      <w:proofErr w:type="spellStart"/>
      <w:r w:rsidRPr="00B07B79">
        <w:rPr>
          <w:rFonts w:ascii="Times New Roman" w:hAnsi="Times New Roman" w:cs="Times New Roman"/>
          <w:sz w:val="28"/>
          <w:szCs w:val="28"/>
        </w:rPr>
        <w:t>-довгострокове</w:t>
      </w:r>
      <w:proofErr w:type="spellEnd"/>
      <w:r w:rsidRPr="00B07B79">
        <w:rPr>
          <w:rFonts w:ascii="Times New Roman" w:hAnsi="Times New Roman" w:cs="Times New Roman"/>
          <w:sz w:val="28"/>
          <w:szCs w:val="28"/>
        </w:rPr>
        <w:t xml:space="preserve"> кредитування інвестиційних проектів під майбутні доходи (що має одержати створюване/реорганізоване підприємство та за рахунок яких забезпечуватиметься повернення кредиту).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Кредитування фізичних осіб - надання кредитів фізичним особам на придбання товарів народного споживання, нерухомого та рухомого майна та інших нагальних потреб споживчого характеру.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Міжбанківське кредитування - кредитування банків-резидентів і банків-нерезидентів України на строки від одного дня до одного року. Це кредитування здійснюється у формі бланкових кредитів.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Кредитні відносини між ПАТ "МІБ" і позичальником здійснюються на підставі кредитного договору, що укладається між банком та позичальником у письмовій формі. За кредитним договором Банк зобов'язується надати грошові кошти (кредит) позичальникові у розмірі та на умовах, встановлених договором, а позичальник зобов'язується повернути кредит та сплатити проценти. Строк дії кредитного договору визначається від дати підписання (або дати, вказаної в договорі) до повного виконання позичальником своїх зобов'язань за кредитним договором.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 кредитному договорі передбачаються мета, сума і строк кредиту, умови і порядок його видачі та погашення, види забезпечення зобов'язань позичальника, відсоткові ставки, порядок плати за кредит, обов'язки, права і відповідальність сторін щодо видачі та погашення кредиту.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Умови кредитного договору ПАТ "МІБ" відображають такі основні принципи: цільове використання, строковість та платність, забезпечення зобов'язань позичальника.</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Цільове використання передбачає використання позичальником кредитних коштів на конкретні цілі, передбачені кредитним договором.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Принцип строковості та платності означає, що кредит має бути повернений </w:t>
      </w:r>
      <w:r w:rsidRPr="00B07B79">
        <w:rPr>
          <w:rFonts w:ascii="Times New Roman" w:hAnsi="Times New Roman" w:cs="Times New Roman"/>
          <w:sz w:val="28"/>
          <w:szCs w:val="28"/>
        </w:rPr>
        <w:t>банку у визначений у кредитному договорі строк з відповідною платою за його користування.</w:t>
      </w:r>
    </w:p>
    <w:p w:rsidR="00406315" w:rsidRPr="005E1FD9"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Принцип забезпечення зобов'язань позичальника означає наявність у банка права для захисту своїх інтересів, недопущення збитків від неповернення боргу за кредитним договором у зв'язку з неплатоспроможністю або небажанням позичальника.</w:t>
      </w:r>
      <w:r w:rsidRPr="005E1FD9">
        <w:rPr>
          <w:rFonts w:ascii="Times New Roman" w:hAnsi="Times New Roman" w:cs="Times New Roman"/>
          <w:sz w:val="28"/>
          <w:szCs w:val="28"/>
          <w:lang w:val="ru-RU"/>
        </w:rPr>
        <w:t>[112]</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Рішення щодо проведення кредитних операцій приймаються, як правило, колегіально Кредитними комісіями Головного Банку, Центральної </w:t>
      </w:r>
      <w:r w:rsidRPr="00B07B79">
        <w:rPr>
          <w:rFonts w:ascii="Times New Roman" w:hAnsi="Times New Roman" w:cs="Times New Roman"/>
          <w:sz w:val="28"/>
          <w:szCs w:val="28"/>
        </w:rPr>
        <w:lastRenderedPageBreak/>
        <w:t xml:space="preserve">дирекції, філій, відділень за напрямками діяльності в межах лімітів повноважень або Кредитним комітетом. </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Рішення щодо надання кредитів позичальникам приймається більшістю голосів і оформлюється відповідним протоколом.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bCs/>
          <w:spacing w:val="-17"/>
          <w:sz w:val="28"/>
          <w:szCs w:val="28"/>
        </w:r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 метою своєчасного повернення боргу та виявлення можливих проблем з його поверненням, Банк "МІБ" додержується процедури моніторингу проведених кредитних операцій.</w:t>
      </w:r>
    </w:p>
    <w:p w:rsidR="00406315" w:rsidRPr="00B07B79" w:rsidRDefault="00406315" w:rsidP="00406315">
      <w:pPr>
        <w:shd w:val="clear" w:color="auto" w:fill="FFFFFF"/>
        <w:tabs>
          <w:tab w:val="left" w:pos="749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Для покриття можливих втрат (збитків), що можуть виникнути в результаті проведення банком кредитної діяльності, </w:t>
      </w:r>
      <w:r w:rsidRPr="00B07B79">
        <w:rPr>
          <w:rFonts w:ascii="Times New Roman" w:hAnsi="Times New Roman" w:cs="Times New Roman"/>
          <w:spacing w:val="-2"/>
          <w:sz w:val="28"/>
          <w:szCs w:val="28"/>
        </w:rPr>
        <w:t>Банк формує та</w:t>
      </w:r>
      <w:r w:rsidRPr="00B07B79">
        <w:rPr>
          <w:rFonts w:ascii="Times New Roman" w:hAnsi="Times New Roman" w:cs="Times New Roman"/>
          <w:sz w:val="28"/>
          <w:szCs w:val="28"/>
        </w:rPr>
        <w:t xml:space="preserve"> використовує резерви для відшкодування можливих втрат за кредитними операціями, а також для зниження кредитного ризику та уникнення втрат за кредитними операціями банк додержується встановлених НБУ лімітів щодо кредитних операцій.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Важливими принципами здійснення кредитних операцій в банку є наступні:</w:t>
      </w:r>
    </w:p>
    <w:p w:rsidR="00406315" w:rsidRPr="00B07B79" w:rsidRDefault="00406315" w:rsidP="00406315">
      <w:pPr>
        <w:widowControl w:val="0"/>
        <w:numPr>
          <w:ilvl w:val="0"/>
          <w:numId w:val="25"/>
        </w:numPr>
        <w:shd w:val="clear" w:color="auto" w:fill="FFFFFF"/>
        <w:tabs>
          <w:tab w:val="left" w:pos="893"/>
        </w:tabs>
        <w:autoSpaceDE w:val="0"/>
        <w:autoSpaceDN w:val="0"/>
        <w:adjustRightInd w:val="0"/>
        <w:spacing w:after="0" w:line="360" w:lineRule="auto"/>
        <w:ind w:firstLine="567"/>
        <w:contextualSpacing/>
        <w:jc w:val="both"/>
        <w:rPr>
          <w:rFonts w:ascii="Times New Roman" w:hAnsi="Times New Roman" w:cs="Times New Roman"/>
          <w:spacing w:val="-18"/>
          <w:sz w:val="28"/>
          <w:szCs w:val="28"/>
        </w:rPr>
      </w:pPr>
      <w:r w:rsidRPr="00B07B79">
        <w:rPr>
          <w:rFonts w:ascii="Times New Roman" w:hAnsi="Times New Roman" w:cs="Times New Roman"/>
          <w:sz w:val="28"/>
          <w:szCs w:val="28"/>
        </w:rPr>
        <w:t>жоден із виданих кредитів не може перевищувати 25 відсотків капіталу банку (за винятком ситуацій, що передбачені нормативними актами НБУ);</w:t>
      </w:r>
    </w:p>
    <w:p w:rsidR="00406315" w:rsidRPr="00B07B79" w:rsidRDefault="00406315" w:rsidP="00406315">
      <w:pPr>
        <w:widowControl w:val="0"/>
        <w:numPr>
          <w:ilvl w:val="0"/>
          <w:numId w:val="25"/>
        </w:numPr>
        <w:shd w:val="clear" w:color="auto" w:fill="FFFFFF"/>
        <w:tabs>
          <w:tab w:val="left" w:pos="893"/>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B07B79">
        <w:rPr>
          <w:rFonts w:ascii="Times New Roman" w:hAnsi="Times New Roman" w:cs="Times New Roman"/>
          <w:sz w:val="28"/>
          <w:szCs w:val="28"/>
        </w:rPr>
        <w:t>загальний обсяг наданих кредитів не може перевищувати восьмикратного розміру власних коштів (капіталу) банку.</w:t>
      </w:r>
    </w:p>
    <w:p w:rsidR="00406315" w:rsidRPr="005E1FD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Для ефективного управління кредитною діяльністю ПАТ "МІБ" постійно удосконалює методологічну базу щодо кредитних операцій та формує і аналізує необхідну для управління кредитним портфелем інформацію, використовуючи систему фінансового планування діяльності банку щодо кредитних операцій, що є одним з дійсних засобів досягнення достатнього рівня прибутковості з одночасним збереженням відповідної якості кредитного портфелю.</w:t>
      </w:r>
      <w:r w:rsidRPr="005E1FD9">
        <w:rPr>
          <w:rFonts w:ascii="Times New Roman" w:hAnsi="Times New Roman" w:cs="Times New Roman"/>
          <w:sz w:val="28"/>
          <w:szCs w:val="28"/>
        </w:rPr>
        <w:t>[113]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Основним елементом управління кредитною діяльністю комерційного банку є розробка системи стратегічних цілей, котра повинна включати: </w:t>
      </w:r>
      <w:r w:rsidRPr="00B07B79">
        <w:rPr>
          <w:rFonts w:ascii="Times New Roman" w:hAnsi="Times New Roman" w:cs="Times New Roman"/>
          <w:sz w:val="28"/>
          <w:szCs w:val="28"/>
        </w:rPr>
        <w:lastRenderedPageBreak/>
        <w:t>забезпечення максимального рівня дохідності кредитного портфеля та акціонерного капіталу банку при мінімальному рівні ризику; підтримання оптимального рівня співвідношення між кредитами, депозитами та іншими зобов'язаннями і власним капіталом комерційного банку; забезпечення фінансової стійкості банку в процесі здійснення кредитної діяльності банку;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 xml:space="preserve">забезпечення зваженого і оптимального використання кредитних ресурсів. </w:t>
      </w:r>
      <w:r w:rsidRPr="00B07B79">
        <w:rPr>
          <w:rFonts w:ascii="Times New Roman" w:hAnsi="Times New Roman" w:cs="Times New Roman"/>
          <w:spacing w:val="-1"/>
          <w:sz w:val="28"/>
          <w:szCs w:val="28"/>
        </w:rPr>
        <w:t xml:space="preserve">досягнення оптимального балансу між зростанням обсягу кредитного портфеля </w:t>
      </w:r>
      <w:r w:rsidRPr="00B07B79">
        <w:rPr>
          <w:rFonts w:ascii="Times New Roman" w:hAnsi="Times New Roman" w:cs="Times New Roman"/>
          <w:sz w:val="28"/>
          <w:szCs w:val="28"/>
        </w:rPr>
        <w:t>і темпами поліпшення його якості; розширення клієнтської бази шляхом надання кредитних послуг високої якості.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 метою мінімізації кредитного ризику при визначенні можливості кредитування, ПАТ "МІБ" особливу увагу приділяє оцінці кредитоспроможності клієнта-позичальника - наявності у позичальника передумов для отримання кредиту та здатності повернути кредит і відсотки за кредитом у повному обсязі та в обумовлені договором строки.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Оцінка кредитоспроможності клієнта здійснюється як засіб захисту від кредитного ризику, проводиться на підставі якісних та кількісних показників, які визначені нормами Положення про проведення оцінки фінансового стану позичальника в ПАТ "МІБ".</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процесі управління кредитними операціями та з метою зменшення ризику неповернення кредиту та процентів, банк здійснює надання кредитів позичальникам за наявності відповідного забезпечення, а саме:</w:t>
      </w:r>
    </w:p>
    <w:p w:rsidR="00406315" w:rsidRPr="00B07B79" w:rsidRDefault="00406315" w:rsidP="00406315">
      <w:pPr>
        <w:widowControl w:val="0"/>
        <w:numPr>
          <w:ilvl w:val="0"/>
          <w:numId w:val="26"/>
        </w:numPr>
        <w:shd w:val="clear" w:color="auto" w:fill="FFFFFF"/>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застави (рухомого та нерухомого майна, цінних паперів, застави майнових прав на вклади (депозити), застави майнових прав за договорами);</w:t>
      </w:r>
    </w:p>
    <w:p w:rsidR="00406315" w:rsidRPr="00B07B79" w:rsidRDefault="00406315" w:rsidP="00406315">
      <w:pPr>
        <w:widowControl w:val="0"/>
        <w:numPr>
          <w:ilvl w:val="0"/>
          <w:numId w:val="26"/>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гарантії (юридичних осіб);</w:t>
      </w:r>
    </w:p>
    <w:p w:rsidR="00406315" w:rsidRPr="00B07B79" w:rsidRDefault="00406315" w:rsidP="00406315">
      <w:pPr>
        <w:widowControl w:val="0"/>
        <w:numPr>
          <w:ilvl w:val="0"/>
          <w:numId w:val="26"/>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поручительства (юридичних і фізичних осіб);</w:t>
      </w:r>
    </w:p>
    <w:p w:rsidR="00406315" w:rsidRPr="00B07B79" w:rsidRDefault="00406315" w:rsidP="00406315">
      <w:pPr>
        <w:widowControl w:val="0"/>
        <w:numPr>
          <w:ilvl w:val="0"/>
          <w:numId w:val="26"/>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страхування фінансового ризику неповернення кредиту.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За користування кредитом позичальник сплачує банку проценти, а також здійснює інші платежі згідно з тарифами банку, що розробляються Комітетом з управління активами та пасивами (надалі КУАП) ПАТ "МІБ". При цьому, відповідно до Закону України "Про банки і банківську </w:t>
      </w:r>
      <w:r w:rsidRPr="00B07B79">
        <w:rPr>
          <w:rFonts w:ascii="Times New Roman" w:hAnsi="Times New Roman" w:cs="Times New Roman"/>
          <w:sz w:val="28"/>
          <w:szCs w:val="28"/>
        </w:rPr>
        <w:lastRenderedPageBreak/>
        <w:t>діяльність" Банк економічно самостійний і незалежний від виконавчих органів державної влади в питаннях прийняття рішень щодо встановлення рівнів процентних ставок за кредитами. Головним критерієм при прийнятті таких рішень є співвідношення попиту й пропозиції на кредитні ресурси. КУАП визнає граничні розміри (мінімальні) процентних ставок за кредитними операціями,</w:t>
      </w:r>
      <w:r w:rsidRPr="00B07B79">
        <w:rPr>
          <w:rFonts w:ascii="Times New Roman" w:hAnsi="Times New Roman" w:cs="Times New Roman"/>
          <w:bCs/>
          <w:spacing w:val="-12"/>
          <w:sz w:val="28"/>
          <w:szCs w:val="28"/>
        </w:rPr>
        <w:t xml:space="preserve"> </w:t>
      </w:r>
      <w:r w:rsidRPr="00B07B79">
        <w:rPr>
          <w:rFonts w:ascii="Times New Roman" w:hAnsi="Times New Roman" w:cs="Times New Roman"/>
          <w:sz w:val="28"/>
          <w:szCs w:val="28"/>
        </w:rPr>
        <w:t>нижче за які проведення кредитних операції неможливе, керуючись такими критеріями:</w:t>
      </w:r>
    </w:p>
    <w:p w:rsidR="00406315" w:rsidRPr="00B07B79" w:rsidRDefault="00406315" w:rsidP="00406315">
      <w:pPr>
        <w:widowControl w:val="0"/>
        <w:numPr>
          <w:ilvl w:val="0"/>
          <w:numId w:val="27"/>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21"/>
          <w:sz w:val="28"/>
          <w:szCs w:val="28"/>
        </w:rPr>
      </w:pPr>
      <w:r w:rsidRPr="00B07B79">
        <w:rPr>
          <w:rFonts w:ascii="Times New Roman" w:hAnsi="Times New Roman" w:cs="Times New Roman"/>
          <w:spacing w:val="-1"/>
          <w:sz w:val="28"/>
          <w:szCs w:val="28"/>
        </w:rPr>
        <w:t>вартістю ресурсів банку;</w:t>
      </w:r>
    </w:p>
    <w:p w:rsidR="00406315" w:rsidRPr="00B07B79" w:rsidRDefault="00406315" w:rsidP="00406315">
      <w:pPr>
        <w:widowControl w:val="0"/>
        <w:numPr>
          <w:ilvl w:val="0"/>
          <w:numId w:val="27"/>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z w:val="28"/>
          <w:szCs w:val="28"/>
        </w:rPr>
        <w:t>рівнем процентних ставок за кредитами на фінансовому ринку України;</w:t>
      </w:r>
    </w:p>
    <w:p w:rsidR="00406315" w:rsidRPr="00B07B79" w:rsidRDefault="00406315" w:rsidP="00406315">
      <w:pPr>
        <w:widowControl w:val="0"/>
        <w:numPr>
          <w:ilvl w:val="0"/>
          <w:numId w:val="27"/>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6"/>
          <w:sz w:val="28"/>
          <w:szCs w:val="28"/>
        </w:rPr>
      </w:pPr>
      <w:r w:rsidRPr="00B07B79">
        <w:rPr>
          <w:rFonts w:ascii="Times New Roman" w:hAnsi="Times New Roman" w:cs="Times New Roman"/>
          <w:sz w:val="28"/>
          <w:szCs w:val="28"/>
        </w:rPr>
        <w:t>рівнем ризику кредитних операцій;</w:t>
      </w:r>
    </w:p>
    <w:p w:rsidR="00406315" w:rsidRPr="00B07B79" w:rsidRDefault="00406315" w:rsidP="00406315">
      <w:pPr>
        <w:widowControl w:val="0"/>
        <w:numPr>
          <w:ilvl w:val="0"/>
          <w:numId w:val="27"/>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8"/>
          <w:sz w:val="28"/>
          <w:szCs w:val="28"/>
        </w:rPr>
      </w:pPr>
      <w:r w:rsidRPr="00B07B79">
        <w:rPr>
          <w:rFonts w:ascii="Times New Roman" w:hAnsi="Times New Roman" w:cs="Times New Roman"/>
          <w:sz w:val="28"/>
          <w:szCs w:val="28"/>
        </w:rPr>
        <w:t>операційними та управлінськими витратами за кредитними операціями;</w:t>
      </w:r>
    </w:p>
    <w:p w:rsidR="00406315" w:rsidRPr="00B07B79" w:rsidRDefault="00406315" w:rsidP="00406315">
      <w:pPr>
        <w:widowControl w:val="0"/>
        <w:numPr>
          <w:ilvl w:val="0"/>
          <w:numId w:val="27"/>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13"/>
          <w:sz w:val="28"/>
          <w:szCs w:val="28"/>
        </w:rPr>
      </w:pPr>
      <w:r w:rsidRPr="00B07B79">
        <w:rPr>
          <w:rFonts w:ascii="Times New Roman" w:hAnsi="Times New Roman" w:cs="Times New Roman"/>
          <w:sz w:val="28"/>
          <w:szCs w:val="28"/>
        </w:rPr>
        <w:t>витратами на формування резервів;</w:t>
      </w:r>
    </w:p>
    <w:p w:rsidR="00406315" w:rsidRPr="00B07B79" w:rsidRDefault="00406315" w:rsidP="00406315">
      <w:pPr>
        <w:widowControl w:val="0"/>
        <w:numPr>
          <w:ilvl w:val="0"/>
          <w:numId w:val="27"/>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z w:val="28"/>
          <w:szCs w:val="28"/>
        </w:rPr>
        <w:t>мінімальною маржею прибутку банку;</w:t>
      </w:r>
    </w:p>
    <w:p w:rsidR="00406315" w:rsidRPr="00B07B79" w:rsidRDefault="00406315" w:rsidP="00406315">
      <w:pPr>
        <w:widowControl w:val="0"/>
        <w:numPr>
          <w:ilvl w:val="0"/>
          <w:numId w:val="28"/>
        </w:numPr>
        <w:shd w:val="clear" w:color="auto" w:fill="FFFFFF"/>
        <w:tabs>
          <w:tab w:val="left" w:pos="869"/>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B07B79">
        <w:rPr>
          <w:rFonts w:ascii="Times New Roman" w:hAnsi="Times New Roman" w:cs="Times New Roman"/>
          <w:sz w:val="28"/>
          <w:szCs w:val="28"/>
        </w:rPr>
        <w:t>перевагами, які надаються банком окремим сегментам, супутнім продуктам чи клієнтам тощо.</w:t>
      </w:r>
    </w:p>
    <w:p w:rsidR="00406315" w:rsidRPr="005E1FD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ПАТ "МІБ" постійно удосконалює систему управління ризиками. Стратегія банку щодо управління ризиками модифікується та уточнюється відповідно до змін банківських продуктів та ринкової </w:t>
      </w:r>
      <w:proofErr w:type="spellStart"/>
      <w:r w:rsidRPr="00B07B79">
        <w:rPr>
          <w:rFonts w:ascii="Times New Roman" w:hAnsi="Times New Roman" w:cs="Times New Roman"/>
          <w:sz w:val="28"/>
          <w:szCs w:val="28"/>
        </w:rPr>
        <w:t>кон'юктури</w:t>
      </w:r>
      <w:proofErr w:type="spellEnd"/>
      <w:r w:rsidRPr="00B07B79">
        <w:rPr>
          <w:rFonts w:ascii="Times New Roman" w:hAnsi="Times New Roman" w:cs="Times New Roman"/>
          <w:sz w:val="28"/>
          <w:szCs w:val="28"/>
        </w:rPr>
        <w:t>.</w:t>
      </w:r>
      <w:r w:rsidRPr="005E1FD9">
        <w:rPr>
          <w:rFonts w:ascii="Times New Roman" w:hAnsi="Times New Roman" w:cs="Times New Roman"/>
          <w:sz w:val="28"/>
          <w:szCs w:val="28"/>
        </w:rPr>
        <w:t>[114]</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Управління кредитними ризиками в ПАТ "МІБ" здійснюється шляхом формування, моніторингу та перегляду кредитних рейтингів клієнтів, професійної оцінки та супроводження заставного майна, формування та моніторингу обмежень кредитування, постійного моніторингу кредитоспроможності клієнтів та формування резервів під кредитні ризики згідно внутрішніх положень. Внутрішні положення банку спрямовані на оцінку індивідуального та портфельного кредитного ризику, адекватного врахування концентрацій кредитного ризику і пов'язаних із ним потенційних ризиків. Резерви під кредитні ризики формуються відповідно до вимог Національного банку України.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Отже, кредитна політика комерційного банку "МІБ" спрямована на формування якісного та збалансованого кредитного портфелю банку шляхом забезпечення оптимального співвідношення рівня ризику та дохідності від проведення кредитних операцій.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pStyle w:val="2"/>
        <w:jc w:val="center"/>
        <w:rPr>
          <w:rFonts w:ascii="Times New Roman" w:hAnsi="Times New Roman" w:cs="Times New Roman"/>
          <w:b w:val="0"/>
          <w:color w:val="auto"/>
          <w:sz w:val="28"/>
          <w:szCs w:val="28"/>
        </w:rPr>
      </w:pPr>
      <w:bookmarkStart w:id="9" w:name="_Toc293306707"/>
      <w:r w:rsidRPr="00B07B79">
        <w:rPr>
          <w:rFonts w:ascii="Times New Roman" w:hAnsi="Times New Roman" w:cs="Times New Roman"/>
          <w:color w:val="auto"/>
          <w:spacing w:val="-8"/>
          <w:sz w:val="28"/>
          <w:szCs w:val="28"/>
        </w:rPr>
        <w:lastRenderedPageBreak/>
        <w:t>2.2. Основні показники діяльності та структура кредитного</w:t>
      </w:r>
      <w:r>
        <w:rPr>
          <w:rFonts w:ascii="Times New Roman" w:hAnsi="Times New Roman" w:cs="Times New Roman"/>
          <w:color w:val="auto"/>
          <w:spacing w:val="-8"/>
          <w:sz w:val="28"/>
          <w:szCs w:val="28"/>
        </w:rPr>
        <w:t xml:space="preserve"> </w:t>
      </w:r>
      <w:r w:rsidRPr="00B07B79">
        <w:rPr>
          <w:rFonts w:ascii="Times New Roman" w:hAnsi="Times New Roman" w:cs="Times New Roman"/>
          <w:color w:val="auto"/>
          <w:spacing w:val="-10"/>
          <w:sz w:val="28"/>
          <w:szCs w:val="28"/>
        </w:rPr>
        <w:t>портфелю банку</w:t>
      </w:r>
      <w:bookmarkEnd w:id="9"/>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Економічна ситуація в Україні в 2010 році характеризувалася відносною </w:t>
      </w:r>
      <w:r w:rsidRPr="00B07B79">
        <w:rPr>
          <w:rFonts w:ascii="Times New Roman" w:hAnsi="Times New Roman" w:cs="Times New Roman"/>
          <w:sz w:val="28"/>
          <w:szCs w:val="28"/>
        </w:rPr>
        <w:t>стабільністю фінансового ринку та подальшим зростанням основних макроекономічних показників.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Упродовж 2010 року відбулося зростання:</w:t>
      </w:r>
    </w:p>
    <w:p w:rsidR="00406315" w:rsidRPr="00B07B79" w:rsidRDefault="00406315" w:rsidP="00406315">
      <w:pPr>
        <w:widowControl w:val="0"/>
        <w:numPr>
          <w:ilvl w:val="0"/>
          <w:numId w:val="29"/>
        </w:numPr>
        <w:shd w:val="clear" w:color="auto" w:fill="FFFFFF"/>
        <w:tabs>
          <w:tab w:val="left" w:pos="112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 обсягу ВВП на 4,1% (за аналогічний період 2009 року – падіння на 5,1%);</w:t>
      </w:r>
    </w:p>
    <w:p w:rsidR="00406315" w:rsidRPr="00B07B79" w:rsidRDefault="00406315" w:rsidP="00406315">
      <w:pPr>
        <w:widowControl w:val="0"/>
        <w:numPr>
          <w:ilvl w:val="0"/>
          <w:numId w:val="29"/>
        </w:numPr>
        <w:shd w:val="clear" w:color="auto" w:fill="FFFFFF"/>
        <w:tabs>
          <w:tab w:val="left" w:pos="112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 обсягу промислового виробництва - на 11% (за 2009 р. – падіння на 21,9%);</w:t>
      </w:r>
    </w:p>
    <w:p w:rsidR="00406315" w:rsidRPr="00B07B79" w:rsidRDefault="00406315" w:rsidP="00406315">
      <w:pPr>
        <w:widowControl w:val="0"/>
        <w:numPr>
          <w:ilvl w:val="0"/>
          <w:numId w:val="29"/>
        </w:numPr>
        <w:shd w:val="clear" w:color="auto" w:fill="FFFFFF"/>
        <w:tabs>
          <w:tab w:val="left" w:pos="112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 обсягу реальних доходів населення - на 10,2% (за 2009 р. – падіння на 8,5%).</w:t>
      </w:r>
    </w:p>
    <w:p w:rsidR="00406315" w:rsidRPr="00B07B79" w:rsidRDefault="00406315" w:rsidP="00406315">
      <w:pPr>
        <w:shd w:val="clear" w:color="auto" w:fill="FFFFFF"/>
        <w:tabs>
          <w:tab w:val="left" w:pos="1123"/>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Зростання макроекономічних показників відбувалося на фоні збільшення</w:t>
      </w:r>
      <w:r w:rsidRPr="005E1FD9">
        <w:rPr>
          <w:rFonts w:ascii="Times New Roman" w:hAnsi="Times New Roman" w:cs="Times New Roman"/>
          <w:sz w:val="28"/>
          <w:szCs w:val="28"/>
          <w:lang w:val="ru-RU"/>
        </w:rPr>
        <w:t xml:space="preserve"> </w:t>
      </w:r>
      <w:r w:rsidRPr="00B07B79">
        <w:rPr>
          <w:rFonts w:ascii="Times New Roman" w:hAnsi="Times New Roman" w:cs="Times New Roman"/>
          <w:spacing w:val="-2"/>
          <w:sz w:val="28"/>
          <w:szCs w:val="28"/>
        </w:rPr>
        <w:t>темпів інфляції, скорочення заборгованості за заробітною платою.</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Разом з тим, в економіці країни не сталося суттєвих структурних перетворень. У результаті збереглася залежність вітчизняної економіки від внутрішніх політичних та зовнішніх факторів.</w:t>
      </w:r>
      <w:r w:rsidRPr="00333D50">
        <w:rPr>
          <w:rFonts w:ascii="Times New Roman" w:hAnsi="Times New Roman" w:cs="Times New Roman"/>
          <w:sz w:val="28"/>
          <w:szCs w:val="28"/>
        </w:rPr>
        <w:t>[115]</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 xml:space="preserve">Незважаючи на це, наявні позитивні тенденції сприяли подальшому </w:t>
      </w:r>
      <w:r w:rsidRPr="00B07B79">
        <w:rPr>
          <w:rFonts w:ascii="Times New Roman" w:hAnsi="Times New Roman" w:cs="Times New Roman"/>
          <w:sz w:val="28"/>
          <w:szCs w:val="28"/>
        </w:rPr>
        <w:t>розвитку фінансового сектору та банківської системи. В цілому за 2010 рік порівняно з 2009 роком: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pacing w:val="-21"/>
          <w:sz w:val="28"/>
          <w:szCs w:val="28"/>
        </w:rPr>
      </w:pPr>
      <w:r w:rsidRPr="00B07B79">
        <w:rPr>
          <w:rFonts w:ascii="Times New Roman" w:hAnsi="Times New Roman" w:cs="Times New Roman"/>
          <w:sz w:val="28"/>
          <w:szCs w:val="28"/>
        </w:rPr>
        <w:t xml:space="preserve">1) </w:t>
      </w:r>
      <w:r w:rsidRPr="00B07B79">
        <w:rPr>
          <w:rFonts w:ascii="Times New Roman" w:hAnsi="Times New Roman" w:cs="Times New Roman"/>
          <w:spacing w:val="-1"/>
          <w:sz w:val="28"/>
          <w:szCs w:val="28"/>
        </w:rPr>
        <w:t>динаміка власного капіталу комерційних банків в цілому зросла на 3,1%, що становило 27538,9 млрд. грн</w:t>
      </w:r>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pacing w:val="-21"/>
          <w:sz w:val="28"/>
          <w:szCs w:val="28"/>
        </w:rPr>
      </w:pPr>
      <w:r w:rsidRPr="00B07B79">
        <w:rPr>
          <w:rFonts w:ascii="Times New Roman" w:hAnsi="Times New Roman" w:cs="Times New Roman"/>
          <w:spacing w:val="-21"/>
          <w:sz w:val="28"/>
          <w:szCs w:val="28"/>
        </w:rPr>
        <w:t>2) о</w:t>
      </w:r>
      <w:r w:rsidRPr="00B07B79">
        <w:rPr>
          <w:rFonts w:ascii="Times New Roman" w:hAnsi="Times New Roman" w:cs="Times New Roman"/>
          <w:sz w:val="28"/>
          <w:szCs w:val="28"/>
        </w:rPr>
        <w:t>бсяг кредитного портфеля збільшився лише на 1% порівняно із 2009 роком;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pacing w:val="-21"/>
          <w:sz w:val="28"/>
          <w:szCs w:val="28"/>
        </w:rPr>
      </w:pPr>
      <w:r w:rsidRPr="00B07B79">
        <w:rPr>
          <w:rFonts w:ascii="Times New Roman" w:hAnsi="Times New Roman" w:cs="Times New Roman"/>
          <w:spacing w:val="-21"/>
          <w:sz w:val="28"/>
          <w:szCs w:val="28"/>
        </w:rPr>
        <w:t>3) о</w:t>
      </w:r>
      <w:r w:rsidRPr="00B07B79">
        <w:rPr>
          <w:rFonts w:ascii="Times New Roman" w:hAnsi="Times New Roman" w:cs="Times New Roman"/>
          <w:spacing w:val="-1"/>
          <w:sz w:val="28"/>
          <w:szCs w:val="28"/>
        </w:rPr>
        <w:t xml:space="preserve">бсяги кредитування населення знизилися на 13,1% або на 30,9 </w:t>
      </w:r>
      <w:proofErr w:type="spellStart"/>
      <w:r w:rsidRPr="00B07B79">
        <w:rPr>
          <w:rFonts w:ascii="Times New Roman" w:hAnsi="Times New Roman" w:cs="Times New Roman"/>
          <w:spacing w:val="-1"/>
          <w:sz w:val="28"/>
          <w:szCs w:val="28"/>
        </w:rPr>
        <w:t>млрд.грн</w:t>
      </w:r>
      <w:proofErr w:type="spellEnd"/>
      <w:r w:rsidRPr="00B07B79">
        <w:rPr>
          <w:rFonts w:ascii="Times New Roman" w:hAnsi="Times New Roman" w:cs="Times New Roman"/>
          <w:spacing w:val="-1"/>
          <w:sz w:val="28"/>
          <w:szCs w:val="28"/>
        </w:rPr>
        <w:t>..</w:t>
      </w:r>
    </w:p>
    <w:p w:rsidR="00406315" w:rsidRPr="00B07B79" w:rsidRDefault="00406315" w:rsidP="00406315">
      <w:pPr>
        <w:shd w:val="clear" w:color="auto" w:fill="FFFFFF"/>
        <w:tabs>
          <w:tab w:val="left" w:pos="1402"/>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lastRenderedPageBreak/>
        <w:tab/>
        <w:t>Зацікавленість банків у кредитуванні населення зумовлена високою доходністю даного виду банківських послуг та ростом реальних прибутків населення.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Таким чином, макроекономічні умови в цілому сприяли діяльності банківської системи, незважаючи на посилення конкуренції та нарощування обсягів майже всіх основних операцій.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 2009 році діяльність ПАТ "МІБ" була спрямована на посилення конкурентних позицій, розширення впливу на регіони, збільшення обсягів активних операцій на основі впровадження нових продуктів і технологій з обслуговування різних груп клієнтів, активізацію роботи з населенням як в частині залучення коштів, так і в напрямку кредитування.</w:t>
      </w:r>
      <w:r w:rsidRPr="00333D50">
        <w:rPr>
          <w:rFonts w:ascii="Times New Roman" w:hAnsi="Times New Roman" w:cs="Times New Roman"/>
          <w:sz w:val="28"/>
          <w:szCs w:val="28"/>
        </w:rPr>
        <w:t>[116]</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Основні показники діяльності банку станом на 01.01.2009 і 01.01.2010 роки </w:t>
      </w:r>
      <w:r w:rsidRPr="00B07B79">
        <w:rPr>
          <w:rFonts w:ascii="Times New Roman" w:hAnsi="Times New Roman" w:cs="Times New Roman"/>
          <w:sz w:val="28"/>
          <w:szCs w:val="28"/>
        </w:rPr>
        <w:t>наведені в таблиці 2.2.</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4"/>
          <w:sz w:val="28"/>
          <w:szCs w:val="28"/>
        </w:rPr>
        <w:t xml:space="preserve">Таблиця 2.2. </w:t>
      </w:r>
      <w:r w:rsidRPr="00B07B79">
        <w:rPr>
          <w:rFonts w:ascii="Times New Roman" w:hAnsi="Times New Roman" w:cs="Times New Roman"/>
          <w:sz w:val="28"/>
          <w:szCs w:val="28"/>
        </w:rPr>
        <w:t>Основні показники діяльності ПАТ "МІБ" станом на</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3"/>
          <w:sz w:val="28"/>
          <w:szCs w:val="28"/>
        </w:rPr>
        <w:t>01.01.2009 та 01.01.2010 рр.</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678"/>
        <w:gridCol w:w="2552"/>
        <w:gridCol w:w="2394"/>
      </w:tblGrid>
      <w:tr w:rsidR="00406315" w:rsidRPr="00B07B79" w:rsidTr="003E162B">
        <w:trPr>
          <w:trHeight w:hRule="exact" w:val="437"/>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Показник</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01.01.2009</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01.01.2010</w:t>
            </w:r>
          </w:p>
        </w:tc>
      </w:tr>
      <w:tr w:rsidR="00406315" w:rsidRPr="00B07B79" w:rsidTr="003E162B">
        <w:trPr>
          <w:trHeight w:hRule="exact" w:val="432"/>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Регулятивний капітал</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72,8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106 тис. грн..</w:t>
            </w:r>
          </w:p>
        </w:tc>
      </w:tr>
      <w:tr w:rsidR="00406315" w:rsidRPr="00B07B79" w:rsidTr="003E162B">
        <w:trPr>
          <w:trHeight w:hRule="exact" w:val="427"/>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Зобов’язання</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33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414 тис. грн..</w:t>
            </w:r>
          </w:p>
        </w:tc>
      </w:tr>
      <w:tr w:rsidR="00406315" w:rsidRPr="00B07B79" w:rsidTr="003E162B">
        <w:trPr>
          <w:trHeight w:hRule="exact" w:val="427"/>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Кошти юридичних осіб</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6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171 тис. грн..</w:t>
            </w:r>
          </w:p>
        </w:tc>
      </w:tr>
      <w:tr w:rsidR="00406315" w:rsidRPr="00B07B79" w:rsidTr="003E162B">
        <w:trPr>
          <w:trHeight w:hRule="exact" w:val="422"/>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Кошти фізичних осіб</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9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137 тис. грн..</w:t>
            </w:r>
          </w:p>
        </w:tc>
      </w:tr>
      <w:tr w:rsidR="00406315" w:rsidRPr="00B07B79" w:rsidTr="003E162B">
        <w:trPr>
          <w:trHeight w:hRule="exact" w:val="432"/>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Кредитний портфель</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54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317 тис. грн..</w:t>
            </w:r>
          </w:p>
        </w:tc>
      </w:tr>
      <w:tr w:rsidR="00406315" w:rsidRPr="00B07B79" w:rsidTr="003E162B">
        <w:trPr>
          <w:trHeight w:hRule="exact" w:val="432"/>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Прибуток (збиток)</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(2,4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2,5 тис. грн.</w:t>
            </w:r>
          </w:p>
        </w:tc>
      </w:tr>
      <w:tr w:rsidR="00406315" w:rsidRPr="00B07B79" w:rsidTr="003E162B">
        <w:trPr>
          <w:trHeight w:hRule="exact" w:val="422"/>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Активи</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105,5 млн.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5"/>
                <w:sz w:val="28"/>
                <w:szCs w:val="28"/>
              </w:rPr>
              <w:t>489,7 млн. грн.</w:t>
            </w:r>
          </w:p>
        </w:tc>
      </w:tr>
      <w:tr w:rsidR="00406315" w:rsidRPr="00B07B79" w:rsidTr="003E162B">
        <w:trPr>
          <w:trHeight w:hRule="exact" w:val="427"/>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Сформовані резерви за кредитами</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tabs>
                <w:tab w:val="left" w:pos="270"/>
                <w:tab w:val="center" w:pos="123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1,0 тис. грн.</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5"/>
                <w:sz w:val="28"/>
                <w:szCs w:val="28"/>
              </w:rPr>
              <w:t>5,1 тис. грн.</w:t>
            </w:r>
          </w:p>
        </w:tc>
      </w:tr>
    </w:tbl>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Як видно з даних таблиці, в діяльності комерційного банку спостерігається </w:t>
      </w:r>
      <w:r w:rsidRPr="00B07B79">
        <w:rPr>
          <w:rFonts w:ascii="Times New Roman" w:hAnsi="Times New Roman" w:cs="Times New Roman"/>
          <w:sz w:val="28"/>
          <w:szCs w:val="28"/>
        </w:rPr>
        <w:t>позитивна тенденція зростання зобов’язань, збільшення активів, підвищення суми коштів юридичних та фізичних осіб.</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Реалізація стратегічних задач розвитку в 2009 році знайшла своє логічне відображення у фінансових результатах діяльності.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Темпи нарощування банком обсягів основних банківських операцій перевищили середні темпи розвитку вітчизняної банківської системи, про що свідчить порівняльна динаміка розвитку ПАТ "МІБ" у відношенні до банківської системи України за 2009 рік (див. табл. 2.3).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B07B79" w:rsidSect="00E37001">
          <w:type w:val="continuous"/>
          <w:pgSz w:w="11909" w:h="16834" w:code="9"/>
          <w:pgMar w:top="1134" w:right="850" w:bottom="1134" w:left="1701" w:header="720" w:footer="720" w:gutter="0"/>
          <w:cols w:space="60"/>
          <w:noEndnote/>
        </w:sect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4"/>
          <w:sz w:val="28"/>
          <w:szCs w:val="28"/>
        </w:rPr>
        <w:lastRenderedPageBreak/>
        <w:t>Таблиця 2.3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Порівняльна динаміка розвитку ПАТ "МІБ" у відношенні до банківської</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системи України за 2009 рік</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3544"/>
        <w:gridCol w:w="2562"/>
      </w:tblGrid>
      <w:tr w:rsidR="00406315" w:rsidRPr="00B07B79" w:rsidTr="003E162B">
        <w:trPr>
          <w:trHeight w:hRule="exact" w:val="845"/>
        </w:trPr>
        <w:tc>
          <w:tcPr>
            <w:tcW w:w="368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Показник</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Темпи приросту </w:t>
            </w:r>
            <w:r w:rsidRPr="00B07B79">
              <w:rPr>
                <w:rFonts w:ascii="Times New Roman" w:hAnsi="Times New Roman" w:cs="Times New Roman"/>
                <w:spacing w:val="-2"/>
                <w:sz w:val="28"/>
                <w:szCs w:val="28"/>
              </w:rPr>
              <w:t xml:space="preserve">банківської системи </w:t>
            </w:r>
            <w:r w:rsidRPr="00B07B79">
              <w:rPr>
                <w:rFonts w:ascii="Times New Roman" w:hAnsi="Times New Roman" w:cs="Times New Roman"/>
                <w:sz w:val="28"/>
                <w:szCs w:val="28"/>
              </w:rPr>
              <w:t>України</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3"/>
                <w:sz w:val="28"/>
                <w:szCs w:val="28"/>
              </w:rPr>
              <w:t xml:space="preserve">Темпи приросту </w:t>
            </w:r>
            <w:r w:rsidRPr="00B07B79">
              <w:rPr>
                <w:rFonts w:ascii="Times New Roman" w:hAnsi="Times New Roman" w:cs="Times New Roman"/>
                <w:sz w:val="28"/>
                <w:szCs w:val="28"/>
              </w:rPr>
              <w:t>ПАТ “МІБ”</w:t>
            </w:r>
          </w:p>
        </w:tc>
      </w:tr>
      <w:tr w:rsidR="00406315" w:rsidRPr="00B07B79" w:rsidTr="003E162B">
        <w:trPr>
          <w:trHeight w:hRule="exact" w:val="418"/>
        </w:trPr>
        <w:tc>
          <w:tcPr>
            <w:tcW w:w="368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Регулятивний капітал</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18,5 %</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45 %</w:t>
            </w:r>
          </w:p>
        </w:tc>
      </w:tr>
      <w:tr w:rsidR="00406315" w:rsidRPr="00B07B79" w:rsidTr="003E162B">
        <w:trPr>
          <w:trHeight w:hRule="exact" w:val="427"/>
        </w:trPr>
        <w:tc>
          <w:tcPr>
            <w:tcW w:w="368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Зобов'язання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68 %</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1155 %</w:t>
            </w:r>
          </w:p>
        </w:tc>
      </w:tr>
      <w:tr w:rsidR="00406315" w:rsidRPr="00B07B79" w:rsidTr="003E162B">
        <w:trPr>
          <w:trHeight w:hRule="exact" w:val="418"/>
        </w:trPr>
        <w:tc>
          <w:tcPr>
            <w:tcW w:w="368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Вклади населення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28,5 %</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1422 %</w:t>
            </w:r>
          </w:p>
        </w:tc>
      </w:tr>
      <w:tr w:rsidR="00406315" w:rsidRPr="00B07B79" w:rsidTr="003E162B">
        <w:trPr>
          <w:trHeight w:hRule="exact" w:val="427"/>
        </w:trPr>
        <w:tc>
          <w:tcPr>
            <w:tcW w:w="368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Чисті активи</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4 %</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362 %</w:t>
            </w:r>
          </w:p>
        </w:tc>
      </w:tr>
      <w:tr w:rsidR="00406315" w:rsidRPr="00B07B79" w:rsidTr="003E162B">
        <w:trPr>
          <w:trHeight w:hRule="exact" w:val="366"/>
        </w:trPr>
        <w:tc>
          <w:tcPr>
            <w:tcW w:w="3686" w:type="dxa"/>
            <w:tcBorders>
              <w:top w:val="single" w:sz="6" w:space="0" w:color="auto"/>
              <w:left w:val="single" w:sz="4"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3"/>
                <w:sz w:val="28"/>
                <w:szCs w:val="28"/>
              </w:rPr>
              <w:t>Обсяги кредитного портфеля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48 %</w:t>
            </w:r>
          </w:p>
        </w:tc>
        <w:tc>
          <w:tcPr>
            <w:tcW w:w="2562" w:type="dxa"/>
            <w:tcBorders>
              <w:top w:val="single" w:sz="6" w:space="0" w:color="auto"/>
              <w:left w:val="single" w:sz="6" w:space="0" w:color="auto"/>
              <w:bottom w:val="single" w:sz="6" w:space="0" w:color="auto"/>
              <w:right w:val="single" w:sz="6" w:space="0" w:color="auto"/>
            </w:tcBorders>
            <w:shd w:val="clear" w:color="auto" w:fill="FFFFFF"/>
          </w:tcPr>
          <w:p w:rsidR="00406315" w:rsidRPr="00B07B79" w:rsidRDefault="00406315" w:rsidP="003E162B">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487 %</w:t>
            </w:r>
          </w:p>
        </w:tc>
      </w:tr>
    </w:tbl>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Головним пріоритетом довгострокової стратегії Банку залишалася максимізація вартості капіталу.</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Прибуток Банку за 2009 рік склав 2,5 млн. грн. Регулятивний капітал Банку протягом 2009 року збільшився на 33,2 млн. грн. та станом на 01.01.2010р. дорівнював 106,0 млн. грн.</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Чисті активи Банку станом на 01.01.2010р. складали 489,7 млн. грн., в тому числі кредитний портфель суб’єктів господарювання дорівнює 300,2 млн. грн., кредитний портфель фізичних осіб – 17,0 млн. грн.</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Зобов’язання Банку складають 413,8 млн. грн., у тому числі кошти суб’єктів господарювання – 171,3 млн. грн., кошти фізичних осіб – 136,8 млн. грн. Відповідні позитивні зрушення відбулися і в пасивах Банку: обсяг коштів банків збільшився на 53,9 млн. грн., кошти юридичних осіб збільшились на 165,3 млн. грн., кошти фізичних осіб зросли на 128,0 млн. грн. В 2009 році Банком було залучено </w:t>
      </w:r>
      <w:proofErr w:type="spellStart"/>
      <w:r w:rsidRPr="00B07B79">
        <w:rPr>
          <w:rFonts w:ascii="Times New Roman" w:hAnsi="Times New Roman" w:cs="Times New Roman"/>
          <w:sz w:val="28"/>
          <w:szCs w:val="28"/>
        </w:rPr>
        <w:t>субординований</w:t>
      </w:r>
      <w:proofErr w:type="spellEnd"/>
      <w:r w:rsidRPr="00B07B79">
        <w:rPr>
          <w:rFonts w:ascii="Times New Roman" w:hAnsi="Times New Roman" w:cs="Times New Roman"/>
          <w:sz w:val="28"/>
          <w:szCs w:val="28"/>
        </w:rPr>
        <w:t xml:space="preserve"> борг у сумі 32 млн. грн. Залучення </w:t>
      </w:r>
      <w:proofErr w:type="spellStart"/>
      <w:r w:rsidRPr="00B07B79">
        <w:rPr>
          <w:rFonts w:ascii="Times New Roman" w:hAnsi="Times New Roman" w:cs="Times New Roman"/>
          <w:sz w:val="28"/>
          <w:szCs w:val="28"/>
        </w:rPr>
        <w:t>субординованого</w:t>
      </w:r>
      <w:proofErr w:type="spellEnd"/>
      <w:r w:rsidRPr="00B07B79">
        <w:rPr>
          <w:rFonts w:ascii="Times New Roman" w:hAnsi="Times New Roman" w:cs="Times New Roman"/>
          <w:sz w:val="28"/>
          <w:szCs w:val="28"/>
        </w:rPr>
        <w:t xml:space="preserve"> боргу сприяє зміцненню фінансової стійкості та довіри до Банку з боку його клієнтів та партнерів, підвищує </w:t>
      </w:r>
      <w:r w:rsidRPr="00B07B79">
        <w:rPr>
          <w:rFonts w:ascii="Times New Roman" w:hAnsi="Times New Roman" w:cs="Times New Roman"/>
          <w:sz w:val="28"/>
          <w:szCs w:val="28"/>
        </w:rPr>
        <w:lastRenderedPageBreak/>
        <w:t>інвестиційний потенціал та закладає основу для подальшого динамічного розвитку Банку.</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Таблиця 2.4</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Основні показники кредитів не фінансових корпорацій </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 видами валют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1883"/>
        <w:gridCol w:w="1942"/>
        <w:gridCol w:w="1883"/>
        <w:gridCol w:w="1942"/>
      </w:tblGrid>
      <w:tr w:rsidR="00406315" w:rsidRPr="00B07B79" w:rsidTr="003E162B">
        <w:trPr>
          <w:trHeight w:val="424"/>
        </w:trPr>
        <w:tc>
          <w:tcPr>
            <w:tcW w:w="2005" w:type="dxa"/>
            <w:vMerge w:val="restart"/>
          </w:tcPr>
          <w:p w:rsidR="00406315" w:rsidRPr="00B07B79" w:rsidRDefault="00406315" w:rsidP="003E162B">
            <w:pPr>
              <w:spacing w:line="360" w:lineRule="auto"/>
              <w:ind w:firstLine="567"/>
              <w:contextualSpacing/>
              <w:jc w:val="both"/>
              <w:rPr>
                <w:rFonts w:ascii="Times New Roman" w:hAnsi="Times New Roman" w:cs="Times New Roman"/>
                <w:sz w:val="28"/>
                <w:szCs w:val="28"/>
              </w:rPr>
            </w:pP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Показники</w:t>
            </w:r>
          </w:p>
        </w:tc>
        <w:tc>
          <w:tcPr>
            <w:tcW w:w="8023" w:type="dxa"/>
            <w:gridSpan w:val="4"/>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Кредити</w:t>
            </w:r>
          </w:p>
        </w:tc>
      </w:tr>
      <w:tr w:rsidR="00406315" w:rsidRPr="00B07B79" w:rsidTr="003E162B">
        <w:tc>
          <w:tcPr>
            <w:tcW w:w="2005" w:type="dxa"/>
            <w:vMerge/>
          </w:tcPr>
          <w:p w:rsidR="00406315" w:rsidRPr="00B07B79" w:rsidRDefault="00406315" w:rsidP="003E162B">
            <w:pPr>
              <w:spacing w:line="360" w:lineRule="auto"/>
              <w:ind w:firstLine="567"/>
              <w:contextualSpacing/>
              <w:jc w:val="both"/>
              <w:rPr>
                <w:rFonts w:ascii="Times New Roman" w:hAnsi="Times New Roman" w:cs="Times New Roman"/>
                <w:sz w:val="28"/>
                <w:szCs w:val="28"/>
              </w:rPr>
            </w:pPr>
          </w:p>
        </w:tc>
        <w:tc>
          <w:tcPr>
            <w:tcW w:w="4011" w:type="dxa"/>
            <w:gridSpan w:val="2"/>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лютий 2011</w:t>
            </w:r>
          </w:p>
        </w:tc>
        <w:tc>
          <w:tcPr>
            <w:tcW w:w="4012" w:type="dxa"/>
            <w:gridSpan w:val="2"/>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березень 2011</w:t>
            </w:r>
          </w:p>
        </w:tc>
      </w:tr>
      <w:tr w:rsidR="00406315" w:rsidRPr="00B07B79" w:rsidTr="003E162B">
        <w:tc>
          <w:tcPr>
            <w:tcW w:w="2005" w:type="dxa"/>
            <w:vMerge/>
          </w:tcPr>
          <w:p w:rsidR="00406315" w:rsidRPr="00B07B79" w:rsidRDefault="00406315" w:rsidP="003E162B">
            <w:pPr>
              <w:spacing w:line="360" w:lineRule="auto"/>
              <w:ind w:firstLine="567"/>
              <w:contextualSpacing/>
              <w:jc w:val="both"/>
              <w:rPr>
                <w:rFonts w:ascii="Times New Roman" w:hAnsi="Times New Roman" w:cs="Times New Roman"/>
                <w:sz w:val="28"/>
                <w:szCs w:val="28"/>
              </w:rPr>
            </w:pPr>
          </w:p>
        </w:tc>
        <w:tc>
          <w:tcPr>
            <w:tcW w:w="2005"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Залишки на кінець періоду, млрд. грн.</w:t>
            </w:r>
          </w:p>
        </w:tc>
        <w:tc>
          <w:tcPr>
            <w:tcW w:w="2006"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Зміна у річному обчисленні, %</w:t>
            </w:r>
          </w:p>
        </w:tc>
        <w:tc>
          <w:tcPr>
            <w:tcW w:w="2006"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Залишки на кінець періоду, млрд. грн.</w:t>
            </w:r>
          </w:p>
        </w:tc>
        <w:tc>
          <w:tcPr>
            <w:tcW w:w="2006"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Зміна у річному обчисленні, %</w:t>
            </w:r>
          </w:p>
        </w:tc>
      </w:tr>
      <w:tr w:rsidR="00406315" w:rsidRPr="00B07B79" w:rsidTr="003E162B">
        <w:trPr>
          <w:trHeight w:val="1213"/>
        </w:trPr>
        <w:tc>
          <w:tcPr>
            <w:tcW w:w="2005"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Усього</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 гривня</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 долар США</w:t>
            </w:r>
          </w:p>
        </w:tc>
        <w:tc>
          <w:tcPr>
            <w:tcW w:w="2005"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508,09</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313,97</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165,04</w:t>
            </w:r>
          </w:p>
        </w:tc>
        <w:tc>
          <w:tcPr>
            <w:tcW w:w="2006"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11,5</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16,9</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4,7</w:t>
            </w:r>
          </w:p>
        </w:tc>
        <w:tc>
          <w:tcPr>
            <w:tcW w:w="2006"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521,97</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322,15</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169,45</w:t>
            </w:r>
          </w:p>
        </w:tc>
        <w:tc>
          <w:tcPr>
            <w:tcW w:w="2006" w:type="dxa"/>
          </w:tcPr>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15,1</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19,1</w:t>
            </w:r>
          </w:p>
          <w:p w:rsidR="00406315" w:rsidRPr="00B07B79" w:rsidRDefault="00406315" w:rsidP="003E162B">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9,5</w:t>
            </w:r>
          </w:p>
        </w:tc>
      </w:tr>
    </w:tbl>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Отже, завдяки позитивній динаміці основних показників діяльності у фінансовому середовищі на початок 2011 року комерційні банки значно зміцнили свої позиції.</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Чистий сальдований прибуток комерційних банків в листопаді 2010 року становив 1204 млрд. гривень.</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Доходи банків, за цей період, становили 123,102 млрд. гривень, що в порівнянні з аналогічним періодом 2009 року менше на 6,3%, а витрати - на 16,7%.</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Комісійні доходи українських банків за звітний період становили - 13,571 млрд. гривень, процентні доходи становили 103,405 млрд. гривень, інші - 3,607 млрд. гривень.</w:t>
      </w:r>
      <w:r w:rsidRPr="00333D50">
        <w:rPr>
          <w:rFonts w:ascii="Times New Roman" w:hAnsi="Times New Roman" w:cs="Times New Roman"/>
          <w:sz w:val="28"/>
          <w:szCs w:val="28"/>
          <w:lang w:val="ru-RU"/>
        </w:rPr>
        <w:t>[117]</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Чистий прибуток «МІБ» станом на 2009 рік складав 2,5 млн. грн.. і був сформований з доходів від усіх видів його діяльності після відрахування з них операційних видатків, матеріальних та прирівняних до них витрат і видатків на заробітну плату. Банком сплачуються передбачені чинним </w:t>
      </w:r>
      <w:r w:rsidRPr="00B07B79">
        <w:rPr>
          <w:rFonts w:ascii="Times New Roman" w:hAnsi="Times New Roman" w:cs="Times New Roman"/>
          <w:sz w:val="28"/>
          <w:szCs w:val="28"/>
        </w:rPr>
        <w:lastRenderedPageBreak/>
        <w:t>законодавством податки та неподаткові платежі до бюджету, формуються загальні резерви.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 2010 році загальна сума доходів Банку склала 57,7млн. грн., що в 4,4 рази</w:t>
      </w:r>
      <w:r w:rsidRPr="00B07B79">
        <w:rPr>
          <w:rFonts w:ascii="Times New Roman" w:hAnsi="Times New Roman" w:cs="Times New Roman"/>
          <w:spacing w:val="-1"/>
          <w:sz w:val="28"/>
          <w:szCs w:val="28"/>
        </w:rPr>
        <w:t xml:space="preserve"> більше, ніж у 2009 році. Із загальної суми доходів 70% складали процентні доходи. Комісійні доходи від операцій з клієнтами склали в загальній </w:t>
      </w:r>
      <w:r w:rsidRPr="00B07B79">
        <w:rPr>
          <w:rFonts w:ascii="Times New Roman" w:hAnsi="Times New Roman" w:cs="Times New Roman"/>
          <w:sz w:val="28"/>
          <w:szCs w:val="28"/>
        </w:rPr>
        <w:t>структурі доходів 23% (див. Додаток 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noProof/>
          <w:sz w:val="28"/>
          <w:szCs w:val="28"/>
        </w:rPr>
        <w:drawing>
          <wp:inline distT="0" distB="0" distL="0" distR="0" wp14:anchorId="75442221" wp14:editId="51DE3C01">
            <wp:extent cx="5234940" cy="207010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Рис. 2.1 Динаміка власних коштів ПАТ «МІБ», </w:t>
      </w:r>
      <w:proofErr w:type="spellStart"/>
      <w:r w:rsidRPr="00B07B79">
        <w:rPr>
          <w:rFonts w:ascii="Times New Roman" w:hAnsi="Times New Roman" w:cs="Times New Roman"/>
          <w:sz w:val="28"/>
          <w:szCs w:val="28"/>
        </w:rPr>
        <w:t>млн.грн</w:t>
      </w:r>
      <w:proofErr w:type="spellEnd"/>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 ПАТ "МІБ" простежується позитивна </w:t>
      </w:r>
      <w:r w:rsidRPr="00B07B79">
        <w:rPr>
          <w:rFonts w:ascii="Times New Roman" w:hAnsi="Times New Roman" w:cs="Times New Roman"/>
          <w:spacing w:val="-1"/>
          <w:sz w:val="28"/>
          <w:szCs w:val="28"/>
        </w:rPr>
        <w:t xml:space="preserve">тенденція до зростання показнику капіталізації банку. Так станом на 01.01.2010 </w:t>
      </w:r>
      <w:r w:rsidRPr="00B07B79">
        <w:rPr>
          <w:rFonts w:ascii="Times New Roman" w:hAnsi="Times New Roman" w:cs="Times New Roman"/>
          <w:sz w:val="28"/>
          <w:szCs w:val="28"/>
        </w:rPr>
        <w:t xml:space="preserve">року балансовий капітал Банку склав 979,4 </w:t>
      </w:r>
      <w:proofErr w:type="spellStart"/>
      <w:r w:rsidRPr="00B07B79">
        <w:rPr>
          <w:rFonts w:ascii="Times New Roman" w:hAnsi="Times New Roman" w:cs="Times New Roman"/>
          <w:sz w:val="28"/>
          <w:szCs w:val="28"/>
        </w:rPr>
        <w:t>млн.грн</w:t>
      </w:r>
      <w:proofErr w:type="spellEnd"/>
      <w:r w:rsidRPr="00B07B79">
        <w:rPr>
          <w:rFonts w:ascii="Times New Roman" w:hAnsi="Times New Roman" w:cs="Times New Roman"/>
          <w:sz w:val="28"/>
          <w:szCs w:val="28"/>
        </w:rPr>
        <w:t xml:space="preserve">., у тому числі статутний капітал – 75,9 </w:t>
      </w:r>
      <w:proofErr w:type="spellStart"/>
      <w:r w:rsidRPr="00B07B79">
        <w:rPr>
          <w:rFonts w:ascii="Times New Roman" w:hAnsi="Times New Roman" w:cs="Times New Roman"/>
          <w:sz w:val="28"/>
          <w:szCs w:val="28"/>
        </w:rPr>
        <w:t>млн.грн</w:t>
      </w:r>
      <w:proofErr w:type="spellEnd"/>
      <w:r w:rsidRPr="00B07B79">
        <w:rPr>
          <w:rFonts w:ascii="Times New Roman" w:hAnsi="Times New Roman" w:cs="Times New Roman"/>
          <w:sz w:val="28"/>
          <w:szCs w:val="28"/>
        </w:rPr>
        <w:t>. (див. Додаток Е). Випереджальні темпи зростання активів Банку (у порівнянні з банківською системою України) зумовили необхідність збільшення капіталу для виконання нормативних вимог НБУ і Європейського банку реконструкції та розвитку.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iCs/>
          <w:sz w:val="28"/>
          <w:szCs w:val="28"/>
        </w:rPr>
        <w:t xml:space="preserve">Важливим показником, який характеризує розвиток кредитних відносин і </w:t>
      </w:r>
      <w:r w:rsidRPr="00B07B79">
        <w:rPr>
          <w:rFonts w:ascii="Times New Roman" w:hAnsi="Times New Roman" w:cs="Times New Roman"/>
          <w:sz w:val="28"/>
          <w:szCs w:val="28"/>
        </w:rPr>
        <w:t>відображає роль кредитування в економіці, є показник співвідношення наданих</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комерційними банками кредитів економічним суб'єктам і валового внутрішнього продукту. Хоча визначеної граничної межі цього показника не і</w:t>
      </w:r>
      <w:r w:rsidRPr="00B07B79">
        <w:rPr>
          <w:rFonts w:ascii="Times New Roman" w:hAnsi="Times New Roman" w:cs="Times New Roman"/>
          <w:spacing w:val="-1"/>
          <w:sz w:val="28"/>
          <w:szCs w:val="28"/>
        </w:rPr>
        <w:t xml:space="preserve">снує. Як свідчить практика, чим вищий рівень розвитку економіки, тим більше цей розвиток підтримується кредитами комерційних банків, і це є </w:t>
      </w:r>
      <w:r w:rsidRPr="00B07B79">
        <w:rPr>
          <w:rFonts w:ascii="Times New Roman" w:hAnsi="Times New Roman" w:cs="Times New Roman"/>
          <w:spacing w:val="-1"/>
          <w:sz w:val="28"/>
          <w:szCs w:val="28"/>
        </w:rPr>
        <w:lastRenderedPageBreak/>
        <w:t>закономірним я</w:t>
      </w:r>
      <w:r w:rsidRPr="00B07B79">
        <w:rPr>
          <w:rFonts w:ascii="Times New Roman" w:hAnsi="Times New Roman" w:cs="Times New Roman"/>
          <w:sz w:val="28"/>
          <w:szCs w:val="28"/>
        </w:rPr>
        <w:t>вищем. Кредитні відносини стимулюють економічний розвиток, тільки якщо для цього створені відповідні умови - якщо економіка дає позитивні результати завдяки кредитуванню, в іншому випадку кредитування не може адекватно розвиватися.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Показники свідчать про позитивні тенденції як у зростанні обсягів к</w:t>
      </w:r>
      <w:r w:rsidRPr="00B07B79">
        <w:rPr>
          <w:rFonts w:ascii="Times New Roman" w:hAnsi="Times New Roman" w:cs="Times New Roman"/>
          <w:spacing w:val="-2"/>
          <w:sz w:val="28"/>
          <w:szCs w:val="28"/>
        </w:rPr>
        <w:t xml:space="preserve">редитування, так і збільшенні частки наданих комерційними банками кредитів </w:t>
      </w:r>
      <w:r w:rsidRPr="00B07B79">
        <w:rPr>
          <w:rFonts w:ascii="Times New Roman" w:hAnsi="Times New Roman" w:cs="Times New Roman"/>
          <w:sz w:val="28"/>
          <w:szCs w:val="28"/>
        </w:rPr>
        <w:t xml:space="preserve">економічним суб'єктам у валовому внутрішньому продукті, значення якого за 2010 р. становило 103,9%, в порівнянні з 2009 роком, частка кредитів у ВВП збільшилась на 5% і становила 15%. Фактично це означає, що банківська система має можливості забезпечувати більші обсяги кредитування </w:t>
      </w:r>
      <w:r w:rsidRPr="00B07B79">
        <w:rPr>
          <w:rFonts w:ascii="Times New Roman" w:hAnsi="Times New Roman" w:cs="Times New Roman"/>
          <w:spacing w:val="-4"/>
          <w:sz w:val="28"/>
          <w:szCs w:val="28"/>
        </w:rPr>
        <w:t>(див.рис.2.2 та рис.2.3).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pacing w:val="-4"/>
          <w:sz w:val="28"/>
          <w:szCs w:val="28"/>
        </w:rPr>
      </w:pPr>
      <w:r w:rsidRPr="00B07B79">
        <w:rPr>
          <w:rFonts w:ascii="Times New Roman" w:hAnsi="Times New Roman" w:cs="Times New Roman"/>
          <w:noProof/>
          <w:spacing w:val="-4"/>
          <w:sz w:val="28"/>
          <w:szCs w:val="28"/>
        </w:rPr>
        <w:drawing>
          <wp:inline distT="0" distB="0" distL="0" distR="0" wp14:anchorId="55B0E17B" wp14:editId="7DC713D5">
            <wp:extent cx="2874010" cy="218059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B07B79">
        <w:rPr>
          <w:rFonts w:ascii="Times New Roman" w:hAnsi="Times New Roman" w:cs="Times New Roman"/>
          <w:spacing w:val="-4"/>
          <w:sz w:val="28"/>
          <w:szCs w:val="28"/>
        </w:rPr>
        <w:t xml:space="preserve"> </w:t>
      </w:r>
      <w:r w:rsidRPr="00B07B79">
        <w:rPr>
          <w:rFonts w:ascii="Times New Roman" w:hAnsi="Times New Roman" w:cs="Times New Roman"/>
          <w:noProof/>
          <w:spacing w:val="-4"/>
          <w:sz w:val="28"/>
          <w:szCs w:val="28"/>
        </w:rPr>
        <w:drawing>
          <wp:inline distT="0" distB="0" distL="0" distR="0" wp14:anchorId="5950BEA6" wp14:editId="09AED248">
            <wp:extent cx="2874010" cy="219075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6315" w:rsidRPr="00B07B79" w:rsidRDefault="00406315" w:rsidP="00406315">
      <w:pPr>
        <w:shd w:val="clear" w:color="auto" w:fill="FFFFFF" w:themeFill="background1"/>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Рис. 2.2, 2.3 Динаміка обсягів кредитів, наданих комерційними банками та ПАТ </w:t>
      </w:r>
      <w:r w:rsidRPr="00B07B79">
        <w:rPr>
          <w:rFonts w:ascii="Times New Roman" w:hAnsi="Times New Roman" w:cs="Times New Roman"/>
          <w:iCs/>
          <w:sz w:val="28"/>
          <w:szCs w:val="28"/>
        </w:rPr>
        <w:t xml:space="preserve">''МІБ" економічним суб'єктам, </w:t>
      </w:r>
      <w:r w:rsidRPr="00B07B79">
        <w:rPr>
          <w:rFonts w:ascii="Times New Roman" w:hAnsi="Times New Roman" w:cs="Times New Roman"/>
          <w:sz w:val="28"/>
          <w:szCs w:val="28"/>
        </w:rPr>
        <w:t>ВВП та частка кредитів у ВВП.</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 рисунку можна визначити</w:t>
      </w:r>
      <w:r w:rsidRPr="00B07B79">
        <w:rPr>
          <w:rFonts w:ascii="Times New Roman" w:hAnsi="Times New Roman" w:cs="Times New Roman"/>
          <w:smallCaps/>
          <w:sz w:val="28"/>
          <w:szCs w:val="28"/>
        </w:rPr>
        <w:t xml:space="preserve"> </w:t>
      </w:r>
      <w:r w:rsidRPr="00B07B79">
        <w:rPr>
          <w:rFonts w:ascii="Times New Roman" w:hAnsi="Times New Roman" w:cs="Times New Roman"/>
          <w:sz w:val="28"/>
          <w:szCs w:val="28"/>
        </w:rPr>
        <w:t>наступні тенденції:</w:t>
      </w:r>
    </w:p>
    <w:p w:rsidR="00406315" w:rsidRPr="00B07B79" w:rsidRDefault="00406315" w:rsidP="00406315">
      <w:pPr>
        <w:shd w:val="clear" w:color="auto" w:fill="FFFFFF"/>
        <w:tabs>
          <w:tab w:val="left" w:pos="1075"/>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4"/>
          <w:sz w:val="28"/>
          <w:szCs w:val="28"/>
        </w:rPr>
        <w:lastRenderedPageBreak/>
        <w:t>1)</w:t>
      </w:r>
      <w:r w:rsidRPr="00B07B79">
        <w:rPr>
          <w:rFonts w:ascii="Times New Roman" w:hAnsi="Times New Roman" w:cs="Times New Roman"/>
          <w:sz w:val="28"/>
          <w:szCs w:val="28"/>
        </w:rPr>
        <w:tab/>
        <w:t>спостерігається високий рівень обсягів кредитування комерційними</w:t>
      </w:r>
      <w:r w:rsidRPr="00B07B79">
        <w:rPr>
          <w:rFonts w:ascii="Times New Roman" w:hAnsi="Times New Roman" w:cs="Times New Roman"/>
          <w:sz w:val="28"/>
          <w:szCs w:val="28"/>
        </w:rPr>
        <w:br/>
        <w:t>банками, особливо в 2009 році;</w:t>
      </w:r>
    </w:p>
    <w:p w:rsidR="00406315" w:rsidRPr="00B07B79" w:rsidRDefault="00406315" w:rsidP="00406315">
      <w:pPr>
        <w:shd w:val="clear" w:color="auto" w:fill="FFFFFF"/>
        <w:tabs>
          <w:tab w:val="left" w:pos="1162"/>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1"/>
          <w:sz w:val="28"/>
          <w:szCs w:val="28"/>
        </w:rPr>
        <w:t>2)</w:t>
      </w:r>
      <w:r w:rsidRPr="00B07B79">
        <w:rPr>
          <w:rFonts w:ascii="Times New Roman" w:hAnsi="Times New Roman" w:cs="Times New Roman"/>
          <w:sz w:val="28"/>
          <w:szCs w:val="28"/>
        </w:rPr>
        <w:tab/>
        <w:t>зростання обсягів кредитування ПАТ "МІБ" відбувалося більш</w:t>
      </w:r>
      <w:r w:rsidRPr="00B07B79">
        <w:rPr>
          <w:rFonts w:ascii="Times New Roman" w:hAnsi="Times New Roman" w:cs="Times New Roman"/>
          <w:sz w:val="28"/>
          <w:szCs w:val="28"/>
        </w:rPr>
        <w:br/>
        <w:t>швидкими темпами, ніж темпи зростання кредитування взагалі по банківській системі;</w:t>
      </w:r>
    </w:p>
    <w:p w:rsidR="00406315" w:rsidRPr="00B07B79" w:rsidRDefault="00406315" w:rsidP="00406315">
      <w:pPr>
        <w:shd w:val="clear" w:color="auto" w:fill="FFFFFF"/>
        <w:tabs>
          <w:tab w:val="left" w:pos="106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8"/>
          <w:sz w:val="28"/>
          <w:szCs w:val="28"/>
        </w:rPr>
        <w:t>3)</w:t>
      </w:r>
      <w:r w:rsidRPr="00B07B79">
        <w:rPr>
          <w:rFonts w:ascii="Times New Roman" w:hAnsi="Times New Roman" w:cs="Times New Roman"/>
          <w:sz w:val="28"/>
          <w:szCs w:val="28"/>
        </w:rPr>
        <w:tab/>
      </w:r>
      <w:r w:rsidRPr="00B07B79">
        <w:rPr>
          <w:rFonts w:ascii="Times New Roman" w:hAnsi="Times New Roman" w:cs="Times New Roman"/>
          <w:spacing w:val="-1"/>
          <w:sz w:val="28"/>
          <w:szCs w:val="28"/>
        </w:rPr>
        <w:t xml:space="preserve">саме з 2008 року намітилася тенденція до суттєвого зростання показника </w:t>
      </w:r>
      <w:r w:rsidRPr="00B07B79">
        <w:rPr>
          <w:rFonts w:ascii="Times New Roman" w:hAnsi="Times New Roman" w:cs="Times New Roman"/>
          <w:sz w:val="28"/>
          <w:szCs w:val="28"/>
        </w:rPr>
        <w:t>частки кредитів «МІБ» у ВВП;</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загальній структурі активів комерційних банків переважають кредити - станом на 01.01.2010 р. питома вага кредитів в загальній структурі активів банків складала 84,9%. Така ж тенденція стосується і ПАТ "МІБ" - частка кредитів в активах банку займає 64,77% (див. рис. 2.4 та рис. 2.5).</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highlight w:val="green"/>
        </w:rPr>
      </w:pPr>
      <w:r w:rsidRPr="00B07B79">
        <w:rPr>
          <w:rFonts w:ascii="Times New Roman" w:hAnsi="Times New Roman" w:cs="Times New Roman"/>
          <w:noProof/>
          <w:sz w:val="28"/>
          <w:szCs w:val="28"/>
        </w:rPr>
        <w:drawing>
          <wp:inline distT="0" distB="0" distL="0" distR="0" wp14:anchorId="12C5BDD2" wp14:editId="470FD477">
            <wp:extent cx="2642870" cy="1989455"/>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B07B79">
        <w:rPr>
          <w:rFonts w:ascii="Times New Roman" w:hAnsi="Times New Roman" w:cs="Times New Roman"/>
          <w:sz w:val="28"/>
          <w:szCs w:val="28"/>
        </w:rPr>
        <w:t xml:space="preserve"> </w:t>
      </w:r>
      <w:r w:rsidRPr="00B07B79">
        <w:rPr>
          <w:rFonts w:ascii="Times New Roman" w:hAnsi="Times New Roman" w:cs="Times New Roman"/>
          <w:noProof/>
          <w:sz w:val="28"/>
          <w:szCs w:val="28"/>
        </w:rPr>
        <w:drawing>
          <wp:inline distT="0" distB="0" distL="0" distR="0" wp14:anchorId="4556B564" wp14:editId="2A79A734">
            <wp:extent cx="2743200" cy="1999615"/>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Рис. 2.4, 2.5 Частка кредитів комерційних банків в структурі активів</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Таким чином, можна стверджувати, що в умовах ринкової трансформації економіки комерційні банки постійно нарощують обсяги кредитування економіки.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Серед питань управління кредитною діяльністю комерційного банку одним </w:t>
      </w:r>
      <w:r w:rsidRPr="00B07B79">
        <w:rPr>
          <w:rFonts w:ascii="Times New Roman" w:hAnsi="Times New Roman" w:cs="Times New Roman"/>
          <w:sz w:val="28"/>
          <w:szCs w:val="28"/>
        </w:rPr>
        <w:t>з найбільш привабливих для дослідження на сучасному етапі є питання формування та оцінки його кредитного портфеля.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pacing w:val="-1"/>
          <w:sz w:val="28"/>
          <w:szCs w:val="28"/>
        </w:rPr>
      </w:pPr>
      <w:r w:rsidRPr="00B07B79">
        <w:rPr>
          <w:rFonts w:ascii="Times New Roman" w:hAnsi="Times New Roman" w:cs="Times New Roman"/>
          <w:sz w:val="28"/>
          <w:szCs w:val="28"/>
        </w:rPr>
        <w:t xml:space="preserve">Формування та аналіз кредитного портфеля дозволяє більш чітко розробити тактику і стратегію комерційного банку, його можливості </w:t>
      </w:r>
      <w:r w:rsidRPr="00B07B79">
        <w:rPr>
          <w:rFonts w:ascii="Times New Roman" w:hAnsi="Times New Roman" w:cs="Times New Roman"/>
          <w:spacing w:val="-1"/>
          <w:sz w:val="28"/>
          <w:szCs w:val="28"/>
        </w:rPr>
        <w:t>кредитування клієнтів і розвиток ділової активності на ринку.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 xml:space="preserve">Значний приріст чистих активів банку в 2010 році відбувся в основному за рахунок зростання кредитного портфеля на 582%. Станом на 01.01.2010 р. кредитний портфель становив 317,2 </w:t>
      </w:r>
      <w:proofErr w:type="spellStart"/>
      <w:r w:rsidRPr="00B07B79">
        <w:rPr>
          <w:rFonts w:ascii="Times New Roman" w:hAnsi="Times New Roman" w:cs="Times New Roman"/>
          <w:sz w:val="28"/>
          <w:szCs w:val="28"/>
        </w:rPr>
        <w:t>млн.грн</w:t>
      </w:r>
      <w:proofErr w:type="spellEnd"/>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 метою ефективного управління кредитним ризиком ПАТ "МІБ" застосовує сегментацію кредитного портфеля. Сегментація кредитного портфелю Банку дозволяє вирішувати наступні задачі Банку:</w:t>
      </w:r>
    </w:p>
    <w:p w:rsidR="00406315" w:rsidRPr="00B07B79" w:rsidRDefault="00406315" w:rsidP="00406315">
      <w:pPr>
        <w:widowControl w:val="0"/>
        <w:numPr>
          <w:ilvl w:val="0"/>
          <w:numId w:val="30"/>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визначення рівня концентрації та рівня ризику в кожній галузі;</w:t>
      </w:r>
    </w:p>
    <w:p w:rsidR="00406315" w:rsidRPr="00B07B79" w:rsidRDefault="00406315" w:rsidP="00406315">
      <w:pPr>
        <w:widowControl w:val="0"/>
        <w:numPr>
          <w:ilvl w:val="0"/>
          <w:numId w:val="30"/>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визначення кредитних стандартів і процедур для різних галузей;</w:t>
      </w:r>
    </w:p>
    <w:p w:rsidR="00406315" w:rsidRPr="00B07B79" w:rsidRDefault="00406315" w:rsidP="00406315">
      <w:pPr>
        <w:widowControl w:val="0"/>
        <w:numPr>
          <w:ilvl w:val="0"/>
          <w:numId w:val="30"/>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поліпшення якості кредитів, що надаються;</w:t>
      </w:r>
    </w:p>
    <w:p w:rsidR="00406315" w:rsidRPr="00B07B79" w:rsidRDefault="00406315" w:rsidP="00406315">
      <w:pPr>
        <w:widowControl w:val="0"/>
        <w:numPr>
          <w:ilvl w:val="0"/>
          <w:numId w:val="30"/>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диверсифікація кредитного портфеля;</w:t>
      </w:r>
    </w:p>
    <w:p w:rsidR="00406315" w:rsidRPr="00B07B79" w:rsidRDefault="00406315" w:rsidP="00406315">
      <w:pPr>
        <w:widowControl w:val="0"/>
        <w:numPr>
          <w:ilvl w:val="0"/>
          <w:numId w:val="30"/>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стратегічне планування кредитної діяльності Банку.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Різні напрями діяльності клієнтів визначають відмінності їх потреб в тих </w:t>
      </w:r>
      <w:r w:rsidRPr="00B07B79">
        <w:rPr>
          <w:rFonts w:ascii="Times New Roman" w:hAnsi="Times New Roman" w:cs="Times New Roman"/>
          <w:spacing w:val="-1"/>
          <w:sz w:val="28"/>
          <w:szCs w:val="28"/>
        </w:rPr>
        <w:t xml:space="preserve">чи інших фінансових продуктах, що передбачає сегментацію клієнтської бази за </w:t>
      </w:r>
      <w:r w:rsidRPr="00B07B79">
        <w:rPr>
          <w:rFonts w:ascii="Times New Roman" w:hAnsi="Times New Roman" w:cs="Times New Roman"/>
          <w:sz w:val="28"/>
          <w:szCs w:val="28"/>
        </w:rPr>
        <w:t>галузевими ознаками, роботу з конкурентною галузевою групою, розробку банківських продуктів для різних галузевих груп (див. рис.2.6).</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noProof/>
          <w:sz w:val="28"/>
          <w:szCs w:val="28"/>
        </w:rPr>
        <w:drawing>
          <wp:inline distT="0" distB="0" distL="0" distR="0" wp14:anchorId="1810429F" wp14:editId="42D8813D">
            <wp:extent cx="5798185" cy="2331085"/>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Рис.2.6 Структура кредитного портфеля ПАТ «МІБ» по галузям економіки станом на 01.01.2010р.</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Якщо розглянути структуру кредитного портфелю ПАТ «МІБ», то можна зробити наступний висновок: перше місце посідає харчове виробництво, друге - лізинг, третє – машинобудування.</w:t>
      </w:r>
      <w:r w:rsidRPr="00333D50">
        <w:rPr>
          <w:rFonts w:ascii="Times New Roman" w:hAnsi="Times New Roman" w:cs="Times New Roman"/>
          <w:sz w:val="28"/>
          <w:szCs w:val="28"/>
          <w:lang w:val="ru-RU"/>
        </w:rPr>
        <w:t>[118]</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pacing w:val="-1"/>
          <w:sz w:val="28"/>
          <w:szCs w:val="28"/>
        </w:rPr>
      </w:pPr>
      <w:r w:rsidRPr="00B07B79">
        <w:rPr>
          <w:rFonts w:ascii="Times New Roman" w:hAnsi="Times New Roman" w:cs="Times New Roman"/>
          <w:sz w:val="28"/>
          <w:szCs w:val="28"/>
        </w:rPr>
        <w:lastRenderedPageBreak/>
        <w:t xml:space="preserve">Разом зі зростанням філіальної мережі зросла і питома вага кредитів, що надавали філії ПАТ "МІБ" корпоративним клієнтам. Відповідно зросла </w:t>
      </w:r>
      <w:r w:rsidRPr="00B07B79">
        <w:rPr>
          <w:rFonts w:ascii="Times New Roman" w:hAnsi="Times New Roman" w:cs="Times New Roman"/>
          <w:spacing w:val="-1"/>
          <w:sz w:val="28"/>
          <w:szCs w:val="28"/>
        </w:rPr>
        <w:t>регіональна диверсифікація кредитування.</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Залучення депозитів фізичних осіб є одним із важливих джерел формування ресурсної бази Банку.</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Приймання вкладів від фізичних осіб протягом 2009 року здійснювалося Банком на строки від 1 місяця і більше, з виплатою процентів щомісячно (у т.ч. з їх капіталізацією) або в кінці строку. Лінія депозитних продуктів Банку для фізичних осіб є достатньо широкою.</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Банку діє програма залучення вільних коштів фізичних осіб на депозит з видачею ощадного (депозитного) сертифікату на пред’явника.</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Залишок коштів на строкових депозитах на 1 січня 2010 року складає 128,7 млн. грн., в тому числі короткострокові – 73,5 млн. грн., довгострокові – 55,2 млн. грн. (див. рис.2.7).</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noProof/>
          <w:sz w:val="28"/>
          <w:szCs w:val="28"/>
        </w:rPr>
        <w:drawing>
          <wp:inline distT="0" distB="0" distL="0" distR="0" wp14:anchorId="06E2D2D6" wp14:editId="46BF0EC5">
            <wp:extent cx="3526790" cy="1466850"/>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Рис 2.7 Розподіл депозитів фізичних осіб за строками станом на 01.01.2010</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ПАТ «Міжнародний </w:t>
      </w:r>
      <w:proofErr w:type="spellStart"/>
      <w:r w:rsidRPr="00B07B79">
        <w:rPr>
          <w:rFonts w:ascii="Times New Roman" w:hAnsi="Times New Roman" w:cs="Times New Roman"/>
          <w:sz w:val="28"/>
          <w:szCs w:val="28"/>
        </w:rPr>
        <w:t>Iнвестиційний</w:t>
      </w:r>
      <w:proofErr w:type="spellEnd"/>
      <w:r w:rsidRPr="00B07B79">
        <w:rPr>
          <w:rFonts w:ascii="Times New Roman" w:hAnsi="Times New Roman" w:cs="Times New Roman"/>
          <w:sz w:val="28"/>
          <w:szCs w:val="28"/>
        </w:rPr>
        <w:t xml:space="preserve"> Банк» є учасником Фонду гарантування вкладів фізичних осіб. Розмір гарантованої суми відшкодування по вкладах, включаючи проценти, складає 150 тис. грн.</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2009 році Банк розвивав напрямок кредитування фізичних осіб. Станом на 01.01.2010 р. обсяг кредитів, наданих Банком фізичним особам, становив 17 млн. грн.</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Протягом 2009 року для збільшення обсягів кредитування фізичних осіб неодноразово переглядалися та оптимізувалися умови кредитування, змінювалися підходи та кредитні процедури.</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 перспективі подальшого розвитку Банком планується посилення кредитної підтримки клієнтів – фізичних осіб, розширення переліку кредитних продуктів, впровадження нових форм кредитування для цієї групи клієнтів.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ПАТ «МІБ» приділяє особливу увагу розвитку кредитування малого та середнього бізнесу. Цей напрямок кредитування спрямований на спрощений доступ суб'єктів малого підприємництва до кредитних ресурсів.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Одним з пріоритетних напрямків діяльності Банку в 2009 році був </w:t>
      </w:r>
      <w:r w:rsidRPr="00B07B79">
        <w:rPr>
          <w:rFonts w:ascii="Times New Roman" w:hAnsi="Times New Roman" w:cs="Times New Roman"/>
          <w:spacing w:val="-1"/>
          <w:sz w:val="28"/>
          <w:szCs w:val="28"/>
        </w:rPr>
        <w:t xml:space="preserve">розвиток партнерських довгострокових відносин із корпоративними клієнтами. </w:t>
      </w:r>
      <w:r w:rsidRPr="00B07B79">
        <w:rPr>
          <w:rFonts w:ascii="Times New Roman" w:hAnsi="Times New Roman" w:cs="Times New Roman"/>
          <w:sz w:val="28"/>
          <w:szCs w:val="28"/>
        </w:rPr>
        <w:t xml:space="preserve">Розвиток корпоративного бізнесу насамперед був спрямований на створення якісної клієнтської бази та </w:t>
      </w:r>
      <w:proofErr w:type="spellStart"/>
      <w:r w:rsidRPr="00B07B79">
        <w:rPr>
          <w:rFonts w:ascii="Times New Roman" w:hAnsi="Times New Roman" w:cs="Times New Roman"/>
          <w:sz w:val="28"/>
          <w:szCs w:val="28"/>
        </w:rPr>
        <w:t>грунтувався</w:t>
      </w:r>
      <w:proofErr w:type="spellEnd"/>
      <w:r w:rsidRPr="00B07B79">
        <w:rPr>
          <w:rFonts w:ascii="Times New Roman" w:hAnsi="Times New Roman" w:cs="Times New Roman"/>
          <w:sz w:val="28"/>
          <w:szCs w:val="28"/>
        </w:rPr>
        <w:t xml:space="preserve"> на дотриманні балансу інтересів Банку та клієнта.</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Особлива увага у 2009 році приділялася побудові таких взаємовідносин з клієнтами, які б давали можливість у межах існуючого продуктового ряду максимально задовольнити всі їх потреби. Така політика Банку була цілком виправданою і сприяла значному зростанню кількості нових корпоративних клієнтів, які сприяли зростанню кредитного портфелю до 305,148 </w:t>
      </w:r>
      <w:proofErr w:type="spellStart"/>
      <w:r w:rsidRPr="00B07B79">
        <w:rPr>
          <w:rFonts w:ascii="Times New Roman" w:hAnsi="Times New Roman" w:cs="Times New Roman"/>
          <w:sz w:val="28"/>
          <w:szCs w:val="28"/>
        </w:rPr>
        <w:t>млн.грн</w:t>
      </w:r>
      <w:proofErr w:type="spellEnd"/>
      <w:r w:rsidRPr="00B07B79">
        <w:rPr>
          <w:rFonts w:ascii="Times New Roman" w:hAnsi="Times New Roman" w:cs="Times New Roman"/>
          <w:sz w:val="28"/>
          <w:szCs w:val="28"/>
        </w:rPr>
        <w:t>.</w:t>
      </w:r>
    </w:p>
    <w:p w:rsidR="00406315" w:rsidRP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Активне </w:t>
      </w:r>
      <w:r w:rsidRPr="00B07B79">
        <w:rPr>
          <w:rFonts w:ascii="Times New Roman" w:hAnsi="Times New Roman" w:cs="Times New Roman"/>
          <w:spacing w:val="-1"/>
          <w:sz w:val="28"/>
          <w:szCs w:val="28"/>
        </w:rPr>
        <w:t xml:space="preserve">зростання кількості клієнтів ПАТ "МІБ" в умовах збільшення конкуренції на </w:t>
      </w:r>
      <w:r w:rsidRPr="00B07B79">
        <w:rPr>
          <w:rFonts w:ascii="Times New Roman" w:hAnsi="Times New Roman" w:cs="Times New Roman"/>
          <w:sz w:val="28"/>
          <w:szCs w:val="28"/>
        </w:rPr>
        <w:t>ринку банківських послуг є свідоцтвом високої репутації Банку в ділових колах і серед клієнтів. Клієнтська база юридичних осіб Банку мала широку галузеву структуру.</w:t>
      </w:r>
      <w:r w:rsidRPr="00406315">
        <w:rPr>
          <w:rFonts w:ascii="Times New Roman" w:hAnsi="Times New Roman" w:cs="Times New Roman"/>
          <w:sz w:val="28"/>
          <w:szCs w:val="28"/>
        </w:rPr>
        <w:t>[119]</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Позитивні зміни, що відбулися в економіці України, потребували більш активного розвитку програм та збільшення обсягів кредитування корпоративних клієнтів, а отже й відповідного зростання кредитного портфеля Банку.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Банк "МІБ" кредитував у звітному році такі основні галузі економіки, як виробництво, сфера послуг, машинобудування, </w:t>
      </w:r>
      <w:proofErr w:type="spellStart"/>
      <w:r w:rsidRPr="00B07B79">
        <w:rPr>
          <w:rFonts w:ascii="Times New Roman" w:hAnsi="Times New Roman" w:cs="Times New Roman"/>
          <w:sz w:val="28"/>
          <w:szCs w:val="28"/>
        </w:rPr>
        <w:t>суднобудівництво</w:t>
      </w:r>
      <w:proofErr w:type="spellEnd"/>
      <w:r w:rsidRPr="00B07B79">
        <w:rPr>
          <w:rFonts w:ascii="Times New Roman" w:hAnsi="Times New Roman" w:cs="Times New Roman"/>
          <w:sz w:val="28"/>
          <w:szCs w:val="28"/>
        </w:rPr>
        <w:t xml:space="preserve">, оптова </w:t>
      </w:r>
      <w:r w:rsidRPr="00B07B79">
        <w:rPr>
          <w:rFonts w:ascii="Times New Roman" w:hAnsi="Times New Roman" w:cs="Times New Roman"/>
          <w:sz w:val="28"/>
          <w:szCs w:val="28"/>
        </w:rPr>
        <w:lastRenderedPageBreak/>
        <w:t>торгівля та торгівля ЦП. У 2009 році широкого розповсюдження набула тенденція збільшення кредитування таких галузей економічної діяльності України, як виробництво, будівництво, переробна промисловість (див. Додаток Д).</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На сьогоднішній день малі та середні підприємства є тою категорією клієнтів, яка не тільки домінує в кількості своїх представників, але й являється для Банку цільовою з точки зору налагодження взаємовигідного співробітництва.</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Протягом 2010 року за Програмою було видано кредити на суму близько 317,2 </w:t>
      </w:r>
      <w:proofErr w:type="spellStart"/>
      <w:r w:rsidRPr="00B07B79">
        <w:rPr>
          <w:rFonts w:ascii="Times New Roman" w:hAnsi="Times New Roman" w:cs="Times New Roman"/>
          <w:sz w:val="28"/>
          <w:szCs w:val="28"/>
        </w:rPr>
        <w:t>млн.грн</w:t>
      </w:r>
      <w:proofErr w:type="spellEnd"/>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У </w:t>
      </w:r>
      <w:r w:rsidRPr="00B07B79">
        <w:rPr>
          <w:rFonts w:ascii="Times New Roman" w:hAnsi="Times New Roman" w:cs="Times New Roman"/>
          <w:iCs/>
          <w:sz w:val="28"/>
          <w:szCs w:val="28"/>
        </w:rPr>
        <w:t xml:space="preserve">2010 році Банком було </w:t>
      </w:r>
      <w:r w:rsidRPr="00B07B79">
        <w:rPr>
          <w:rFonts w:ascii="Times New Roman" w:hAnsi="Times New Roman" w:cs="Times New Roman"/>
          <w:sz w:val="28"/>
          <w:szCs w:val="28"/>
        </w:rPr>
        <w:t xml:space="preserve">отримано </w:t>
      </w:r>
      <w:r w:rsidRPr="00B07B79">
        <w:rPr>
          <w:rFonts w:ascii="Times New Roman" w:hAnsi="Times New Roman" w:cs="Times New Roman"/>
          <w:iCs/>
          <w:sz w:val="28"/>
          <w:szCs w:val="28"/>
        </w:rPr>
        <w:t xml:space="preserve">69574 </w:t>
      </w:r>
      <w:proofErr w:type="spellStart"/>
      <w:r w:rsidRPr="00B07B79">
        <w:rPr>
          <w:rFonts w:ascii="Times New Roman" w:hAnsi="Times New Roman" w:cs="Times New Roman"/>
          <w:iCs/>
          <w:sz w:val="28"/>
          <w:szCs w:val="28"/>
        </w:rPr>
        <w:t>тис</w:t>
      </w:r>
      <w:r w:rsidRPr="00B07B79">
        <w:rPr>
          <w:rFonts w:ascii="Times New Roman" w:hAnsi="Times New Roman" w:cs="Times New Roman"/>
          <w:sz w:val="28"/>
          <w:szCs w:val="28"/>
        </w:rPr>
        <w:t>.грн</w:t>
      </w:r>
      <w:proofErr w:type="spellEnd"/>
      <w:r w:rsidRPr="00B07B79">
        <w:rPr>
          <w:rFonts w:ascii="Times New Roman" w:hAnsi="Times New Roman" w:cs="Times New Roman"/>
          <w:sz w:val="28"/>
          <w:szCs w:val="28"/>
        </w:rPr>
        <w:t xml:space="preserve">. у вигляді процентних доходів та 3120 </w:t>
      </w:r>
      <w:proofErr w:type="spellStart"/>
      <w:r w:rsidRPr="00B07B79">
        <w:rPr>
          <w:rFonts w:ascii="Times New Roman" w:hAnsi="Times New Roman" w:cs="Times New Roman"/>
          <w:sz w:val="28"/>
          <w:szCs w:val="28"/>
        </w:rPr>
        <w:t>тис.грн</w:t>
      </w:r>
      <w:proofErr w:type="spellEnd"/>
      <w:r w:rsidRPr="00B07B79">
        <w:rPr>
          <w:rFonts w:ascii="Times New Roman" w:hAnsi="Times New Roman" w:cs="Times New Roman"/>
          <w:sz w:val="28"/>
          <w:szCs w:val="28"/>
        </w:rPr>
        <w:t>. комісійних витрат від коштів, залучених від ЄБРР та НУФ для розвитку програм фінансування малого та середнього бізнесу (див. Додаток Г).</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RPr="00333D50" w:rsidSect="00E37001">
          <w:type w:val="continuous"/>
          <w:pgSz w:w="11909" w:h="16834" w:code="9"/>
          <w:pgMar w:top="1134" w:right="850" w:bottom="1134" w:left="1701" w:header="720" w:footer="720" w:gutter="0"/>
          <w:cols w:space="60"/>
          <w:noEndnote/>
        </w:sectPr>
      </w:pPr>
      <w:r w:rsidRPr="00B07B79">
        <w:rPr>
          <w:rFonts w:ascii="Times New Roman" w:hAnsi="Times New Roman" w:cs="Times New Roman"/>
          <w:sz w:val="28"/>
          <w:szCs w:val="28"/>
        </w:rPr>
        <w:t>В діяльності ПАТ</w:t>
      </w:r>
      <w:r w:rsidRPr="00B07B79">
        <w:rPr>
          <w:rFonts w:ascii="Times New Roman" w:hAnsi="Times New Roman" w:cs="Times New Roman"/>
          <w:sz w:val="28"/>
          <w:szCs w:val="28"/>
        </w:rPr>
        <w:tab/>
        <w:t xml:space="preserve"> "МІБ" спостерігаються позитивні тенденції зростання основних фінансових показників, що свідчить по можливість виходу Банку в майбутньому на</w:t>
      </w:r>
      <w:r>
        <w:rPr>
          <w:rFonts w:ascii="Times New Roman" w:hAnsi="Times New Roman" w:cs="Times New Roman"/>
          <w:sz w:val="28"/>
          <w:szCs w:val="28"/>
        </w:rPr>
        <w:t xml:space="preserve"> європейський фінансовий ринок.</w:t>
      </w:r>
      <w:r w:rsidRPr="00333D50">
        <w:rPr>
          <w:rFonts w:ascii="Times New Roman" w:hAnsi="Times New Roman" w:cs="Times New Roman"/>
          <w:sz w:val="28"/>
          <w:szCs w:val="28"/>
          <w:lang w:val="ru-RU"/>
        </w:rPr>
        <w:t>[120]</w:t>
      </w:r>
    </w:p>
    <w:p w:rsidR="00406315" w:rsidRPr="00B07B79" w:rsidRDefault="00406315" w:rsidP="00406315">
      <w:pPr>
        <w:pStyle w:val="2"/>
        <w:jc w:val="center"/>
        <w:rPr>
          <w:rFonts w:ascii="Times New Roman" w:hAnsi="Times New Roman" w:cs="Times New Roman"/>
          <w:b w:val="0"/>
          <w:color w:val="auto"/>
          <w:sz w:val="28"/>
          <w:szCs w:val="28"/>
        </w:rPr>
      </w:pPr>
      <w:bookmarkStart w:id="10" w:name="_Toc293306708"/>
      <w:r w:rsidRPr="00B07B79">
        <w:rPr>
          <w:rFonts w:ascii="Times New Roman" w:hAnsi="Times New Roman" w:cs="Times New Roman"/>
          <w:color w:val="auto"/>
          <w:sz w:val="28"/>
          <w:szCs w:val="28"/>
        </w:rPr>
        <w:lastRenderedPageBreak/>
        <w:t>2.3 Оцінка кредитоспроможності підприємств і установ</w:t>
      </w:r>
      <w:bookmarkEnd w:id="10"/>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 процесі управління кредитними операціями комерційних банків велика </w:t>
      </w:r>
      <w:r w:rsidRPr="00B07B79">
        <w:rPr>
          <w:rFonts w:ascii="Times New Roman" w:hAnsi="Times New Roman" w:cs="Times New Roman"/>
          <w:spacing w:val="-3"/>
          <w:sz w:val="28"/>
          <w:szCs w:val="28"/>
        </w:rPr>
        <w:t xml:space="preserve">увага </w:t>
      </w:r>
      <w:r w:rsidRPr="00B07B79">
        <w:rPr>
          <w:rFonts w:ascii="Times New Roman" w:hAnsi="Times New Roman" w:cs="Times New Roman"/>
          <w:iCs/>
          <w:spacing w:val="-3"/>
          <w:sz w:val="28"/>
          <w:szCs w:val="28"/>
        </w:rPr>
        <w:t>приділяється аналізу кредитоспроможності позичальників.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Головною метою аналізу кредитоспроможності позичальника є визначення </w:t>
      </w:r>
      <w:r w:rsidRPr="00B07B79">
        <w:rPr>
          <w:rFonts w:ascii="Times New Roman" w:hAnsi="Times New Roman" w:cs="Times New Roman"/>
          <w:sz w:val="28"/>
          <w:szCs w:val="28"/>
        </w:rPr>
        <w:t>ризику, який банк може взяти на себе, обсягів капіталу, що перебувають під ризиком, та розробка заходів щодо запобігання або усунення ризику. Всебічна оцінка фінансової стійкості позичальника та врахування можливих ризиків за кредитними операціями дають змогу комерційному банку більш ефективно здійснювати управління кредитними ресурсами та одержувати стабільні прибутки.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Таким чином, кредитоспроможність позичальника — це якісна оцінка позичальника, що дається банком до вирішення питання про можливість та умови кредитування і дозволяє передбачати спроможність позичальника </w:t>
      </w:r>
      <w:r w:rsidRPr="00B07B79">
        <w:rPr>
          <w:rFonts w:ascii="Times New Roman" w:hAnsi="Times New Roman" w:cs="Times New Roman"/>
          <w:sz w:val="28"/>
          <w:szCs w:val="28"/>
        </w:rPr>
        <w:lastRenderedPageBreak/>
        <w:t>повністю та у визначений термін розрахуватися за своїми борговими зобов'язаннями (див. Додаток Ж).</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Організація кредитних відносин банку з клієнтами визначається багатьма факторами, включаючи стратегію і тактику банку, кваліфікацію банківських працівників, розмір статутного та власного капіталу, кредитну політику банку. Крім того ефективність кредитної діяльності комерційного банку безпосередньо залежить від того, наскільки якісно здійснена структуризація процесу банківського кредитування, наскільки чітко визначені завдання етапів цього процесу.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Процес кредитування складається з ряду етапів, кожний з яких окремо забезпечує рішення локального завдання. А разом досягається головна мета позичкових операцій - їх надійність та прибутковість.</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На першому етапі здійснення кредитних операцій в ПАТ "МІБ" відбувається перша бесіда з потенційним клієнтом, якщо його задовольняють умови кредитування і він відповідає вимогам програми кредитування, то від позичальника приймається заявка на кредит і повний пакет документів, які </w:t>
      </w:r>
      <w:r w:rsidRPr="00B07B79">
        <w:rPr>
          <w:rFonts w:ascii="Times New Roman" w:hAnsi="Times New Roman" w:cs="Times New Roman"/>
          <w:spacing w:val="-1"/>
          <w:sz w:val="28"/>
          <w:szCs w:val="28"/>
        </w:rPr>
        <w:t xml:space="preserve">перевірятимуться відповідними службами банку. Наступним кроком є візиту до </w:t>
      </w:r>
      <w:r w:rsidRPr="00B07B79">
        <w:rPr>
          <w:rFonts w:ascii="Times New Roman" w:hAnsi="Times New Roman" w:cs="Times New Roman"/>
          <w:sz w:val="28"/>
          <w:szCs w:val="28"/>
        </w:rPr>
        <w:t xml:space="preserve">потенційного позичальника під час якого працівники кредитного відділу повинні зібрати всю необхідну інформацію для оцінки платоспроможності </w:t>
      </w:r>
      <w:r w:rsidRPr="00B07B79">
        <w:rPr>
          <w:rFonts w:ascii="Times New Roman" w:hAnsi="Times New Roman" w:cs="Times New Roman"/>
          <w:spacing w:val="-1"/>
          <w:sz w:val="28"/>
          <w:szCs w:val="28"/>
        </w:rPr>
        <w:t xml:space="preserve">клієнта та застави, що пропонується для забезпечення кредиту (наданої гарантії </w:t>
      </w:r>
      <w:r w:rsidRPr="00B07B79">
        <w:rPr>
          <w:rFonts w:ascii="Times New Roman" w:hAnsi="Times New Roman" w:cs="Times New Roman"/>
          <w:sz w:val="28"/>
          <w:szCs w:val="28"/>
        </w:rPr>
        <w:t>тощо) перед наступним етапом.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Одним з головних етапів в процесі кредитування виступає аналіз платоспроможності клієнта. Даний етап пов'язаний з обробкою, систематизацією й аналізом отриманої кредитним працівником первинної інформації.</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Кінцевим результатом роботи на даному етапі є формування пакета пропозицій щодо можливості кредитування Клієнта і параметрів пропонованого кредиту для Кредитної Комісії (Кредитного Комітету) з у</w:t>
      </w:r>
      <w:r w:rsidRPr="00B07B79">
        <w:rPr>
          <w:rFonts w:ascii="Times New Roman" w:hAnsi="Times New Roman" w:cs="Times New Roman"/>
          <w:spacing w:val="-1"/>
          <w:sz w:val="28"/>
          <w:szCs w:val="28"/>
        </w:rPr>
        <w:t>рахуванням можливих зауважень юридичної служби і служби безпеки.</w:t>
      </w:r>
      <w:r w:rsidRPr="00333D50">
        <w:rPr>
          <w:rFonts w:ascii="Times New Roman" w:hAnsi="Times New Roman" w:cs="Times New Roman"/>
          <w:spacing w:val="-1"/>
          <w:sz w:val="28"/>
          <w:szCs w:val="28"/>
        </w:rPr>
        <w:t>[121]</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З метою мінімізації витрат часу Клієнта і кредитного працівника стандартний етап фінансово-економічного аналізу містить такі елементи, що мають здійснюватися паралельно:</w:t>
      </w:r>
    </w:p>
    <w:p w:rsidR="00406315" w:rsidRPr="00B07B79" w:rsidRDefault="00406315" w:rsidP="00406315">
      <w:pPr>
        <w:widowControl w:val="0"/>
        <w:numPr>
          <w:ilvl w:val="0"/>
          <w:numId w:val="31"/>
        </w:numPr>
        <w:shd w:val="clear" w:color="auto" w:fill="FFFFFF"/>
        <w:tabs>
          <w:tab w:val="left" w:pos="1061"/>
        </w:tabs>
        <w:autoSpaceDE w:val="0"/>
        <w:autoSpaceDN w:val="0"/>
        <w:adjustRightInd w:val="0"/>
        <w:spacing w:after="0" w:line="360" w:lineRule="auto"/>
        <w:ind w:firstLine="567"/>
        <w:contextualSpacing/>
        <w:jc w:val="both"/>
        <w:rPr>
          <w:rFonts w:ascii="Times New Roman" w:hAnsi="Times New Roman" w:cs="Times New Roman"/>
          <w:spacing w:val="-18"/>
          <w:sz w:val="28"/>
          <w:szCs w:val="28"/>
        </w:rPr>
      </w:pPr>
      <w:r w:rsidRPr="00B07B79">
        <w:rPr>
          <w:rFonts w:ascii="Times New Roman" w:hAnsi="Times New Roman" w:cs="Times New Roman"/>
          <w:sz w:val="28"/>
          <w:szCs w:val="28"/>
        </w:rPr>
        <w:t>кількісний і якісний аналіз діяльності Клієнта, оцінка застави;</w:t>
      </w:r>
    </w:p>
    <w:p w:rsidR="00406315" w:rsidRPr="00B07B79" w:rsidRDefault="00406315" w:rsidP="00406315">
      <w:pPr>
        <w:widowControl w:val="0"/>
        <w:numPr>
          <w:ilvl w:val="0"/>
          <w:numId w:val="31"/>
        </w:numPr>
        <w:shd w:val="clear" w:color="auto" w:fill="FFFFFF"/>
        <w:tabs>
          <w:tab w:val="left" w:pos="1061"/>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z w:val="28"/>
          <w:szCs w:val="28"/>
        </w:rPr>
        <w:t>перевірка документів клієнта працівником юридичної служби;</w:t>
      </w:r>
    </w:p>
    <w:p w:rsidR="00406315" w:rsidRPr="00333D50" w:rsidRDefault="00406315" w:rsidP="00406315">
      <w:pPr>
        <w:widowControl w:val="0"/>
        <w:numPr>
          <w:ilvl w:val="0"/>
          <w:numId w:val="31"/>
        </w:numPr>
        <w:shd w:val="clear" w:color="auto" w:fill="FFFFFF"/>
        <w:tabs>
          <w:tab w:val="left" w:pos="1061"/>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pacing w:val="-1"/>
          <w:sz w:val="28"/>
          <w:szCs w:val="28"/>
        </w:rPr>
        <w:t xml:space="preserve">перевірка документів і репутації Клієнта працівником служби безпеки. </w:t>
      </w:r>
      <w:r w:rsidRPr="00B07B79">
        <w:rPr>
          <w:rFonts w:ascii="Times New Roman" w:hAnsi="Times New Roman" w:cs="Times New Roman"/>
          <w:sz w:val="28"/>
          <w:szCs w:val="28"/>
        </w:rPr>
        <w:t>Кількісний і якісний аналіз діяльності Клієнта виконується кредитним</w:t>
      </w:r>
      <w:r w:rsidRPr="00333D50">
        <w:rPr>
          <w:rFonts w:ascii="Times New Roman" w:hAnsi="Times New Roman" w:cs="Times New Roman"/>
          <w:spacing w:val="-9"/>
          <w:sz w:val="28"/>
          <w:szCs w:val="28"/>
        </w:rPr>
        <w:t xml:space="preserve"> </w:t>
      </w:r>
      <w:r w:rsidRPr="00333D50">
        <w:rPr>
          <w:rFonts w:ascii="Times New Roman" w:hAnsi="Times New Roman" w:cs="Times New Roman"/>
          <w:sz w:val="28"/>
          <w:szCs w:val="28"/>
        </w:rPr>
        <w:t xml:space="preserve">працівником і є основним чинником ухвалення рішення про кредитування. </w:t>
      </w:r>
      <w:r w:rsidRPr="00333D50">
        <w:rPr>
          <w:rFonts w:ascii="Times New Roman" w:hAnsi="Times New Roman" w:cs="Times New Roman"/>
          <w:spacing w:val="-1"/>
          <w:sz w:val="28"/>
          <w:szCs w:val="28"/>
        </w:rPr>
        <w:t xml:space="preserve">Кредитний працівник повинен сформувати повну і максимально чітку уяву про </w:t>
      </w:r>
      <w:r w:rsidRPr="00333D50">
        <w:rPr>
          <w:rFonts w:ascii="Times New Roman" w:hAnsi="Times New Roman" w:cs="Times New Roman"/>
          <w:sz w:val="28"/>
          <w:szCs w:val="28"/>
        </w:rPr>
        <w:t>клієнта використовуючи наступні джерела інформації:</w:t>
      </w:r>
    </w:p>
    <w:p w:rsidR="00406315" w:rsidRPr="00B07B79" w:rsidRDefault="00406315" w:rsidP="00406315">
      <w:pPr>
        <w:widowControl w:val="0"/>
        <w:numPr>
          <w:ilvl w:val="0"/>
          <w:numId w:val="32"/>
        </w:numPr>
        <w:shd w:val="clear" w:color="auto" w:fill="FFFFFF"/>
        <w:tabs>
          <w:tab w:val="left" w:pos="86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дані бухгалтерського й аналітичного обліку Клієнта;</w:t>
      </w:r>
    </w:p>
    <w:p w:rsidR="00406315" w:rsidRPr="00B07B79" w:rsidRDefault="00406315" w:rsidP="00406315">
      <w:pPr>
        <w:widowControl w:val="0"/>
        <w:numPr>
          <w:ilvl w:val="0"/>
          <w:numId w:val="32"/>
        </w:numPr>
        <w:shd w:val="clear" w:color="auto" w:fill="FFFFFF"/>
        <w:tabs>
          <w:tab w:val="left" w:pos="86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дані відвідування Клієнта;</w:t>
      </w:r>
    </w:p>
    <w:p w:rsidR="00406315" w:rsidRPr="00B07B79" w:rsidRDefault="00406315" w:rsidP="00406315">
      <w:pPr>
        <w:widowControl w:val="0"/>
        <w:numPr>
          <w:ilvl w:val="0"/>
          <w:numId w:val="32"/>
        </w:numPr>
        <w:shd w:val="clear" w:color="auto" w:fill="FFFFFF"/>
        <w:tabs>
          <w:tab w:val="left" w:pos="86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особистий досвід, а також досвід колег;</w:t>
      </w:r>
    </w:p>
    <w:p w:rsidR="00406315" w:rsidRPr="00B07B79" w:rsidRDefault="00406315" w:rsidP="00406315">
      <w:pPr>
        <w:widowControl w:val="0"/>
        <w:numPr>
          <w:ilvl w:val="0"/>
          <w:numId w:val="32"/>
        </w:numPr>
        <w:shd w:val="clear" w:color="auto" w:fill="FFFFFF"/>
        <w:tabs>
          <w:tab w:val="left" w:pos="86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дані засобів масової інформації і Internet про загальну ситуацію на </w:t>
      </w:r>
      <w:r w:rsidRPr="00B07B79">
        <w:rPr>
          <w:rFonts w:ascii="Times New Roman" w:hAnsi="Times New Roman" w:cs="Times New Roman"/>
          <w:sz w:val="28"/>
          <w:szCs w:val="28"/>
        </w:rPr>
        <w:t>операційному ринку Клієнта;</w:t>
      </w:r>
    </w:p>
    <w:p w:rsidR="00406315" w:rsidRPr="00B07B79" w:rsidRDefault="00406315" w:rsidP="00406315">
      <w:pPr>
        <w:shd w:val="clear" w:color="auto" w:fill="FFFFFF"/>
        <w:tabs>
          <w:tab w:val="left" w:pos="878"/>
        </w:tabs>
        <w:spacing w:line="360" w:lineRule="auto"/>
        <w:ind w:firstLine="567"/>
        <w:contextualSpacing/>
        <w:jc w:val="both"/>
        <w:rPr>
          <w:rFonts w:ascii="Times New Roman" w:hAnsi="Times New Roman" w:cs="Times New Roman"/>
          <w:spacing w:val="-2"/>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r>
      <w:r w:rsidRPr="00B07B79">
        <w:rPr>
          <w:rFonts w:ascii="Times New Roman" w:hAnsi="Times New Roman" w:cs="Times New Roman"/>
          <w:spacing w:val="-2"/>
          <w:sz w:val="28"/>
          <w:szCs w:val="28"/>
        </w:rPr>
        <w:t>інші джерела (інформація від конкурентів, знайомих і т.д.).</w:t>
      </w:r>
    </w:p>
    <w:p w:rsidR="00406315" w:rsidRPr="00B07B79" w:rsidRDefault="00406315" w:rsidP="00406315">
      <w:pPr>
        <w:shd w:val="clear" w:color="auto" w:fill="FFFFFF"/>
        <w:tabs>
          <w:tab w:val="left" w:pos="87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Кількісний аналіз включає:</w:t>
      </w:r>
    </w:p>
    <w:p w:rsidR="00406315" w:rsidRPr="00B07B79" w:rsidRDefault="00406315" w:rsidP="00406315">
      <w:pPr>
        <w:shd w:val="clear" w:color="auto" w:fill="FFFFFF"/>
        <w:tabs>
          <w:tab w:val="left" w:pos="87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аналіз звіту про доходи і витрати клієнта з</w:t>
      </w:r>
      <w:r>
        <w:rPr>
          <w:rFonts w:ascii="Times New Roman" w:hAnsi="Times New Roman" w:cs="Times New Roman"/>
          <w:sz w:val="28"/>
          <w:szCs w:val="28"/>
        </w:rPr>
        <w:t>а три останні місяці (на розсуд</w:t>
      </w:r>
      <w:r w:rsidRPr="00406315">
        <w:rPr>
          <w:rFonts w:ascii="Times New Roman" w:hAnsi="Times New Roman" w:cs="Times New Roman"/>
          <w:sz w:val="28"/>
          <w:szCs w:val="28"/>
        </w:rPr>
        <w:t xml:space="preserve"> </w:t>
      </w:r>
      <w:r w:rsidRPr="00B07B79">
        <w:rPr>
          <w:rFonts w:ascii="Times New Roman" w:hAnsi="Times New Roman" w:cs="Times New Roman"/>
          <w:sz w:val="28"/>
          <w:szCs w:val="28"/>
        </w:rPr>
        <w:t xml:space="preserve">кредитного працівника або Кредитної Комісії період аналізу може бути </w:t>
      </w:r>
      <w:r w:rsidRPr="00B07B79">
        <w:rPr>
          <w:rFonts w:ascii="Times New Roman" w:hAnsi="Times New Roman" w:cs="Times New Roman"/>
          <w:spacing w:val="-1"/>
          <w:sz w:val="28"/>
          <w:szCs w:val="28"/>
        </w:rPr>
        <w:t>подовжено/зменшено). У випадку яскраво вираженої</w:t>
      </w:r>
      <w:r>
        <w:rPr>
          <w:rFonts w:ascii="Times New Roman" w:hAnsi="Times New Roman" w:cs="Times New Roman"/>
          <w:spacing w:val="-1"/>
          <w:sz w:val="28"/>
          <w:szCs w:val="28"/>
        </w:rPr>
        <w:t xml:space="preserve"> схильності бізнесу клієнта</w:t>
      </w:r>
      <w:r w:rsidRPr="00333D50">
        <w:rPr>
          <w:rFonts w:ascii="Times New Roman" w:hAnsi="Times New Roman" w:cs="Times New Roman"/>
          <w:spacing w:val="-1"/>
          <w:sz w:val="28"/>
          <w:szCs w:val="28"/>
          <w:lang w:val="ru-RU"/>
        </w:rPr>
        <w:t xml:space="preserve"> </w:t>
      </w:r>
      <w:r w:rsidRPr="00B07B79">
        <w:rPr>
          <w:rFonts w:ascii="Times New Roman" w:hAnsi="Times New Roman" w:cs="Times New Roman"/>
          <w:sz w:val="28"/>
          <w:szCs w:val="28"/>
        </w:rPr>
        <w:t>до сезонних коливань, кредитний працівник повинен максимально повно відобразити в висновку можливі зміни статей елементів доходів і витрат у розрізі конкретних сезонів;</w:t>
      </w:r>
    </w:p>
    <w:p w:rsidR="00406315" w:rsidRPr="00B07B79" w:rsidRDefault="00406315" w:rsidP="00406315">
      <w:pPr>
        <w:widowControl w:val="0"/>
        <w:numPr>
          <w:ilvl w:val="0"/>
          <w:numId w:val="33"/>
        </w:numPr>
        <w:shd w:val="clear" w:color="auto" w:fill="FFFFFF"/>
        <w:tabs>
          <w:tab w:val="left" w:pos="75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аналіз балансу Клієнта на дату відвідування або на перше число поточного місяця;</w:t>
      </w:r>
    </w:p>
    <w:p w:rsidR="00406315" w:rsidRPr="00B07B79" w:rsidRDefault="00406315" w:rsidP="00406315">
      <w:pPr>
        <w:widowControl w:val="0"/>
        <w:numPr>
          <w:ilvl w:val="0"/>
          <w:numId w:val="33"/>
        </w:numPr>
        <w:shd w:val="clear" w:color="auto" w:fill="FFFFFF"/>
        <w:tabs>
          <w:tab w:val="left" w:pos="75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розрахунок і аналіз фінансових коефіцієнтів на підставі балансових і динамічних показників згідно з внутрішніми Положеннями банку, що регулюють порядок оцінки фінансового стану позичальника.</w:t>
      </w:r>
      <w:r w:rsidRPr="00333D50">
        <w:rPr>
          <w:rFonts w:ascii="Times New Roman" w:hAnsi="Times New Roman" w:cs="Times New Roman"/>
          <w:sz w:val="28"/>
          <w:szCs w:val="28"/>
        </w:rPr>
        <w:t>[122]</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Баланс, а також основні фінансові коефіцієнти демонструють загальний стан бізнесу, відповідність структури балансу здійснюваній діяльності і меті передбачуваного кредиту. Отримані значення фінансових коефіцієнтів порівнюються з нормативними.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Прогноз руху грошових коштів кредитний працівник складає на власний розсуд, якщо немає додаткової вказівки від керівника кредитної служби. Як правило, зазначений звіт складається в наступних випадках:</w:t>
      </w:r>
    </w:p>
    <w:p w:rsidR="00406315" w:rsidRPr="00B07B79" w:rsidRDefault="00406315" w:rsidP="00406315">
      <w:pPr>
        <w:widowControl w:val="0"/>
        <w:numPr>
          <w:ilvl w:val="0"/>
          <w:numId w:val="34"/>
        </w:numPr>
        <w:shd w:val="clear" w:color="auto" w:fill="FFFFFF"/>
        <w:tabs>
          <w:tab w:val="left" w:pos="1080"/>
        </w:tabs>
        <w:autoSpaceDE w:val="0"/>
        <w:autoSpaceDN w:val="0"/>
        <w:adjustRightInd w:val="0"/>
        <w:spacing w:after="0" w:line="360" w:lineRule="auto"/>
        <w:ind w:firstLine="567"/>
        <w:contextualSpacing/>
        <w:jc w:val="both"/>
        <w:rPr>
          <w:rFonts w:ascii="Times New Roman" w:hAnsi="Times New Roman" w:cs="Times New Roman"/>
          <w:spacing w:val="-21"/>
          <w:sz w:val="28"/>
          <w:szCs w:val="28"/>
        </w:rPr>
      </w:pPr>
      <w:r w:rsidRPr="00B07B79">
        <w:rPr>
          <w:rFonts w:ascii="Times New Roman" w:hAnsi="Times New Roman" w:cs="Times New Roman"/>
          <w:sz w:val="28"/>
          <w:szCs w:val="28"/>
        </w:rPr>
        <w:t>фінансування за рахунок кредитних коштів нового для клієнта виду бізнесу;</w:t>
      </w:r>
    </w:p>
    <w:p w:rsidR="00406315" w:rsidRPr="00B07B79" w:rsidRDefault="00406315" w:rsidP="00406315">
      <w:pPr>
        <w:widowControl w:val="0"/>
        <w:numPr>
          <w:ilvl w:val="0"/>
          <w:numId w:val="34"/>
        </w:numPr>
        <w:shd w:val="clear" w:color="auto" w:fill="FFFFFF"/>
        <w:tabs>
          <w:tab w:val="left" w:pos="1080"/>
        </w:tabs>
        <w:autoSpaceDE w:val="0"/>
        <w:autoSpaceDN w:val="0"/>
        <w:adjustRightInd w:val="0"/>
        <w:spacing w:after="0" w:line="360" w:lineRule="auto"/>
        <w:ind w:firstLine="567"/>
        <w:contextualSpacing/>
        <w:jc w:val="both"/>
        <w:rPr>
          <w:rFonts w:ascii="Times New Roman" w:hAnsi="Times New Roman" w:cs="Times New Roman"/>
          <w:spacing w:val="-8"/>
          <w:sz w:val="28"/>
          <w:szCs w:val="28"/>
        </w:rPr>
      </w:pPr>
      <w:r w:rsidRPr="00B07B79">
        <w:rPr>
          <w:rFonts w:ascii="Times New Roman" w:hAnsi="Times New Roman" w:cs="Times New Roman"/>
          <w:sz w:val="28"/>
          <w:szCs w:val="28"/>
        </w:rPr>
        <w:t>кредитування виробничого підприємства;</w:t>
      </w:r>
    </w:p>
    <w:p w:rsidR="00406315" w:rsidRPr="00B07B79" w:rsidRDefault="00406315" w:rsidP="00406315">
      <w:pPr>
        <w:widowControl w:val="0"/>
        <w:numPr>
          <w:ilvl w:val="0"/>
          <w:numId w:val="34"/>
        </w:numPr>
        <w:shd w:val="clear" w:color="auto" w:fill="FFFFFF"/>
        <w:tabs>
          <w:tab w:val="left" w:pos="1080"/>
        </w:tabs>
        <w:autoSpaceDE w:val="0"/>
        <w:autoSpaceDN w:val="0"/>
        <w:adjustRightInd w:val="0"/>
        <w:spacing w:after="0" w:line="360" w:lineRule="auto"/>
        <w:ind w:firstLine="567"/>
        <w:contextualSpacing/>
        <w:jc w:val="both"/>
        <w:rPr>
          <w:rFonts w:ascii="Times New Roman" w:hAnsi="Times New Roman" w:cs="Times New Roman"/>
          <w:spacing w:val="-8"/>
          <w:sz w:val="28"/>
          <w:szCs w:val="28"/>
        </w:rPr>
      </w:pPr>
      <w:r w:rsidRPr="00B07B79">
        <w:rPr>
          <w:rFonts w:ascii="Times New Roman" w:hAnsi="Times New Roman" w:cs="Times New Roman"/>
          <w:sz w:val="28"/>
          <w:szCs w:val="28"/>
        </w:rPr>
        <w:t>фінансування недавно створеного підприємства;</w:t>
      </w:r>
    </w:p>
    <w:p w:rsidR="00406315" w:rsidRPr="00B07B79" w:rsidRDefault="00406315" w:rsidP="00406315">
      <w:pPr>
        <w:widowControl w:val="0"/>
        <w:numPr>
          <w:ilvl w:val="0"/>
          <w:numId w:val="34"/>
        </w:numPr>
        <w:shd w:val="clear" w:color="auto" w:fill="FFFFFF"/>
        <w:tabs>
          <w:tab w:val="left" w:pos="1080"/>
        </w:tabs>
        <w:autoSpaceDE w:val="0"/>
        <w:autoSpaceDN w:val="0"/>
        <w:adjustRightInd w:val="0"/>
        <w:spacing w:after="0" w:line="360" w:lineRule="auto"/>
        <w:ind w:firstLine="567"/>
        <w:contextualSpacing/>
        <w:jc w:val="both"/>
        <w:rPr>
          <w:rFonts w:ascii="Times New Roman" w:hAnsi="Times New Roman" w:cs="Times New Roman"/>
          <w:spacing w:val="-6"/>
          <w:sz w:val="28"/>
          <w:szCs w:val="28"/>
        </w:rPr>
      </w:pPr>
      <w:r w:rsidRPr="00B07B79">
        <w:rPr>
          <w:rFonts w:ascii="Times New Roman" w:hAnsi="Times New Roman" w:cs="Times New Roman"/>
          <w:sz w:val="28"/>
          <w:szCs w:val="28"/>
        </w:rPr>
        <w:t>яскраво виражена сезонність у діяльності підприємства;</w:t>
      </w:r>
    </w:p>
    <w:p w:rsidR="00406315" w:rsidRPr="00B07B79" w:rsidRDefault="00406315" w:rsidP="00406315">
      <w:pPr>
        <w:widowControl w:val="0"/>
        <w:numPr>
          <w:ilvl w:val="0"/>
          <w:numId w:val="34"/>
        </w:numPr>
        <w:shd w:val="clear" w:color="auto" w:fill="FFFFFF"/>
        <w:tabs>
          <w:tab w:val="left" w:pos="1080"/>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z w:val="28"/>
          <w:szCs w:val="28"/>
        </w:rPr>
        <w:t>будь-які інші випадки, коли очікувані зміни на ринку можуть серйозно вплинути на платоспроможність клієнта тощо.</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 xml:space="preserve">Якісні критерії включають рівень менеджменту та ринкові фактори. </w:t>
      </w:r>
      <w:r w:rsidRPr="00B07B79">
        <w:rPr>
          <w:rFonts w:ascii="Times New Roman" w:hAnsi="Times New Roman" w:cs="Times New Roman"/>
          <w:sz w:val="28"/>
          <w:szCs w:val="28"/>
        </w:rPr>
        <w:t>Рівень менеджменту охоплює наступні аспекти:</w:t>
      </w:r>
    </w:p>
    <w:p w:rsidR="00406315" w:rsidRPr="00B07B79" w:rsidRDefault="00406315" w:rsidP="00406315">
      <w:pPr>
        <w:shd w:val="clear" w:color="auto" w:fill="FFFFFF"/>
        <w:tabs>
          <w:tab w:val="left" w:pos="75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професійний досвід менеджерів і/або власників (стаж роботи на посаді менеджера або термін перебування як власника, вік, характер, досвід роботи в бізнесі);</w:t>
      </w:r>
    </w:p>
    <w:p w:rsidR="00406315" w:rsidRPr="00B07B79" w:rsidRDefault="00406315" w:rsidP="00406315">
      <w:pPr>
        <w:shd w:val="clear" w:color="auto" w:fill="FFFFFF"/>
        <w:tabs>
          <w:tab w:val="left" w:pos="710"/>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ступінь довіри до клієнта містить у собі ві</w:t>
      </w:r>
      <w:r>
        <w:rPr>
          <w:rFonts w:ascii="Times New Roman" w:hAnsi="Times New Roman" w:cs="Times New Roman"/>
          <w:sz w:val="28"/>
          <w:szCs w:val="28"/>
        </w:rPr>
        <w:t>дкритість, чесність, готовність</w:t>
      </w:r>
      <w:r w:rsidRPr="00333D50">
        <w:rPr>
          <w:rFonts w:ascii="Times New Roman" w:hAnsi="Times New Roman" w:cs="Times New Roman"/>
          <w:sz w:val="28"/>
          <w:szCs w:val="28"/>
          <w:lang w:val="ru-RU"/>
        </w:rPr>
        <w:t xml:space="preserve"> </w:t>
      </w:r>
      <w:r w:rsidRPr="00B07B79">
        <w:rPr>
          <w:rFonts w:ascii="Times New Roman" w:hAnsi="Times New Roman" w:cs="Times New Roman"/>
          <w:sz w:val="28"/>
          <w:szCs w:val="28"/>
        </w:rPr>
        <w:t>клієнта надати фактичну інформацію;</w:t>
      </w:r>
    </w:p>
    <w:p w:rsidR="00406315" w:rsidRPr="00B07B79" w:rsidRDefault="00406315" w:rsidP="00406315">
      <w:pPr>
        <w:shd w:val="clear" w:color="auto" w:fill="FFFFFF"/>
        <w:tabs>
          <w:tab w:val="left" w:pos="69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r>
      <w:r w:rsidRPr="00B07B79">
        <w:rPr>
          <w:rFonts w:ascii="Times New Roman" w:hAnsi="Times New Roman" w:cs="Times New Roman"/>
          <w:spacing w:val="-2"/>
          <w:sz w:val="28"/>
          <w:szCs w:val="28"/>
        </w:rPr>
        <w:t>кредитна історія включає попередній досвід роботи з кредитами.</w:t>
      </w:r>
      <w:r w:rsidRPr="00B07B79">
        <w:rPr>
          <w:rFonts w:ascii="Times New Roman" w:hAnsi="Times New Roman" w:cs="Times New Roman"/>
          <w:spacing w:val="-2"/>
          <w:sz w:val="28"/>
          <w:szCs w:val="28"/>
        </w:rPr>
        <w:br/>
      </w:r>
      <w:r w:rsidRPr="00B07B79">
        <w:rPr>
          <w:rFonts w:ascii="Times New Roman" w:hAnsi="Times New Roman" w:cs="Times New Roman"/>
          <w:sz w:val="28"/>
          <w:szCs w:val="28"/>
        </w:rPr>
        <w:t>Ринкові фактори включають:</w:t>
      </w:r>
    </w:p>
    <w:p w:rsidR="00406315" w:rsidRPr="00B07B79" w:rsidRDefault="00406315" w:rsidP="00406315">
      <w:pPr>
        <w:shd w:val="clear" w:color="auto" w:fill="FFFFFF"/>
        <w:tabs>
          <w:tab w:val="left" w:pos="77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привабливість продукту (ціна, якість, асортимент і імідж вироблених</w:t>
      </w:r>
      <w:r w:rsidRPr="00B07B79">
        <w:rPr>
          <w:rFonts w:ascii="Times New Roman" w:hAnsi="Times New Roman" w:cs="Times New Roman"/>
          <w:sz w:val="28"/>
          <w:szCs w:val="28"/>
        </w:rPr>
        <w:br/>
        <w:t>клієнтом товарів та послуг);</w:t>
      </w:r>
    </w:p>
    <w:p w:rsidR="00406315" w:rsidRPr="00B07B79" w:rsidRDefault="00406315" w:rsidP="00406315">
      <w:pPr>
        <w:shd w:val="clear" w:color="auto" w:fill="FFFFFF"/>
        <w:tabs>
          <w:tab w:val="left" w:pos="87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фактори виробництва (кваліфікація працівників, стан виробничих</w:t>
      </w:r>
      <w:r w:rsidRPr="00B07B79">
        <w:rPr>
          <w:rFonts w:ascii="Times New Roman" w:hAnsi="Times New Roman" w:cs="Times New Roman"/>
          <w:sz w:val="28"/>
          <w:szCs w:val="28"/>
        </w:rPr>
        <w:br/>
        <w:t>приміщень і устаткування, наявність комунікацій, місце розташування);</w:t>
      </w:r>
    </w:p>
    <w:p w:rsidR="00406315" w:rsidRPr="00B07B79" w:rsidRDefault="00406315" w:rsidP="00406315">
      <w:pPr>
        <w:widowControl w:val="0"/>
        <w:numPr>
          <w:ilvl w:val="0"/>
          <w:numId w:val="35"/>
        </w:numPr>
        <w:shd w:val="clear" w:color="auto" w:fill="FFFFFF"/>
        <w:tabs>
          <w:tab w:val="left" w:pos="70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структура клієнтської бази;</w:t>
      </w:r>
    </w:p>
    <w:p w:rsidR="00406315" w:rsidRPr="00B07B79" w:rsidRDefault="00406315" w:rsidP="00406315">
      <w:pPr>
        <w:widowControl w:val="0"/>
        <w:numPr>
          <w:ilvl w:val="0"/>
          <w:numId w:val="35"/>
        </w:numPr>
        <w:shd w:val="clear" w:color="auto" w:fill="FFFFFF"/>
        <w:tabs>
          <w:tab w:val="left" w:pos="70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структура постачальників;</w:t>
      </w:r>
    </w:p>
    <w:p w:rsidR="00406315" w:rsidRPr="00B07B79" w:rsidRDefault="00406315" w:rsidP="00406315">
      <w:pPr>
        <w:widowControl w:val="0"/>
        <w:numPr>
          <w:ilvl w:val="0"/>
          <w:numId w:val="35"/>
        </w:numPr>
        <w:shd w:val="clear" w:color="auto" w:fill="FFFFFF"/>
        <w:tabs>
          <w:tab w:val="left" w:pos="70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конкуренція;</w:t>
      </w:r>
    </w:p>
    <w:p w:rsidR="00406315" w:rsidRPr="00B07B79" w:rsidRDefault="00406315" w:rsidP="00406315">
      <w:pPr>
        <w:widowControl w:val="0"/>
        <w:numPr>
          <w:ilvl w:val="0"/>
          <w:numId w:val="35"/>
        </w:numPr>
        <w:shd w:val="clear" w:color="auto" w:fill="FFFFFF"/>
        <w:tabs>
          <w:tab w:val="left" w:pos="70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lastRenderedPageBreak/>
        <w:t xml:space="preserve">тривалість ділової активності (схильність до сезонності й інших коливань </w:t>
      </w:r>
      <w:r w:rsidRPr="00B07B79">
        <w:rPr>
          <w:rFonts w:ascii="Times New Roman" w:hAnsi="Times New Roman" w:cs="Times New Roman"/>
          <w:sz w:val="28"/>
          <w:szCs w:val="28"/>
        </w:rPr>
        <w:t>бізнесу).</w:t>
      </w:r>
      <w:r w:rsidRPr="00333D50">
        <w:rPr>
          <w:rFonts w:ascii="Times New Roman" w:hAnsi="Times New Roman" w:cs="Times New Roman"/>
          <w:sz w:val="28"/>
          <w:szCs w:val="28"/>
          <w:lang w:val="ru-RU"/>
        </w:rPr>
        <w:t>[123]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Результати кількісного і якісного аналізу кредитний працівник оформлює у </w:t>
      </w:r>
      <w:r w:rsidRPr="00B07B79">
        <w:rPr>
          <w:rFonts w:ascii="Times New Roman" w:hAnsi="Times New Roman" w:cs="Times New Roman"/>
          <w:sz w:val="28"/>
          <w:szCs w:val="28"/>
        </w:rPr>
        <w:t>письмовий висновок. Оформлення письмового висновку є обов'язковим для нових клієнтів, які не мають кредитної історії.</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 xml:space="preserve">В процесі здійснення кредитних операцій ПАТ "МІБ" керуються наступним принципом: позичальник надає всю інформацію про себе і про свій бізнес, яка дозволяє кредитному експерту прийняти рішення про можливість кредитування. Інформація, надана позичальником носить соціально-економічний характер який дозволяє звести до мінімуму ризики по кредитуванню. На основі підсумків фінансового аналізу, кредитний експерт робить висновки про можливість бізнесу повернути кредит. Аналіз концентрується на грошових потоках, доходах та витратах підприємця та його сім'ї на минулий та теперішній стан. Ефект від кредиту у майбутньому для </w:t>
      </w:r>
      <w:r w:rsidRPr="00B07B79">
        <w:rPr>
          <w:rFonts w:ascii="Times New Roman" w:hAnsi="Times New Roman" w:cs="Times New Roman"/>
          <w:spacing w:val="-1"/>
          <w:sz w:val="28"/>
          <w:szCs w:val="28"/>
        </w:rPr>
        <w:t xml:space="preserve">прийняття рішення не враховується. У випадку коли позичальник використовує </w:t>
      </w:r>
      <w:r w:rsidRPr="00B07B79">
        <w:rPr>
          <w:rFonts w:ascii="Times New Roman" w:hAnsi="Times New Roman" w:cs="Times New Roman"/>
          <w:sz w:val="28"/>
          <w:szCs w:val="28"/>
        </w:rPr>
        <w:t>кредит в інших цілях, чи не отримує заплановані результати від свого проекту, то платоспроможність бізнесу клієнта залишається на аналізованому за попередній період рівні. Такий підхід виступає додатковою гарантією повернення кредиту та зменшення кредитного ризику.</w:t>
      </w:r>
      <w:r w:rsidRPr="00333D50">
        <w:rPr>
          <w:rFonts w:ascii="Times New Roman" w:hAnsi="Times New Roman" w:cs="Times New Roman"/>
          <w:sz w:val="28"/>
          <w:szCs w:val="28"/>
          <w:lang w:val="ru-RU"/>
        </w:rPr>
        <w:t>[124]</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Базуючись на результатах фінансового аналізу, кредитний експерт приймає </w:t>
      </w:r>
      <w:r w:rsidRPr="00B07B79">
        <w:rPr>
          <w:rFonts w:ascii="Times New Roman" w:hAnsi="Times New Roman" w:cs="Times New Roman"/>
          <w:sz w:val="28"/>
          <w:szCs w:val="28"/>
        </w:rPr>
        <w:t xml:space="preserve">тішення про кредитоспроможність бізнесу клієнта та оптимальних умовах для </w:t>
      </w:r>
      <w:r w:rsidRPr="00B07B79">
        <w:rPr>
          <w:rFonts w:ascii="Times New Roman" w:hAnsi="Times New Roman" w:cs="Times New Roman"/>
          <w:spacing w:val="-1"/>
          <w:sz w:val="28"/>
          <w:szCs w:val="28"/>
        </w:rPr>
        <w:t>надання кредиту. У результаті фінансового аналізу складається:</w:t>
      </w:r>
    </w:p>
    <w:p w:rsidR="00406315" w:rsidRPr="00B07B79" w:rsidRDefault="00406315" w:rsidP="00406315">
      <w:pPr>
        <w:widowControl w:val="0"/>
        <w:numPr>
          <w:ilvl w:val="0"/>
          <w:numId w:val="36"/>
        </w:numPr>
        <w:shd w:val="clear" w:color="auto" w:fill="FFFFFF"/>
        <w:tabs>
          <w:tab w:val="left" w:pos="1032"/>
        </w:tabs>
        <w:autoSpaceDE w:val="0"/>
        <w:autoSpaceDN w:val="0"/>
        <w:adjustRightInd w:val="0"/>
        <w:spacing w:after="0" w:line="360" w:lineRule="auto"/>
        <w:ind w:firstLine="567"/>
        <w:contextualSpacing/>
        <w:jc w:val="both"/>
        <w:rPr>
          <w:rFonts w:ascii="Times New Roman" w:hAnsi="Times New Roman" w:cs="Times New Roman"/>
          <w:spacing w:val="-26"/>
          <w:sz w:val="28"/>
          <w:szCs w:val="28"/>
        </w:rPr>
      </w:pPr>
      <w:r w:rsidRPr="00B07B79">
        <w:rPr>
          <w:rFonts w:ascii="Times New Roman" w:hAnsi="Times New Roman" w:cs="Times New Roman"/>
          <w:sz w:val="28"/>
          <w:szCs w:val="28"/>
        </w:rPr>
        <w:t>Баланс (відображає розмір бізнесу клієнта, джерела його фінансування);</w:t>
      </w:r>
    </w:p>
    <w:p w:rsidR="00406315" w:rsidRPr="00B07B79" w:rsidRDefault="00406315" w:rsidP="00406315">
      <w:pPr>
        <w:widowControl w:val="0"/>
        <w:numPr>
          <w:ilvl w:val="0"/>
          <w:numId w:val="36"/>
        </w:numPr>
        <w:shd w:val="clear" w:color="auto" w:fill="FFFFFF"/>
        <w:tabs>
          <w:tab w:val="left" w:pos="1032"/>
        </w:tabs>
        <w:autoSpaceDE w:val="0"/>
        <w:autoSpaceDN w:val="0"/>
        <w:adjustRightInd w:val="0"/>
        <w:spacing w:after="0" w:line="360" w:lineRule="auto"/>
        <w:ind w:firstLine="567"/>
        <w:contextualSpacing/>
        <w:jc w:val="both"/>
        <w:rPr>
          <w:rFonts w:ascii="Times New Roman" w:hAnsi="Times New Roman" w:cs="Times New Roman"/>
          <w:spacing w:val="-15"/>
          <w:sz w:val="28"/>
          <w:szCs w:val="28"/>
        </w:rPr>
      </w:pPr>
      <w:r w:rsidRPr="00B07B79">
        <w:rPr>
          <w:rFonts w:ascii="Times New Roman" w:hAnsi="Times New Roman" w:cs="Times New Roman"/>
          <w:sz w:val="28"/>
          <w:szCs w:val="28"/>
        </w:rPr>
        <w:t>Звіт прибутків та збитків (показує прибутковість бізнесу);</w:t>
      </w:r>
    </w:p>
    <w:p w:rsidR="00406315" w:rsidRPr="00B07B79" w:rsidRDefault="00406315" w:rsidP="00406315">
      <w:pPr>
        <w:shd w:val="clear" w:color="auto" w:fill="FFFFFF"/>
        <w:tabs>
          <w:tab w:val="left" w:pos="1042"/>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4"/>
          <w:sz w:val="28"/>
          <w:szCs w:val="28"/>
        </w:rPr>
        <w:t>3.</w:t>
      </w:r>
      <w:r w:rsidRPr="00B07B79">
        <w:rPr>
          <w:rFonts w:ascii="Times New Roman" w:hAnsi="Times New Roman" w:cs="Times New Roman"/>
          <w:sz w:val="28"/>
          <w:szCs w:val="28"/>
        </w:rPr>
        <w:tab/>
        <w:t>Рух грошових коштів (характеризує ліквідність бізнесу).</w:t>
      </w:r>
      <w:r w:rsidRPr="00B07B79">
        <w:rPr>
          <w:rFonts w:ascii="Times New Roman" w:hAnsi="Times New Roman" w:cs="Times New Roman"/>
          <w:sz w:val="28"/>
          <w:szCs w:val="28"/>
        </w:rPr>
        <w:br/>
        <w:t>Неодмінною характеристикою рівня пла</w:t>
      </w:r>
      <w:r>
        <w:rPr>
          <w:rFonts w:ascii="Times New Roman" w:hAnsi="Times New Roman" w:cs="Times New Roman"/>
          <w:sz w:val="28"/>
          <w:szCs w:val="28"/>
        </w:rPr>
        <w:t>тоспроможності клієнта виступає</w:t>
      </w:r>
      <w:r w:rsidRPr="00333D50">
        <w:rPr>
          <w:rFonts w:ascii="Times New Roman" w:hAnsi="Times New Roman" w:cs="Times New Roman"/>
          <w:sz w:val="28"/>
          <w:szCs w:val="28"/>
        </w:rPr>
        <w:t xml:space="preserve"> </w:t>
      </w:r>
      <w:r w:rsidRPr="00B07B79">
        <w:rPr>
          <w:rFonts w:ascii="Times New Roman" w:hAnsi="Times New Roman" w:cs="Times New Roman"/>
          <w:sz w:val="28"/>
          <w:szCs w:val="28"/>
        </w:rPr>
        <w:t>система показників, оцінюючих його фінансову діяльність.</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При аналізі діяльності позичальників кредитними спеціалістами обчислюються наступні коефіцієнти:</w:t>
      </w:r>
    </w:p>
    <w:p w:rsidR="00406315" w:rsidRPr="00B07B79" w:rsidRDefault="00406315" w:rsidP="00406315">
      <w:pPr>
        <w:shd w:val="clear" w:color="auto" w:fill="FFFFFF"/>
        <w:tabs>
          <w:tab w:val="left" w:pos="81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8"/>
          <w:sz w:val="28"/>
          <w:szCs w:val="28"/>
        </w:rPr>
        <w:lastRenderedPageBreak/>
        <w:t>1)</w:t>
      </w:r>
      <w:r w:rsidRPr="00B07B79">
        <w:rPr>
          <w:rFonts w:ascii="Times New Roman" w:hAnsi="Times New Roman" w:cs="Times New Roman"/>
          <w:sz w:val="28"/>
          <w:szCs w:val="28"/>
        </w:rPr>
        <w:tab/>
        <w:t>Обов'язкові коефіцієнти, визначені положенням НБУ:</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Коефіцієнт загальної ліквідності;</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Коефіцієнт абсолютної ліквідності;</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Доля власного капіталу;</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Коефіцієнт маневреності.</w:t>
      </w:r>
    </w:p>
    <w:p w:rsidR="00406315" w:rsidRPr="00B07B79" w:rsidRDefault="00406315" w:rsidP="00406315">
      <w:pPr>
        <w:shd w:val="clear" w:color="auto" w:fill="FFFFFF"/>
        <w:tabs>
          <w:tab w:val="left" w:pos="816"/>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8"/>
          <w:sz w:val="28"/>
          <w:szCs w:val="28"/>
        </w:rPr>
        <w:t>2)</w:t>
      </w:r>
      <w:r w:rsidRPr="00B07B79">
        <w:rPr>
          <w:rFonts w:ascii="Times New Roman" w:hAnsi="Times New Roman" w:cs="Times New Roman"/>
          <w:sz w:val="28"/>
          <w:szCs w:val="28"/>
        </w:rPr>
        <w:tab/>
        <w:t>Коефіцієнти, визначені внутрішніми положеннями банку:</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Коефіцієнт оборотності оборотного капіталу;</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Коефіцієнт оборотності кредитної заборгованості;</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Коефіцієнт оборотності дебіторської заборгованості;</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Покриття внеску по кредиту вільними засобами;</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Покриття внеску по кредиту грошовим оборотом;</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Співвідношення оборотного капіталу до суми кредиту;</w:t>
      </w:r>
    </w:p>
    <w:p w:rsidR="00406315" w:rsidRPr="00B07B79" w:rsidRDefault="00406315" w:rsidP="00406315">
      <w:pPr>
        <w:widowControl w:val="0"/>
        <w:numPr>
          <w:ilvl w:val="0"/>
          <w:numId w:val="37"/>
        </w:numPr>
        <w:shd w:val="clear" w:color="auto" w:fill="FFFFFF"/>
        <w:tabs>
          <w:tab w:val="left" w:pos="667"/>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Співвідношення власних засобів і суми кредиту. Розрахунок цих коефіцієнтів подано у Додатку Ж.</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Відповідність цих показників нормативним значенням виступає позитивним моментом в прийнятті рішення на Кредитній Комісії.</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Доповідачем на Кредитній Комісії (Кредитному Комітеті) є керівник кредитної служби (його заступник), в окремих випадках кредитний працівник, який супроводжував пропонований кредит на всіх попередніх етапах.</w:t>
      </w:r>
      <w:r w:rsidRPr="00333D50">
        <w:rPr>
          <w:rFonts w:ascii="Times New Roman" w:hAnsi="Times New Roman" w:cs="Times New Roman"/>
          <w:sz w:val="28"/>
          <w:szCs w:val="28"/>
          <w:lang w:val="ru-RU"/>
        </w:rPr>
        <w:t>[125]</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bCs/>
          <w:spacing w:val="-9"/>
          <w:sz w:val="28"/>
          <w:szCs w:val="28"/>
        </w:rPr>
        <w:t xml:space="preserve"> </w:t>
      </w:r>
      <w:r w:rsidRPr="00B07B79">
        <w:rPr>
          <w:rFonts w:ascii="Times New Roman" w:hAnsi="Times New Roman" w:cs="Times New Roman"/>
          <w:sz w:val="28"/>
          <w:szCs w:val="28"/>
        </w:rPr>
        <w:t>Стандартний виступ кредитного працівника має освітити такі питання:</w:t>
      </w:r>
    </w:p>
    <w:p w:rsidR="00406315" w:rsidRPr="00B07B79" w:rsidRDefault="00406315" w:rsidP="00406315">
      <w:pPr>
        <w:widowControl w:val="0"/>
        <w:numPr>
          <w:ilvl w:val="0"/>
          <w:numId w:val="38"/>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короткий опис бізнесу і запланованого проекту: сума кредиту, термін і ціль кредиту;</w:t>
      </w:r>
    </w:p>
    <w:p w:rsidR="00406315" w:rsidRPr="00B07B79" w:rsidRDefault="00406315" w:rsidP="00406315">
      <w:pPr>
        <w:widowControl w:val="0"/>
        <w:numPr>
          <w:ilvl w:val="0"/>
          <w:numId w:val="38"/>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принципові фінансові показники: обсяг продажів, рентабельність, валюта балансу і власний капітал;</w:t>
      </w:r>
    </w:p>
    <w:p w:rsidR="00406315" w:rsidRPr="00B07B79" w:rsidRDefault="00406315" w:rsidP="00406315">
      <w:pPr>
        <w:widowControl w:val="0"/>
        <w:numPr>
          <w:ilvl w:val="0"/>
          <w:numId w:val="39"/>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результати аналітичних оцінок і прогнози;</w:t>
      </w:r>
    </w:p>
    <w:p w:rsidR="00406315" w:rsidRPr="00B07B79" w:rsidRDefault="00406315" w:rsidP="00406315">
      <w:pPr>
        <w:widowControl w:val="0"/>
        <w:numPr>
          <w:ilvl w:val="0"/>
          <w:numId w:val="39"/>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оцінка моральних і особистих якостей потенційного позичальника;</w:t>
      </w:r>
    </w:p>
    <w:p w:rsidR="00406315" w:rsidRPr="00B07B79" w:rsidRDefault="00406315" w:rsidP="00406315">
      <w:pPr>
        <w:widowControl w:val="0"/>
        <w:numPr>
          <w:ilvl w:val="0"/>
          <w:numId w:val="39"/>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пропозиції щодо предмета забезпечення;</w:t>
      </w:r>
    </w:p>
    <w:p w:rsidR="00406315" w:rsidRPr="00B07B79" w:rsidRDefault="00406315" w:rsidP="00406315">
      <w:pPr>
        <w:widowControl w:val="0"/>
        <w:numPr>
          <w:ilvl w:val="0"/>
          <w:numId w:val="39"/>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перевірку та оцінку предмету застави.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У випадку позитивного рішення кредитний працівник формує кредитну справу з повним переліком документів згідно внутрішніх положень Банку і переходить до етапу підготовки договірної бази кредиту і безпосереднього надання кредиту.</w:t>
      </w:r>
    </w:p>
    <w:p w:rsidR="00406315" w:rsidRPr="00333D50"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Підготовку договорів здійснює кредитний спеціаліст з використанням типових проектів, договорів згідно Інструкції «Про організацію договірної роботи в ПАТ «МІБ» у випадках, якщо не передбачене їх нотаріальне посвідчення (які потребують нотаріального посвідчення готує нотаріус).</w:t>
      </w:r>
      <w:r w:rsidRPr="00333D50">
        <w:rPr>
          <w:rFonts w:ascii="Times New Roman" w:hAnsi="Times New Roman" w:cs="Times New Roman"/>
          <w:sz w:val="28"/>
          <w:szCs w:val="28"/>
        </w:rPr>
        <w:t>[126]</w:t>
      </w:r>
    </w:p>
    <w:p w:rsidR="00406315" w:rsidRP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Як правило, клієнт повинний підписати кредитний договір протягом 20 днів з дати ухвалення рішення Кредитною Комісією. Якщо без поважних причин до встановленого терміну договір не підписаний, рішення анулюється автоматично і кредит може бути виданий тільки за умови повторного проведення фінансово-економічного аналізу і ухвалення Кредитною Комісією.</w:t>
      </w:r>
      <w:r w:rsidRPr="00406315">
        <w:rPr>
          <w:rFonts w:ascii="Times New Roman" w:hAnsi="Times New Roman" w:cs="Times New Roman"/>
          <w:sz w:val="28"/>
          <w:szCs w:val="28"/>
        </w:rPr>
        <w:t>[127]</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Отже, на кожній стадії кредитного процесу в ПАТ "МІБ" проводяться </w:t>
      </w:r>
      <w:r w:rsidRPr="00B07B79">
        <w:rPr>
          <w:rFonts w:ascii="Times New Roman" w:hAnsi="Times New Roman" w:cs="Times New Roman"/>
          <w:spacing w:val="-1"/>
          <w:sz w:val="28"/>
          <w:szCs w:val="28"/>
        </w:rPr>
        <w:t xml:space="preserve">заходи, що мінімізують можливі ризики для банку та підвищують ефективність </w:t>
      </w:r>
      <w:r w:rsidRPr="00B07B79">
        <w:rPr>
          <w:rFonts w:ascii="Times New Roman" w:hAnsi="Times New Roman" w:cs="Times New Roman"/>
          <w:sz w:val="28"/>
          <w:szCs w:val="28"/>
        </w:rPr>
        <w:t>його діяльності.</w:t>
      </w: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pPr>
    </w:p>
    <w:p w:rsidR="00406315" w:rsidRDefault="00406315" w:rsidP="00406315">
      <w:pPr>
        <w:shd w:val="clear" w:color="auto" w:fill="FFFFFF"/>
        <w:spacing w:line="360" w:lineRule="auto"/>
        <w:ind w:firstLine="567"/>
        <w:contextualSpacing/>
        <w:jc w:val="both"/>
        <w:rPr>
          <w:rFonts w:ascii="Times New Roman" w:hAnsi="Times New Roman" w:cs="Times New Roman"/>
          <w:sz w:val="28"/>
          <w:szCs w:val="28"/>
        </w:rPr>
        <w:sectPr w:rsidR="00406315" w:rsidSect="00E37001">
          <w:footerReference w:type="default" r:id="rId17"/>
          <w:type w:val="continuous"/>
          <w:pgSz w:w="11909" w:h="16834" w:code="9"/>
          <w:pgMar w:top="1134" w:right="850" w:bottom="1134" w:left="1701" w:header="708" w:footer="708" w:gutter="0"/>
          <w:cols w:space="708"/>
          <w:docGrid w:linePitch="360"/>
        </w:sectPr>
      </w:pPr>
    </w:p>
    <w:p w:rsidR="00406315" w:rsidRPr="00A17EED" w:rsidRDefault="00406315" w:rsidP="00406315">
      <w:pPr>
        <w:pStyle w:val="1"/>
        <w:spacing w:line="360" w:lineRule="auto"/>
        <w:jc w:val="center"/>
        <w:rPr>
          <w:rFonts w:ascii="Times New Roman" w:hAnsi="Times New Roman" w:cs="Times New Roman"/>
          <w:color w:val="auto"/>
        </w:rPr>
      </w:pPr>
      <w:bookmarkStart w:id="11" w:name="_Toc293306709"/>
      <w:r w:rsidRPr="00A17EED">
        <w:rPr>
          <w:rFonts w:ascii="Times New Roman" w:hAnsi="Times New Roman" w:cs="Times New Roman"/>
          <w:bCs w:val="0"/>
          <w:color w:val="auto"/>
          <w:spacing w:val="-4"/>
        </w:rPr>
        <w:lastRenderedPageBreak/>
        <w:t xml:space="preserve">РОЗДІЛ </w:t>
      </w:r>
      <w:r>
        <w:rPr>
          <w:rFonts w:ascii="Times New Roman" w:hAnsi="Times New Roman" w:cs="Times New Roman"/>
          <w:bCs w:val="0"/>
          <w:color w:val="auto"/>
          <w:spacing w:val="-4"/>
        </w:rPr>
        <w:t xml:space="preserve">ІІІ. </w:t>
      </w:r>
      <w:r w:rsidRPr="00A17EED">
        <w:rPr>
          <w:rFonts w:ascii="Times New Roman" w:hAnsi="Times New Roman" w:cs="Times New Roman"/>
          <w:bCs w:val="0"/>
          <w:color w:val="auto"/>
        </w:rPr>
        <w:t>ШЛЯХИ УДОСКОНАЛЕННЯ УПРАВЛІННЯ КРЕДИТНИМИ</w:t>
      </w:r>
      <w:r>
        <w:rPr>
          <w:rFonts w:ascii="Times New Roman" w:hAnsi="Times New Roman" w:cs="Times New Roman"/>
          <w:bCs w:val="0"/>
          <w:color w:val="auto"/>
        </w:rPr>
        <w:t xml:space="preserve"> </w:t>
      </w:r>
      <w:r w:rsidRPr="00A17EED">
        <w:rPr>
          <w:rFonts w:ascii="Times New Roman" w:hAnsi="Times New Roman" w:cs="Times New Roman"/>
          <w:bCs w:val="0"/>
          <w:color w:val="auto"/>
        </w:rPr>
        <w:t>ОПЕРАЦІЯМИ КОМЕРЦІЙНИХ БАНКІВ</w:t>
      </w:r>
      <w:bookmarkEnd w:id="11"/>
    </w:p>
    <w:p w:rsidR="00406315" w:rsidRPr="00621722" w:rsidRDefault="00406315" w:rsidP="00406315">
      <w:pPr>
        <w:pStyle w:val="2"/>
        <w:jc w:val="center"/>
        <w:rPr>
          <w:rFonts w:ascii="Times New Roman" w:hAnsi="Times New Roman" w:cs="Times New Roman"/>
          <w:color w:val="auto"/>
          <w:sz w:val="28"/>
          <w:szCs w:val="28"/>
        </w:rPr>
      </w:pPr>
      <w:bookmarkStart w:id="12" w:name="_Toc293306710"/>
      <w:r w:rsidRPr="00621722">
        <w:rPr>
          <w:rFonts w:ascii="Times New Roman" w:hAnsi="Times New Roman" w:cs="Times New Roman"/>
          <w:color w:val="auto"/>
          <w:spacing w:val="-3"/>
          <w:sz w:val="28"/>
          <w:szCs w:val="28"/>
        </w:rPr>
        <w:t xml:space="preserve">3.1. Зарубіжний досвід управління банківським кредитуванням </w:t>
      </w:r>
      <w:r w:rsidRPr="00621722">
        <w:rPr>
          <w:rFonts w:ascii="Times New Roman" w:hAnsi="Times New Roman" w:cs="Times New Roman"/>
          <w:color w:val="auto"/>
          <w:sz w:val="28"/>
          <w:szCs w:val="28"/>
        </w:rPr>
        <w:t>та можливості його використання в Україні</w:t>
      </w:r>
      <w:bookmarkEnd w:id="12"/>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Стан розвитку ринку кредитних послуг в Україні не задовольняє потреби </w:t>
      </w:r>
      <w:r w:rsidRPr="00B07B79">
        <w:rPr>
          <w:rFonts w:ascii="Times New Roman" w:hAnsi="Times New Roman" w:cs="Times New Roman"/>
          <w:sz w:val="28"/>
          <w:szCs w:val="28"/>
        </w:rPr>
        <w:t>економіки в повному обсязі і не є передумовою для економічного зростання, як це має місце в багатьох інших країнах. Поява серйозних конкурентів у вітчизняному банківському секторі неминуча, адже для країни з майже 50-мільйонним населенням і значним економічним потенціалом рівень розвитку фінансових інститутів та асортимент послуг, що надаються, достатньо низький.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 оцінками багатьох експертів, фінансовий ринок України є поки що неконкурентоспроможний, ізольований, а отже, не готовий увійти до глобальної фінансової системи.</w:t>
      </w:r>
    </w:p>
    <w:p w:rsidR="00406315" w:rsidRPr="00CE5D9E" w:rsidRDefault="00406315" w:rsidP="00406315">
      <w:pPr>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 xml:space="preserve">В умовах нерозвиненості фінансового ринку саме банки стали основними його гравцями, і їх вплив продовжує зростати. Сьогодні банківська система </w:t>
      </w:r>
      <w:r w:rsidRPr="00B07B79">
        <w:rPr>
          <w:rFonts w:ascii="Times New Roman" w:hAnsi="Times New Roman" w:cs="Times New Roman"/>
          <w:spacing w:val="-3"/>
          <w:sz w:val="28"/>
          <w:szCs w:val="28"/>
        </w:rPr>
        <w:t xml:space="preserve">України має достатній капітал (на 01.11.2006 року — 22536 млн. грн., або 4507,2 </w:t>
      </w:r>
      <w:r w:rsidRPr="00B07B79">
        <w:rPr>
          <w:rFonts w:ascii="Times New Roman" w:hAnsi="Times New Roman" w:cs="Times New Roman"/>
          <w:spacing w:val="-1"/>
          <w:sz w:val="28"/>
          <w:szCs w:val="28"/>
        </w:rPr>
        <w:t xml:space="preserve">млн. дол.), який у цілому відповідає міжнародним стандартам, однак проблема </w:t>
      </w:r>
      <w:r w:rsidRPr="00B07B79">
        <w:rPr>
          <w:rFonts w:ascii="Times New Roman" w:hAnsi="Times New Roman" w:cs="Times New Roman"/>
          <w:sz w:val="28"/>
          <w:szCs w:val="28"/>
        </w:rPr>
        <w:t>полягає у тому, що він розпорошений серед чисельних банків і не дає можливості кредитувати великі проекти. Станом на 1 липня 2010 року ліцензію Національного банку України на здійснення банківських операцій мали 176 банків, з-поміж яких понад 50 % із капіталом меншим за 100 млн. грн.</w:t>
      </w:r>
      <w:r w:rsidRPr="00CE5D9E">
        <w:rPr>
          <w:rFonts w:ascii="Times New Roman" w:hAnsi="Times New Roman" w:cs="Times New Roman"/>
          <w:sz w:val="28"/>
          <w:szCs w:val="28"/>
          <w:lang w:val="ru-RU"/>
        </w:rPr>
        <w:t>[1]</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Наведені дані свідчать про те, що ринок банківських послуг є динамічним і перспективним, а значить привабливим для іноземних гравців. В умовах відкриття банківського сектору України для інвестиційного капіталу варто очікувати потужної експансії з боку іноземних, насамперед європейських банків.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lastRenderedPageBreak/>
        <w:t xml:space="preserve">Досвід багатьох держав із перехідною економікою, де акцент було зроблено </w:t>
      </w:r>
      <w:r w:rsidRPr="00B07B79">
        <w:rPr>
          <w:rFonts w:ascii="Times New Roman" w:hAnsi="Times New Roman" w:cs="Times New Roman"/>
          <w:spacing w:val="-1"/>
          <w:sz w:val="28"/>
          <w:szCs w:val="28"/>
        </w:rPr>
        <w:t xml:space="preserve">на залучення зовнішніх інвестицій, засвідчив, що банківські системи цих країн </w:t>
      </w:r>
      <w:r w:rsidRPr="00B07B79">
        <w:rPr>
          <w:rFonts w:ascii="Times New Roman" w:hAnsi="Times New Roman" w:cs="Times New Roman"/>
          <w:spacing w:val="-3"/>
          <w:sz w:val="28"/>
          <w:szCs w:val="28"/>
        </w:rPr>
        <w:t xml:space="preserve">майже повністю складаються з великих міжнародних банків. За цих умов банки з </w:t>
      </w:r>
      <w:r w:rsidRPr="00B07B79">
        <w:rPr>
          <w:rFonts w:ascii="Times New Roman" w:hAnsi="Times New Roman" w:cs="Times New Roman"/>
          <w:spacing w:val="-1"/>
          <w:sz w:val="28"/>
          <w:szCs w:val="28"/>
        </w:rPr>
        <w:t xml:space="preserve">іноземним капіталом починають здійснювати вирішальний вплив на характер </w:t>
      </w:r>
      <w:r w:rsidRPr="00B07B79">
        <w:rPr>
          <w:rFonts w:ascii="Times New Roman" w:hAnsi="Times New Roman" w:cs="Times New Roman"/>
          <w:sz w:val="28"/>
          <w:szCs w:val="28"/>
        </w:rPr>
        <w:t>економічного розвитку в цих державах, контролювати найефективніші сфери діяльності.</w:t>
      </w:r>
    </w:p>
    <w:p w:rsidR="00406315" w:rsidRPr="00B07B79"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Банківська практика країн Центральної та Східної Європи демонструє, що прихід на ринки великих і потужних іноземних банків практично не залишив місця на ринку для національного капіталу, підштовхнувши малі вітчизняні банки до злиття. Так, у Польщі кількість банків унаслідок консолідації зменшилася до 60, в Хорватії - до 43, у Чехії - до 35, у Литві на сьогодні функціонує 14 банків, а в Естонії - взагалі 7. В Україні станом на </w:t>
      </w:r>
      <w:r w:rsidRPr="00B07B79">
        <w:rPr>
          <w:rFonts w:ascii="Times New Roman" w:eastAsia="Arial,Bold" w:hAnsi="Times New Roman" w:cs="Times New Roman"/>
          <w:bCs/>
          <w:sz w:val="28"/>
          <w:szCs w:val="28"/>
        </w:rPr>
        <w:t xml:space="preserve">кінець першого півріччя 2010 р. в Україні діяло 176 банків, з них 20 – із 100% іноземним капіталом, 32 </w:t>
      </w:r>
      <w:proofErr w:type="spellStart"/>
      <w:r w:rsidRPr="00B07B79">
        <w:rPr>
          <w:rFonts w:ascii="Times New Roman" w:eastAsia="Arial,Bold" w:hAnsi="Times New Roman" w:cs="Times New Roman"/>
          <w:bCs/>
          <w:sz w:val="28"/>
          <w:szCs w:val="28"/>
        </w:rPr>
        <w:t>–із</w:t>
      </w:r>
      <w:proofErr w:type="spellEnd"/>
      <w:r w:rsidRPr="00B07B79">
        <w:rPr>
          <w:rFonts w:ascii="Times New Roman" w:eastAsia="Arial,Bold" w:hAnsi="Times New Roman" w:cs="Times New Roman"/>
          <w:bCs/>
          <w:sz w:val="28"/>
          <w:szCs w:val="28"/>
        </w:rPr>
        <w:t xml:space="preserve"> часткою іноземного капіталу. Сукупна частка іноземного капіталу складає 36,0% капіталу банківської системи.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Але тут виникає ще одна проблема: основним показником фінансового середовища країни та ступеня її привабливості для інвестицій є інвестиційний рейтинг. Україна, незважаючи на те, що вже кілька років демонструє оптимістичні темпи зростання економіки, поки що не може похвалитися зростанням свого інвестиційного рейтингу. Тому провідним світовим банкам невигідно відкривати свої філії в Україні, адже відповідно до рівня ризикованості кредитування активи, розміщені філіями в Україні, потребуватимуть створення головними банками 100 % резервів для покриття можливих ризиків.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Отже, існує велика ймовірність того, що до України найближчим часом приходитимуть лише філії банків країн з аналогічним або трохи вищим рейтингом. Такі банки можуть використовуватися для фінансових спекуляцій та відмивання "брудних" грошей. З іншого боку, країни цієї групи самі потребують інвестицій, тому значних інвестицій чекати не варто.</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Іноземний інвестиційний капітал схильний до відпливу в разі щонайменшої кризи, про що свідчить азійський досвід. Іноземні банки залишають ринок навіть без спроб відшкодувати втрати, що збільшує вірогідність системної кризи у банківському секторі України. Крім того, при послабленні своїх позицій міжнародні банки використовують всі свої резерви. Висновок: іноземні банки не є стабільним джерелом фінансування.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Саме такий розвиток подій пророкують представники Асоціації українських банків. Адже у солідних банків виписані процедури виходу на нові ринки. Але, на жаль, у них закриті ліміти на Україну. Це стримуватиме їхній вихід на наш ринок. Вони не прийдуть принаймні доти, доки не підвищиться інвестиційний рейтинг України. Зарубіжні фінансисти добре розуміють: ціна ресурсів в Україні, порівняно зі світовою (2-3 %), сильно завищена, і тут вони зможуть вкладати гроші з велетенською маржею, а можливо, і з демпінгом. За цих умов банки з іноземним капіталом можуть почати здійснювати вирішальний вплив на характер економічного розвитку в країні.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 метою запобігання дестабілізації банківського сектору законом передбачено, що філії в Україні зможуть відкривати лише банки з мінімальним капіталом у 150 млн. євро. Крім того, сама філія повинна мати приписний капітал не менш як 10 млн. євро.</w:t>
      </w:r>
      <w:r w:rsidRPr="00BD6111">
        <w:rPr>
          <w:rFonts w:ascii="Times New Roman" w:hAnsi="Times New Roman" w:cs="Times New Roman"/>
          <w:sz w:val="28"/>
          <w:szCs w:val="28"/>
        </w:rPr>
        <w:t>[2]</w:t>
      </w:r>
      <w:r w:rsidRPr="00B07B79">
        <w:rPr>
          <w:rFonts w:ascii="Times New Roman" w:hAnsi="Times New Roman" w:cs="Times New Roman"/>
          <w:sz w:val="28"/>
          <w:szCs w:val="28"/>
        </w:rPr>
        <w:t xml:space="preserve"> Такі заходи повинні обмежити доступ в Україну філій невеликих банків із країн, які розвиваються, зокрема країн Балтії, найчастіше звинувачуваних у спекуляціях.</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Входження філій іноземних банків в Україну трансформує модель кредитування економіки. Дослідження щодо впливу входження іноземних </w:t>
      </w:r>
      <w:r w:rsidRPr="00B07B79">
        <w:rPr>
          <w:rFonts w:ascii="Times New Roman" w:hAnsi="Times New Roman" w:cs="Times New Roman"/>
          <w:spacing w:val="-1"/>
          <w:sz w:val="28"/>
          <w:szCs w:val="28"/>
        </w:rPr>
        <w:t xml:space="preserve">банків на слабо розвинені фінансові ринки засвідчують, що за умов, які існують </w:t>
      </w:r>
      <w:r w:rsidRPr="00B07B79">
        <w:rPr>
          <w:rFonts w:ascii="Times New Roman" w:hAnsi="Times New Roman" w:cs="Times New Roman"/>
          <w:sz w:val="28"/>
          <w:szCs w:val="28"/>
        </w:rPr>
        <w:t xml:space="preserve">зараз в Україні, вітчизняні банки змушені будуть звузити обсяги кредитування найбільших і </w:t>
      </w:r>
      <w:proofErr w:type="spellStart"/>
      <w:r w:rsidRPr="00B07B79">
        <w:rPr>
          <w:rFonts w:ascii="Times New Roman" w:hAnsi="Times New Roman" w:cs="Times New Roman"/>
          <w:sz w:val="28"/>
          <w:szCs w:val="28"/>
        </w:rPr>
        <w:t>найліквідніших</w:t>
      </w:r>
      <w:proofErr w:type="spellEnd"/>
      <w:r w:rsidRPr="00B07B79">
        <w:rPr>
          <w:rFonts w:ascii="Times New Roman" w:hAnsi="Times New Roman" w:cs="Times New Roman"/>
          <w:sz w:val="28"/>
          <w:szCs w:val="28"/>
        </w:rPr>
        <w:t xml:space="preserve"> підприємств через нездатність конкурувати на цьому сегменті з філіями іноземних банків. Унаслідок цього відбудеться скорочення їх прибутковості і водночас зросте загальна </w:t>
      </w:r>
      <w:r w:rsidRPr="00B07B79">
        <w:rPr>
          <w:rFonts w:ascii="Times New Roman" w:hAnsi="Times New Roman" w:cs="Times New Roman"/>
          <w:sz w:val="28"/>
          <w:szCs w:val="28"/>
        </w:rPr>
        <w:lastRenderedPageBreak/>
        <w:t>ризикованість портфеля, адже для того, щоб відшкодувати втрату доходів, українські банки повинні будуть кредитувати менш платоспроможних, отже, більш ризикованих клієнтів. Результатом стане посилення фінансової нестійкості вітчизняних банків.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До того ж ці банки мають специфічні стратегічні пріоритети, які здебільшого не збігаються з національними інтересами: маючи слабший зв'язок з економікою України, ніж вітчизняний банківський капітал, іноземні банки можуть зменшити кредитування малоприбуткових чи </w:t>
      </w:r>
      <w:proofErr w:type="spellStart"/>
      <w:r w:rsidRPr="00B07B79">
        <w:rPr>
          <w:rFonts w:ascii="Times New Roman" w:hAnsi="Times New Roman" w:cs="Times New Roman"/>
          <w:sz w:val="28"/>
          <w:szCs w:val="28"/>
        </w:rPr>
        <w:t>низьколіквідних</w:t>
      </w:r>
      <w:proofErr w:type="spellEnd"/>
      <w:r w:rsidRPr="00B07B79">
        <w:rPr>
          <w:rFonts w:ascii="Times New Roman" w:hAnsi="Times New Roman" w:cs="Times New Roman"/>
          <w:sz w:val="28"/>
          <w:szCs w:val="28"/>
        </w:rPr>
        <w:t xml:space="preserve">, але </w:t>
      </w:r>
      <w:r w:rsidRPr="00B07B79">
        <w:rPr>
          <w:rFonts w:ascii="Times New Roman" w:hAnsi="Times New Roman" w:cs="Times New Roman"/>
          <w:spacing w:val="-1"/>
          <w:sz w:val="28"/>
          <w:szCs w:val="28"/>
        </w:rPr>
        <w:t xml:space="preserve">стратегічно важливих секторів економіки. Різке зниження частки національного </w:t>
      </w:r>
      <w:r w:rsidRPr="00B07B79">
        <w:rPr>
          <w:rFonts w:ascii="Times New Roman" w:hAnsi="Times New Roman" w:cs="Times New Roman"/>
          <w:sz w:val="28"/>
          <w:szCs w:val="28"/>
        </w:rPr>
        <w:t>банківського капіталу, вірогідно, призведе до ситуацій, за яких деякі галузі народного господарства й економіки будуть позбавлені кредитів, тому що акціонери банків з іноземним капіталом завжди інвестуватимуть у ті галузі і в тих країнах, де прибуток і безпека виші. У результаті вітчизняні позичальники позбавляться однакового доступу до фінансових ресурсів.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Така схема розвитку банківської системи призведе до порушення цілісності </w:t>
      </w:r>
      <w:r w:rsidRPr="00B07B79">
        <w:rPr>
          <w:rFonts w:ascii="Times New Roman" w:hAnsi="Times New Roman" w:cs="Times New Roman"/>
          <w:spacing w:val="-2"/>
          <w:sz w:val="28"/>
          <w:szCs w:val="28"/>
        </w:rPr>
        <w:t xml:space="preserve">економічних інтересів держави, гальмуючи розвиток виробництва, малого та </w:t>
      </w:r>
      <w:r w:rsidRPr="00B07B79">
        <w:rPr>
          <w:rFonts w:ascii="Times New Roman" w:hAnsi="Times New Roman" w:cs="Times New Roman"/>
          <w:spacing w:val="-4"/>
          <w:sz w:val="28"/>
          <w:szCs w:val="28"/>
        </w:rPr>
        <w:t xml:space="preserve">середнього бізнесу. Наслідок - зростання безробіття та інших соціальних проблем, </w:t>
      </w:r>
      <w:r w:rsidRPr="00B07B79">
        <w:rPr>
          <w:rFonts w:ascii="Times New Roman" w:hAnsi="Times New Roman" w:cs="Times New Roman"/>
          <w:sz w:val="28"/>
          <w:szCs w:val="28"/>
        </w:rPr>
        <w:t>з якими протягом останніх років стикаються країни Східної Європи, зокрема Польща.</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Ще одним негативним для економіки України моментом у приході на її банківський ринок філій іноземних банків може стати те, що за специфікою своєї діяльності філії, як структурні підрозділи банків, не здійснюють формування капіталу. Таким чином, дохід, отриманий від їх діяльності на території України, після сплати податку буде переказано до іноземного банку. Тоді як прибутки українських банків (у тому числі і з іноземним капіталом) у переважному розмірі залишаються в Україні та спрямовуються на капіталізацію банків.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Але попри всі негативні моменти існують і позитивні аспекти приходу іноземних банків на ринок України. Серед чинників, які створюють </w:t>
      </w:r>
      <w:r w:rsidRPr="00B07B79">
        <w:rPr>
          <w:rFonts w:ascii="Times New Roman" w:hAnsi="Times New Roman" w:cs="Times New Roman"/>
          <w:sz w:val="28"/>
          <w:szCs w:val="28"/>
        </w:rPr>
        <w:lastRenderedPageBreak/>
        <w:t>мотивацію для допуску іноземного капіталу у вітчизняну банківську систему, можна зазначити такі:</w:t>
      </w:r>
    </w:p>
    <w:p w:rsidR="00406315" w:rsidRPr="00B07B79" w:rsidRDefault="00406315" w:rsidP="00406315">
      <w:pPr>
        <w:widowControl w:val="0"/>
        <w:numPr>
          <w:ilvl w:val="0"/>
          <w:numId w:val="50"/>
        </w:numPr>
        <w:shd w:val="clear" w:color="auto" w:fill="FFFFFF"/>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розширення спектра банківських послуг та поліпшення їх якості;</w:t>
      </w:r>
    </w:p>
    <w:p w:rsidR="00406315" w:rsidRPr="00B07B79" w:rsidRDefault="00406315" w:rsidP="00406315">
      <w:pPr>
        <w:widowControl w:val="0"/>
        <w:numPr>
          <w:ilvl w:val="0"/>
          <w:numId w:val="50"/>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зниження рівня відсоткових ставок за кредитами;</w:t>
      </w:r>
    </w:p>
    <w:p w:rsidR="00406315" w:rsidRPr="00B07B79" w:rsidRDefault="00406315" w:rsidP="00406315">
      <w:pPr>
        <w:widowControl w:val="0"/>
        <w:numPr>
          <w:ilvl w:val="0"/>
          <w:numId w:val="50"/>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зменшення впливу внутрішніх шоків на стабільність функціонування банківської системи;</w:t>
      </w:r>
    </w:p>
    <w:p w:rsidR="00406315" w:rsidRPr="00B07B79" w:rsidRDefault="00406315" w:rsidP="00406315">
      <w:pPr>
        <w:widowControl w:val="0"/>
        <w:numPr>
          <w:ilvl w:val="0"/>
          <w:numId w:val="50"/>
        </w:numPr>
        <w:shd w:val="clear" w:color="auto" w:fill="FFFFFF"/>
        <w:tabs>
          <w:tab w:val="left" w:pos="72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підвищення міжнародного фінансового рейтингу України та збільшення обсягів іноземних інвестицій в її економіку;</w:t>
      </w:r>
    </w:p>
    <w:p w:rsidR="00406315" w:rsidRPr="00B07B79" w:rsidRDefault="00406315" w:rsidP="00406315">
      <w:pPr>
        <w:widowControl w:val="0"/>
        <w:numPr>
          <w:ilvl w:val="0"/>
          <w:numId w:val="50"/>
        </w:numPr>
        <w:shd w:val="clear" w:color="auto" w:fill="FFFFFF"/>
        <w:tabs>
          <w:tab w:val="left" w:pos="720"/>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оптимізацію інституційної структури вітчизняної банківської системи та наближення її до стандартів країн із розвиненою ринковою економікою;</w:t>
      </w:r>
    </w:p>
    <w:p w:rsidR="00406315" w:rsidRPr="00B07B79" w:rsidRDefault="00406315" w:rsidP="00406315">
      <w:pPr>
        <w:shd w:val="clear" w:color="auto" w:fill="FFFFFF"/>
        <w:tabs>
          <w:tab w:val="left" w:pos="859"/>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збільшення припливу іноземного банківського капіталу в Україну,</w:t>
      </w:r>
      <w:r w:rsidRPr="00B07B79">
        <w:rPr>
          <w:rFonts w:ascii="Times New Roman" w:hAnsi="Times New Roman" w:cs="Times New Roman"/>
          <w:sz w:val="28"/>
          <w:szCs w:val="28"/>
        </w:rPr>
        <w:br/>
        <w:t>зважаючи на підвищений попит на ресурси з боку учасників реального сектору</w:t>
      </w:r>
      <w:r w:rsidRPr="00B07B79">
        <w:rPr>
          <w:rFonts w:ascii="Times New Roman" w:hAnsi="Times New Roman" w:cs="Times New Roman"/>
          <w:sz w:val="28"/>
          <w:szCs w:val="28"/>
        </w:rPr>
        <w:br/>
        <w:t>вітчизняної економіки та неможливість задовольнити цей попит за рахунок</w:t>
      </w:r>
      <w:r w:rsidRPr="00B07B79">
        <w:rPr>
          <w:rFonts w:ascii="Times New Roman" w:hAnsi="Times New Roman" w:cs="Times New Roman"/>
          <w:sz w:val="28"/>
          <w:szCs w:val="28"/>
        </w:rPr>
        <w:br/>
        <w:t>внутрішніх джерел;</w:t>
      </w:r>
    </w:p>
    <w:p w:rsidR="00406315" w:rsidRPr="00B07B79" w:rsidRDefault="00406315" w:rsidP="00406315">
      <w:pPr>
        <w:shd w:val="clear" w:color="auto" w:fill="FFFFFF"/>
        <w:tabs>
          <w:tab w:val="left" w:pos="782"/>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 xml:space="preserve">активізацію участі в об'єктивних світових </w:t>
      </w:r>
      <w:proofErr w:type="spellStart"/>
      <w:r w:rsidRPr="00B07B79">
        <w:rPr>
          <w:rFonts w:ascii="Times New Roman" w:hAnsi="Times New Roman" w:cs="Times New Roman"/>
          <w:sz w:val="28"/>
          <w:szCs w:val="28"/>
        </w:rPr>
        <w:t>глобалізаційних</w:t>
      </w:r>
      <w:proofErr w:type="spellEnd"/>
      <w:r w:rsidRPr="00B07B79">
        <w:rPr>
          <w:rFonts w:ascii="Times New Roman" w:hAnsi="Times New Roman" w:cs="Times New Roman"/>
          <w:sz w:val="28"/>
          <w:szCs w:val="28"/>
        </w:rPr>
        <w:t xml:space="preserve"> процесах із</w:t>
      </w:r>
      <w:r w:rsidRPr="00B07B79">
        <w:rPr>
          <w:rFonts w:ascii="Times New Roman" w:hAnsi="Times New Roman" w:cs="Times New Roman"/>
          <w:sz w:val="28"/>
          <w:szCs w:val="28"/>
        </w:rPr>
        <w:br/>
      </w:r>
      <w:r w:rsidRPr="00B07B79">
        <w:rPr>
          <w:rFonts w:ascii="Times New Roman" w:hAnsi="Times New Roman" w:cs="Times New Roman"/>
          <w:spacing w:val="-1"/>
          <w:sz w:val="28"/>
          <w:szCs w:val="28"/>
        </w:rPr>
        <w:t>можливістю випереджувального врахування та попередження (недопущення)</w:t>
      </w:r>
      <w:r w:rsidRPr="00B07B79">
        <w:rPr>
          <w:rFonts w:ascii="Times New Roman" w:hAnsi="Times New Roman" w:cs="Times New Roman"/>
          <w:spacing w:val="-1"/>
          <w:sz w:val="28"/>
          <w:szCs w:val="28"/>
        </w:rPr>
        <w:br/>
      </w:r>
      <w:r w:rsidRPr="00B07B79">
        <w:rPr>
          <w:rFonts w:ascii="Times New Roman" w:hAnsi="Times New Roman" w:cs="Times New Roman"/>
          <w:sz w:val="28"/>
          <w:szCs w:val="28"/>
        </w:rPr>
        <w:t>негативних наслідків цих процесів для вітчизняного банківського сектору.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Великим плюсом на користь приходу на банківський ринок України нових гравців є надходження з їх появою сучасніших банківських технологій. Філії оснащуватимуться найсучаснішим устаткуванням, здатним забезпечити безперебійну роботу в рамках великої банківської структури і, за можливості, такі самі стандартні послуги, що й материнський банк. Уже сьогодні саме завдяки діяльності іноземних банків збільшився продуктовий ряд, поліпшилися якість і культура обслуговування клієнтів, зросла конкуренція за клієнта, що зрештою пішло тільки на користь як банківській системі, так і економіці в цілому.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Отже, можна зауважити, що загалом питання розширення присутності іноземного банківського капіталу має підпорядковуватися стратегічним цілям розвитку, підвищенню національної конкурентоспроможності, </w:t>
      </w:r>
      <w:r w:rsidRPr="00B07B79">
        <w:rPr>
          <w:rFonts w:ascii="Times New Roman" w:hAnsi="Times New Roman" w:cs="Times New Roman"/>
          <w:sz w:val="28"/>
          <w:szCs w:val="28"/>
        </w:rPr>
        <w:lastRenderedPageBreak/>
        <w:t>економічної безпеки грошово-кредитної системи України. Процес експансії іноземного капіталу неминучий, незворотний та зумовлений об'єктивними потребами економічного зростання.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 Україні об'єктивно існує потреба в підвищенні рівня кредитування економіки, що є передумовою структурних зрушень (сьогодні це приблизно 30% від ВВП, тоді як в Естонії - 55 %, Словенії - 44 </w:t>
      </w:r>
      <w:r w:rsidRPr="00B07B79">
        <w:rPr>
          <w:rFonts w:ascii="Times New Roman" w:hAnsi="Times New Roman" w:cs="Times New Roman"/>
          <w:iCs/>
          <w:sz w:val="28"/>
          <w:szCs w:val="28"/>
        </w:rPr>
        <w:t xml:space="preserve">%, </w:t>
      </w:r>
      <w:r w:rsidRPr="00B07B79">
        <w:rPr>
          <w:rFonts w:ascii="Times New Roman" w:hAnsi="Times New Roman" w:cs="Times New Roman"/>
          <w:sz w:val="28"/>
          <w:szCs w:val="28"/>
        </w:rPr>
        <w:t xml:space="preserve">Угорщині - 42 </w:t>
      </w:r>
      <w:r w:rsidRPr="00B07B79">
        <w:rPr>
          <w:rFonts w:ascii="Times New Roman" w:hAnsi="Times New Roman" w:cs="Times New Roman"/>
          <w:iCs/>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Крім того, в Україні не задовольняється потреба в іноземних інвестиціях, потрібно довести їх показник на душу населення до рівня сусідніх східноєвропейських країн (зараз в Україні на душу населення припадає до 180 дол. США іноземних інвестицій, тоді як у Чехії - понад 3000 дол., в Естонії -</w:t>
      </w:r>
      <w:r w:rsidRPr="00B07B79">
        <w:rPr>
          <w:rFonts w:ascii="Times New Roman" w:hAnsi="Times New Roman" w:cs="Times New Roman"/>
          <w:spacing w:val="-1"/>
          <w:sz w:val="28"/>
          <w:szCs w:val="28"/>
        </w:rPr>
        <w:t>2600, в Угорщині - 2400, у Словаччині - 1800, у Польщі - 1200).</w:t>
      </w:r>
      <w:r w:rsidRPr="00BD6111">
        <w:rPr>
          <w:rFonts w:ascii="Times New Roman" w:hAnsi="Times New Roman" w:cs="Times New Roman"/>
          <w:spacing w:val="-1"/>
          <w:sz w:val="28"/>
          <w:szCs w:val="28"/>
        </w:rPr>
        <w:t>[3]</w:t>
      </w:r>
      <w:r w:rsidRPr="00B07B79">
        <w:rPr>
          <w:rFonts w:ascii="Times New Roman" w:hAnsi="Times New Roman" w:cs="Times New Roman"/>
          <w:spacing w:val="-1"/>
          <w:sz w:val="28"/>
          <w:szCs w:val="28"/>
        </w:rPr>
        <w:t xml:space="preserve"> Тож приплив </w:t>
      </w:r>
      <w:r w:rsidRPr="00B07B79">
        <w:rPr>
          <w:rFonts w:ascii="Times New Roman" w:hAnsi="Times New Roman" w:cs="Times New Roman"/>
          <w:sz w:val="28"/>
          <w:szCs w:val="28"/>
        </w:rPr>
        <w:t>іноземного банківського капіталу якомога краще сприяє цій меті.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Крім того, прихід іноземних банків, як уже зазначалося, сприятиме прискоренню розвитку фінансового ринку країни, стимулюватиме використання сучасніших банківських технологій та інновацій банківського менеджменту як передумов подальшої </w:t>
      </w:r>
      <w:proofErr w:type="spellStart"/>
      <w:r w:rsidRPr="00B07B79">
        <w:rPr>
          <w:rFonts w:ascii="Times New Roman" w:hAnsi="Times New Roman" w:cs="Times New Roman"/>
          <w:sz w:val="28"/>
          <w:szCs w:val="28"/>
        </w:rPr>
        <w:t>інституціоналізації</w:t>
      </w:r>
      <w:proofErr w:type="spellEnd"/>
      <w:r w:rsidRPr="00B07B79">
        <w:rPr>
          <w:rFonts w:ascii="Times New Roman" w:hAnsi="Times New Roman" w:cs="Times New Roman"/>
          <w:sz w:val="28"/>
          <w:szCs w:val="28"/>
        </w:rPr>
        <w:t xml:space="preserve"> фінансової системи.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Для українських банків єдиним можливим варіантом виживання в умовах експансії потужнішого іноземного банківського капіталу є наслідування досвіду європейських банків у їх протистоянні американському капіталу — злиття невеликих національних банків або їх приєднання (продаж) до іноземних ТНБ. </w:t>
      </w:r>
      <w:proofErr w:type="spellStart"/>
      <w:r w:rsidRPr="00B07B79">
        <w:rPr>
          <w:rFonts w:ascii="Times New Roman" w:hAnsi="Times New Roman" w:cs="Times New Roman"/>
          <w:sz w:val="28"/>
          <w:szCs w:val="28"/>
        </w:rPr>
        <w:t>Найвірогіднішим</w:t>
      </w:r>
      <w:proofErr w:type="spellEnd"/>
      <w:r w:rsidRPr="00B07B79">
        <w:rPr>
          <w:rFonts w:ascii="Times New Roman" w:hAnsi="Times New Roman" w:cs="Times New Roman"/>
          <w:sz w:val="28"/>
          <w:szCs w:val="28"/>
        </w:rPr>
        <w:t xml:space="preserve"> сценарієм розвитку подій для України є повторення досвіду країн Центральної та Східної Європи, банківська система яких майже повністю перейшла під контроль транснаціонального капіталу. Навіть ще до набрання чинності нової редакції Закону "Про банки і банківську діяльність" протягом останніх двох-трьох років спостерігалась активізація процесів зміни власників у провідних національних банках. Прогнозується, що надалі ці процеси дедалі більше активізуються та набудуть масового характеру. На ринку залишиться лише </w:t>
      </w:r>
      <w:r w:rsidRPr="00B07B79">
        <w:rPr>
          <w:rFonts w:ascii="Times New Roman" w:hAnsi="Times New Roman" w:cs="Times New Roman"/>
          <w:sz w:val="28"/>
          <w:szCs w:val="28"/>
        </w:rPr>
        <w:lastRenderedPageBreak/>
        <w:t>два-три найбільших національних банки, що зможуть гідно конкурувати з іноземними.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На сьогодні нагальною проблемою для українських банків є підвищення рівня конкурентоспроможності, капіталізації, зниження собівартості банківських послуг. Цілком зрозуміло, що з огляду на об'єктивні економічні реалії у питанні доцільності розширення присутності іноземного капіталу в банківському секторі необхідно керуватись стратегічними пріоритетами, практична реалізація яких дасть змогу забезпечити цілісність і стабільність банківської системи.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Показники роботи вітчизняної банківської системи дають змогу виділити низку аспектів, які свідчать про високу сприйнятливість українських кредитних </w:t>
      </w:r>
      <w:r w:rsidRPr="00B07B79">
        <w:rPr>
          <w:rFonts w:ascii="Times New Roman" w:hAnsi="Times New Roman" w:cs="Times New Roman"/>
          <w:spacing w:val="-5"/>
          <w:sz w:val="28"/>
          <w:szCs w:val="28"/>
        </w:rPr>
        <w:t>установ до негативних змін чинників зовнішнього середовища. Серед них:</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1. </w:t>
      </w:r>
      <w:r w:rsidRPr="00B07B79">
        <w:rPr>
          <w:rFonts w:ascii="Times New Roman" w:hAnsi="Times New Roman" w:cs="Times New Roman"/>
          <w:spacing w:val="-1"/>
          <w:sz w:val="28"/>
          <w:szCs w:val="28"/>
        </w:rPr>
        <w:t>Висока питома вага довгострокових кредитів у кредитних портфелях;</w:t>
      </w:r>
    </w:p>
    <w:p w:rsidR="00406315" w:rsidRPr="00B07B79" w:rsidRDefault="00406315" w:rsidP="00406315">
      <w:pPr>
        <w:shd w:val="clear" w:color="auto" w:fill="FFFFFF"/>
        <w:tabs>
          <w:tab w:val="left" w:pos="864"/>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0"/>
          <w:sz w:val="28"/>
          <w:szCs w:val="28"/>
        </w:rPr>
        <w:t>2.</w:t>
      </w:r>
      <w:r w:rsidRPr="00B07B79">
        <w:rPr>
          <w:rFonts w:ascii="Times New Roman" w:hAnsi="Times New Roman" w:cs="Times New Roman"/>
          <w:sz w:val="28"/>
          <w:szCs w:val="28"/>
        </w:rPr>
        <w:tab/>
        <w:t>Лібералізація умов кредитування, що зокрема припускає пом'якшення</w:t>
      </w:r>
      <w:r w:rsidRPr="00B07B79">
        <w:rPr>
          <w:rFonts w:ascii="Times New Roman" w:hAnsi="Times New Roman" w:cs="Times New Roman"/>
          <w:sz w:val="28"/>
          <w:szCs w:val="28"/>
        </w:rPr>
        <w:br/>
        <w:t>вимог до забезпечення кредитів і збільшення термінів кредитування;</w:t>
      </w:r>
    </w:p>
    <w:p w:rsidR="00406315" w:rsidRPr="00B07B79" w:rsidRDefault="00406315" w:rsidP="00406315">
      <w:pPr>
        <w:shd w:val="clear" w:color="auto" w:fill="FFFFFF"/>
        <w:tabs>
          <w:tab w:val="left" w:pos="864"/>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3. Висока концентрація кредитних портфелів лише в трьох видах</w:t>
      </w:r>
      <w:r w:rsidRPr="00B07B79">
        <w:rPr>
          <w:rFonts w:ascii="Times New Roman" w:hAnsi="Times New Roman" w:cs="Times New Roman"/>
          <w:sz w:val="28"/>
          <w:szCs w:val="28"/>
        </w:rPr>
        <w:br/>
        <w:t>економічної діяльності.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 ситуації, що склалася в банківській системі України, мінімізація втрат </w:t>
      </w:r>
      <w:r w:rsidRPr="00B07B79">
        <w:rPr>
          <w:rFonts w:ascii="Times New Roman" w:hAnsi="Times New Roman" w:cs="Times New Roman"/>
          <w:spacing w:val="-1"/>
          <w:sz w:val="28"/>
          <w:szCs w:val="28"/>
        </w:rPr>
        <w:t xml:space="preserve">банків від проведення кредитних операцій можлива у разі дотримання таких </w:t>
      </w:r>
      <w:r w:rsidRPr="00B07B79">
        <w:rPr>
          <w:rFonts w:ascii="Times New Roman" w:hAnsi="Times New Roman" w:cs="Times New Roman"/>
          <w:sz w:val="28"/>
          <w:szCs w:val="28"/>
        </w:rPr>
        <w:t>передумов:</w:t>
      </w:r>
    </w:p>
    <w:p w:rsidR="00406315" w:rsidRPr="00B07B79" w:rsidRDefault="00406315" w:rsidP="00406315">
      <w:pPr>
        <w:widowControl w:val="0"/>
        <w:numPr>
          <w:ilvl w:val="0"/>
          <w:numId w:val="51"/>
        </w:numPr>
        <w:shd w:val="clear" w:color="auto" w:fill="FFFFFF"/>
        <w:tabs>
          <w:tab w:val="left" w:pos="802"/>
        </w:tabs>
        <w:autoSpaceDE w:val="0"/>
        <w:autoSpaceDN w:val="0"/>
        <w:adjustRightInd w:val="0"/>
        <w:spacing w:after="0" w:line="360" w:lineRule="auto"/>
        <w:ind w:firstLine="567"/>
        <w:contextualSpacing/>
        <w:jc w:val="both"/>
        <w:rPr>
          <w:rFonts w:ascii="Times New Roman" w:hAnsi="Times New Roman" w:cs="Times New Roman"/>
          <w:spacing w:val="-35"/>
          <w:sz w:val="28"/>
          <w:szCs w:val="28"/>
        </w:rPr>
      </w:pPr>
      <w:r w:rsidRPr="00B07B79">
        <w:rPr>
          <w:rFonts w:ascii="Times New Roman" w:hAnsi="Times New Roman" w:cs="Times New Roman"/>
          <w:sz w:val="28"/>
          <w:szCs w:val="28"/>
        </w:rPr>
        <w:t>Провадячи кредитні операції слід ретельніше враховувати структуру й обсяги ресурсної бази банку;</w:t>
      </w:r>
    </w:p>
    <w:p w:rsidR="00406315" w:rsidRPr="00B07B79" w:rsidRDefault="00406315" w:rsidP="00406315">
      <w:pPr>
        <w:widowControl w:val="0"/>
        <w:numPr>
          <w:ilvl w:val="0"/>
          <w:numId w:val="51"/>
        </w:numPr>
        <w:shd w:val="clear" w:color="auto" w:fill="FFFFFF"/>
        <w:tabs>
          <w:tab w:val="left" w:pos="802"/>
        </w:tabs>
        <w:autoSpaceDE w:val="0"/>
        <w:autoSpaceDN w:val="0"/>
        <w:adjustRightInd w:val="0"/>
        <w:spacing w:after="0" w:line="360" w:lineRule="auto"/>
        <w:ind w:firstLine="567"/>
        <w:contextualSpacing/>
        <w:jc w:val="both"/>
        <w:rPr>
          <w:rFonts w:ascii="Times New Roman" w:hAnsi="Times New Roman" w:cs="Times New Roman"/>
          <w:spacing w:val="-17"/>
          <w:sz w:val="28"/>
          <w:szCs w:val="28"/>
        </w:rPr>
      </w:pPr>
      <w:r w:rsidRPr="00B07B79">
        <w:rPr>
          <w:rFonts w:ascii="Times New Roman" w:hAnsi="Times New Roman" w:cs="Times New Roman"/>
          <w:sz w:val="28"/>
          <w:szCs w:val="28"/>
        </w:rPr>
        <w:t xml:space="preserve">Приділяти більшу увагу формуванню і підтриманню на певному рівні обсягу вторинного резерву ліквідних коштів, який може бути використаний </w:t>
      </w:r>
      <w:r w:rsidRPr="00B07B79">
        <w:rPr>
          <w:rFonts w:ascii="Times New Roman" w:hAnsi="Times New Roman" w:cs="Times New Roman"/>
          <w:spacing w:val="-2"/>
          <w:sz w:val="28"/>
          <w:szCs w:val="28"/>
        </w:rPr>
        <w:t>як джерело для поповнення ліквідності в період економічного спаду;</w:t>
      </w:r>
    </w:p>
    <w:p w:rsidR="00406315" w:rsidRPr="00B07B79" w:rsidRDefault="00406315" w:rsidP="00406315">
      <w:pPr>
        <w:widowControl w:val="0"/>
        <w:numPr>
          <w:ilvl w:val="0"/>
          <w:numId w:val="51"/>
        </w:numPr>
        <w:shd w:val="clear" w:color="auto" w:fill="FFFFFF"/>
        <w:tabs>
          <w:tab w:val="left" w:pos="802"/>
        </w:tabs>
        <w:autoSpaceDE w:val="0"/>
        <w:autoSpaceDN w:val="0"/>
        <w:adjustRightInd w:val="0"/>
        <w:spacing w:after="0" w:line="360" w:lineRule="auto"/>
        <w:ind w:firstLine="567"/>
        <w:contextualSpacing/>
        <w:jc w:val="both"/>
        <w:rPr>
          <w:rFonts w:ascii="Times New Roman" w:hAnsi="Times New Roman" w:cs="Times New Roman"/>
          <w:spacing w:val="-17"/>
          <w:sz w:val="28"/>
          <w:szCs w:val="28"/>
        </w:rPr>
      </w:pPr>
      <w:r w:rsidRPr="00B07B79">
        <w:rPr>
          <w:rFonts w:ascii="Times New Roman" w:hAnsi="Times New Roman" w:cs="Times New Roman"/>
          <w:spacing w:val="-1"/>
          <w:sz w:val="28"/>
          <w:szCs w:val="28"/>
        </w:rPr>
        <w:t>Підвищувати рівень капіталізації банків;</w:t>
      </w:r>
    </w:p>
    <w:p w:rsidR="00406315" w:rsidRPr="00B07B79" w:rsidRDefault="00406315" w:rsidP="00406315">
      <w:pPr>
        <w:widowControl w:val="0"/>
        <w:numPr>
          <w:ilvl w:val="0"/>
          <w:numId w:val="51"/>
        </w:numPr>
        <w:shd w:val="clear" w:color="auto" w:fill="FFFFFF"/>
        <w:tabs>
          <w:tab w:val="left" w:pos="802"/>
        </w:tabs>
        <w:autoSpaceDE w:val="0"/>
        <w:autoSpaceDN w:val="0"/>
        <w:adjustRightInd w:val="0"/>
        <w:spacing w:after="0" w:line="360" w:lineRule="auto"/>
        <w:ind w:firstLine="567"/>
        <w:contextualSpacing/>
        <w:jc w:val="both"/>
        <w:rPr>
          <w:rFonts w:ascii="Times New Roman" w:hAnsi="Times New Roman" w:cs="Times New Roman"/>
          <w:spacing w:val="-17"/>
          <w:sz w:val="28"/>
          <w:szCs w:val="28"/>
        </w:rPr>
      </w:pPr>
      <w:r w:rsidRPr="00B07B79">
        <w:rPr>
          <w:rFonts w:ascii="Times New Roman" w:hAnsi="Times New Roman" w:cs="Times New Roman"/>
          <w:sz w:val="28"/>
          <w:szCs w:val="28"/>
        </w:rPr>
        <w:t xml:space="preserve">Зменшувати навантаження на капітал банку шляхом розподілу бізнесу, </w:t>
      </w:r>
      <w:r w:rsidRPr="00B07B79">
        <w:rPr>
          <w:rFonts w:ascii="Times New Roman" w:hAnsi="Times New Roman" w:cs="Times New Roman"/>
          <w:spacing w:val="-1"/>
          <w:sz w:val="28"/>
          <w:szCs w:val="28"/>
        </w:rPr>
        <w:t>обтяженого кредитними ризиками, серед спеціалізованих компаній (лізингових,</w:t>
      </w:r>
      <w:r w:rsidRPr="00B07B79">
        <w:rPr>
          <w:rFonts w:ascii="Times New Roman" w:hAnsi="Times New Roman" w:cs="Times New Roman"/>
          <w:spacing w:val="-17"/>
          <w:sz w:val="28"/>
          <w:szCs w:val="28"/>
        </w:rPr>
        <w:t xml:space="preserve"> </w:t>
      </w:r>
      <w:r w:rsidRPr="00B07B79">
        <w:rPr>
          <w:rFonts w:ascii="Times New Roman" w:hAnsi="Times New Roman" w:cs="Times New Roman"/>
          <w:sz w:val="28"/>
          <w:szCs w:val="28"/>
        </w:rPr>
        <w:t>факторингових та інших);</w:t>
      </w:r>
    </w:p>
    <w:p w:rsidR="00406315" w:rsidRPr="00B07B79" w:rsidRDefault="00406315" w:rsidP="00406315">
      <w:pPr>
        <w:shd w:val="clear" w:color="auto" w:fill="FFFFFF"/>
        <w:tabs>
          <w:tab w:val="left" w:pos="835"/>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2"/>
          <w:sz w:val="28"/>
          <w:szCs w:val="28"/>
        </w:rPr>
        <w:lastRenderedPageBreak/>
        <w:t>5.</w:t>
      </w:r>
      <w:r w:rsidRPr="00B07B79">
        <w:rPr>
          <w:rFonts w:ascii="Times New Roman" w:hAnsi="Times New Roman" w:cs="Times New Roman"/>
          <w:sz w:val="28"/>
          <w:szCs w:val="28"/>
        </w:rPr>
        <w:tab/>
        <w:t>Забезпечувати належний рівень диверсифікації кредитного портфеля і</w:t>
      </w:r>
      <w:r w:rsidRPr="00B07B79">
        <w:rPr>
          <w:rFonts w:ascii="Times New Roman" w:hAnsi="Times New Roman" w:cs="Times New Roman"/>
          <w:sz w:val="28"/>
          <w:szCs w:val="28"/>
        </w:rPr>
        <w:br/>
        <w:t>портфеля забезпечення за кредитами:</w:t>
      </w:r>
    </w:p>
    <w:p w:rsidR="00406315" w:rsidRPr="00B07B79" w:rsidRDefault="00406315" w:rsidP="00406315">
      <w:pPr>
        <w:shd w:val="clear" w:color="auto" w:fill="FFFFFF"/>
        <w:tabs>
          <w:tab w:val="left" w:pos="931"/>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0"/>
          <w:sz w:val="28"/>
          <w:szCs w:val="28"/>
        </w:rPr>
        <w:t>6.</w:t>
      </w:r>
      <w:r w:rsidRPr="00B07B79">
        <w:rPr>
          <w:rFonts w:ascii="Times New Roman" w:hAnsi="Times New Roman" w:cs="Times New Roman"/>
          <w:sz w:val="28"/>
          <w:szCs w:val="28"/>
        </w:rPr>
        <w:tab/>
        <w:t xml:space="preserve">Ширше застосовувати процедури </w:t>
      </w:r>
      <w:proofErr w:type="spellStart"/>
      <w:r w:rsidRPr="00B07B79">
        <w:rPr>
          <w:rFonts w:ascii="Times New Roman" w:hAnsi="Times New Roman" w:cs="Times New Roman"/>
          <w:sz w:val="28"/>
          <w:szCs w:val="28"/>
        </w:rPr>
        <w:t>стрес-тестингу</w:t>
      </w:r>
      <w:proofErr w:type="spellEnd"/>
      <w:r w:rsidRPr="00B07B79">
        <w:rPr>
          <w:rFonts w:ascii="Times New Roman" w:hAnsi="Times New Roman" w:cs="Times New Roman"/>
          <w:sz w:val="28"/>
          <w:szCs w:val="28"/>
        </w:rPr>
        <w:t xml:space="preserve"> в процесі оцінки</w:t>
      </w:r>
      <w:r w:rsidRPr="00B07B79">
        <w:rPr>
          <w:rFonts w:ascii="Times New Roman" w:hAnsi="Times New Roman" w:cs="Times New Roman"/>
          <w:sz w:val="28"/>
          <w:szCs w:val="28"/>
        </w:rPr>
        <w:br/>
      </w:r>
      <w:r w:rsidRPr="00B07B79">
        <w:rPr>
          <w:rFonts w:ascii="Times New Roman" w:hAnsi="Times New Roman" w:cs="Times New Roman"/>
          <w:spacing w:val="-2"/>
          <w:sz w:val="28"/>
          <w:szCs w:val="28"/>
        </w:rPr>
        <w:t>кредитних проектів, а також у процесі визначення і встановлення умов надання</w:t>
      </w:r>
      <w:r w:rsidRPr="00B07B79">
        <w:rPr>
          <w:rFonts w:ascii="Times New Roman" w:hAnsi="Times New Roman" w:cs="Times New Roman"/>
          <w:spacing w:val="-2"/>
          <w:sz w:val="28"/>
          <w:szCs w:val="28"/>
        </w:rPr>
        <w:br/>
      </w:r>
      <w:r w:rsidRPr="00B07B79">
        <w:rPr>
          <w:rFonts w:ascii="Times New Roman" w:hAnsi="Times New Roman" w:cs="Times New Roman"/>
          <w:sz w:val="28"/>
          <w:szCs w:val="28"/>
        </w:rPr>
        <w:t>кредитів за стандартизованими продуктами банку;</w:t>
      </w:r>
    </w:p>
    <w:p w:rsidR="00406315" w:rsidRPr="00B07B79" w:rsidRDefault="00406315" w:rsidP="00406315">
      <w:pPr>
        <w:shd w:val="clear" w:color="auto" w:fill="FFFFFF"/>
        <w:tabs>
          <w:tab w:val="left" w:pos="821"/>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2"/>
          <w:sz w:val="28"/>
          <w:szCs w:val="28"/>
        </w:rPr>
        <w:t>7.</w:t>
      </w:r>
      <w:r w:rsidRPr="00B07B79">
        <w:rPr>
          <w:rFonts w:ascii="Times New Roman" w:hAnsi="Times New Roman" w:cs="Times New Roman"/>
          <w:sz w:val="28"/>
          <w:szCs w:val="28"/>
        </w:rPr>
        <w:tab/>
      </w:r>
      <w:r w:rsidRPr="00B07B79">
        <w:rPr>
          <w:rFonts w:ascii="Times New Roman" w:hAnsi="Times New Roman" w:cs="Times New Roman"/>
          <w:spacing w:val="-3"/>
          <w:sz w:val="28"/>
          <w:szCs w:val="28"/>
        </w:rPr>
        <w:t>Встановлювати ліміти й обмеження у сфері кредитування з урахуванням</w:t>
      </w:r>
      <w:r w:rsidRPr="00B07B79">
        <w:rPr>
          <w:rFonts w:ascii="Times New Roman" w:hAnsi="Times New Roman" w:cs="Times New Roman"/>
          <w:spacing w:val="-3"/>
          <w:sz w:val="28"/>
          <w:szCs w:val="28"/>
        </w:rPr>
        <w:br/>
      </w:r>
      <w:r w:rsidRPr="00B07B79">
        <w:rPr>
          <w:rFonts w:ascii="Times New Roman" w:hAnsi="Times New Roman" w:cs="Times New Roman"/>
          <w:sz w:val="28"/>
          <w:szCs w:val="28"/>
        </w:rPr>
        <w:t>допустимого рівня втрат банку від кредитних операцій.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Протягом останніх років банківські системи держав Центральної та </w:t>
      </w:r>
      <w:r w:rsidRPr="00B07B79">
        <w:rPr>
          <w:rFonts w:ascii="Times New Roman" w:hAnsi="Times New Roman" w:cs="Times New Roman"/>
          <w:spacing w:val="-3"/>
          <w:sz w:val="28"/>
          <w:szCs w:val="28"/>
        </w:rPr>
        <w:t xml:space="preserve">Східної Європи розвивалися доволі динамічно. Незважаючи на різні вихідні рівні </w:t>
      </w:r>
      <w:r w:rsidRPr="00B07B79">
        <w:rPr>
          <w:rFonts w:ascii="Times New Roman" w:hAnsi="Times New Roman" w:cs="Times New Roman"/>
          <w:spacing w:val="-1"/>
          <w:sz w:val="28"/>
          <w:szCs w:val="28"/>
        </w:rPr>
        <w:t xml:space="preserve">розвитку, динаміку показників, перебіг економічних реформ і демократичних </w:t>
      </w:r>
      <w:r w:rsidRPr="00B07B79">
        <w:rPr>
          <w:rFonts w:ascii="Times New Roman" w:hAnsi="Times New Roman" w:cs="Times New Roman"/>
          <w:sz w:val="28"/>
          <w:szCs w:val="28"/>
        </w:rPr>
        <w:t xml:space="preserve">перетворень у цілому, їх характеризували спільні риси, що дає змогу при </w:t>
      </w:r>
      <w:r w:rsidRPr="00B07B79">
        <w:rPr>
          <w:rFonts w:ascii="Times New Roman" w:hAnsi="Times New Roman" w:cs="Times New Roman"/>
          <w:spacing w:val="-2"/>
          <w:sz w:val="28"/>
          <w:szCs w:val="28"/>
        </w:rPr>
        <w:t xml:space="preserve">дослідженні міжнародних фінансових ринків віднести ці країни до ринків, що </w:t>
      </w:r>
      <w:r w:rsidRPr="00B07B79">
        <w:rPr>
          <w:rFonts w:ascii="Times New Roman" w:hAnsi="Times New Roman" w:cs="Times New Roman"/>
          <w:sz w:val="28"/>
          <w:szCs w:val="28"/>
        </w:rPr>
        <w:t xml:space="preserve">розвиваються. Практично в усіх країнах Центральної та Східної Європи рівень концентрації банківського капіталу є надзвичайно високим - від 37% в Україні </w:t>
      </w:r>
      <w:r w:rsidRPr="00B07B79">
        <w:rPr>
          <w:rFonts w:ascii="Times New Roman" w:hAnsi="Times New Roman" w:cs="Times New Roman"/>
          <w:spacing w:val="-1"/>
          <w:sz w:val="28"/>
          <w:szCs w:val="28"/>
        </w:rPr>
        <w:t xml:space="preserve">(за п'ятьма найбільшими банками) до 99% в Естонії: фактичне значення рівня адекватності капіталу ризиковим активам при нормативі 8%, рекомендованому Базельським комітетом з банківського нагляду (для України прийнято 10%, для </w:t>
      </w:r>
      <w:r>
        <w:rPr>
          <w:rFonts w:ascii="Times New Roman" w:hAnsi="Times New Roman" w:cs="Times New Roman"/>
          <w:spacing w:val="-5"/>
          <w:sz w:val="28"/>
          <w:szCs w:val="28"/>
        </w:rPr>
        <w:t>Молдови - 12%</w:t>
      </w:r>
      <w:r w:rsidRPr="00B07B79">
        <w:rPr>
          <w:rFonts w:ascii="Times New Roman" w:hAnsi="Times New Roman" w:cs="Times New Roman"/>
          <w:spacing w:val="-5"/>
          <w:sz w:val="28"/>
          <w:szCs w:val="28"/>
        </w:rPr>
        <w:t>), коливається в межах від 11.7% у Латвії до 31.4% у Молдові.</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Занепокоєність стрімким зростанням обсягів кредитування пов'язана з тим, то згідно з проведеними останнім часом зарубіжними фахівцями дослідженнями, до переліку статистично значущих індикаторів раннього попередження банківських криз відносять 5%-й рівень безнадійної кредитної заборгованості в активах банківської системи, 10%-й рівень простроченої </w:t>
      </w:r>
      <w:r w:rsidRPr="00B07B79">
        <w:rPr>
          <w:rFonts w:ascii="Times New Roman" w:hAnsi="Times New Roman" w:cs="Times New Roman"/>
          <w:spacing w:val="-2"/>
          <w:sz w:val="28"/>
          <w:szCs w:val="28"/>
        </w:rPr>
        <w:t xml:space="preserve">заборгованості в сукупному кредитному портфелі банків, високі (понад 20%&gt; на </w:t>
      </w:r>
      <w:r w:rsidRPr="00B07B79">
        <w:rPr>
          <w:rFonts w:ascii="Times New Roman" w:hAnsi="Times New Roman" w:cs="Times New Roman"/>
          <w:sz w:val="28"/>
          <w:szCs w:val="28"/>
        </w:rPr>
        <w:t>рік) темпи приросту сукупного кредитного портфеля банків, а також стрімке зростання відношення обсягів кредитування до ВВП та відсоткових ставок за кредитами.</w:t>
      </w:r>
      <w:r w:rsidRPr="00BD6111">
        <w:rPr>
          <w:rFonts w:ascii="Times New Roman" w:hAnsi="Times New Roman" w:cs="Times New Roman"/>
          <w:sz w:val="28"/>
          <w:szCs w:val="28"/>
        </w:rPr>
        <w:t>[4]</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 xml:space="preserve">Природно, що однозначну відповідь на питання, чи є стрімке зростання обсягів кредитування в країнах Центральної та Східної Європи, в тому числі й в Україні, результатом подолання відставання у розвитку банківської системи чи навпаки, дати важко, оскільки структурні зміни, які безпосередньо впливали на їх економіку, ускладнюють розрахунок вихідного (початкового) рівня кредитування. Однак головна підстава для занепокоєння, на думку як науковців, так і практиків, полягає втому, що процес переходу до рівноваги, тобто до нового нормального рівня, може бути пов'язаний зі значними ризиками - як макроекономічними, так і мікроекономічними. Так. Експерти вважають, що стрімке зростання обсягів виданих протягом останніх років кредитів є головним фактором ризику розвитку банківської системи України. На їх думку, в </w:t>
      </w:r>
      <w:proofErr w:type="spellStart"/>
      <w:r w:rsidRPr="00B07B79">
        <w:rPr>
          <w:rFonts w:ascii="Times New Roman" w:hAnsi="Times New Roman" w:cs="Times New Roman"/>
          <w:sz w:val="28"/>
          <w:szCs w:val="28"/>
        </w:rPr>
        <w:t>середньо-строковій</w:t>
      </w:r>
      <w:proofErr w:type="spellEnd"/>
      <w:r w:rsidRPr="00B07B79">
        <w:rPr>
          <w:rFonts w:ascii="Times New Roman" w:hAnsi="Times New Roman" w:cs="Times New Roman"/>
          <w:sz w:val="28"/>
          <w:szCs w:val="28"/>
        </w:rPr>
        <w:t xml:space="preserve"> перспективі високі темпи збільшення кредитування вірогідно збережуться у зв'язку з розширенням споживчого кредиту та поліпшенням доступу малих і середніх підприємств до банківського фінансування. Однак швидке зростання й висока концентрація кредитних портфелів у поєднанні з низькою платіжною культурою і неперевіреною ефективністю процедур кредитного захисту можуть призвести до серйозних проблем у майбутньому. Водночас завдяки списанню старих проблемних позик та вдосконаленню процедур видачі й моніторингу кредитів рівень </w:t>
      </w:r>
      <w:proofErr w:type="spellStart"/>
      <w:r w:rsidRPr="00B07B79">
        <w:rPr>
          <w:rFonts w:ascii="Times New Roman" w:hAnsi="Times New Roman" w:cs="Times New Roman"/>
          <w:sz w:val="28"/>
          <w:szCs w:val="28"/>
        </w:rPr>
        <w:t>нефункціонуючих</w:t>
      </w:r>
      <w:proofErr w:type="spellEnd"/>
      <w:r w:rsidRPr="00B07B79">
        <w:rPr>
          <w:rFonts w:ascii="Times New Roman" w:hAnsi="Times New Roman" w:cs="Times New Roman"/>
          <w:sz w:val="28"/>
          <w:szCs w:val="28"/>
        </w:rPr>
        <w:t xml:space="preserve"> позик буде знижуватися.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Як свідчить аналіз фактичних даних, у більшості країн Центральної та Східної Європи частка стандартних кредитів є доволі високою і коливається від </w:t>
      </w:r>
      <w:r w:rsidRPr="00B07B79">
        <w:rPr>
          <w:rFonts w:ascii="Times New Roman" w:hAnsi="Times New Roman" w:cs="Times New Roman"/>
          <w:spacing w:val="-2"/>
          <w:sz w:val="28"/>
          <w:szCs w:val="28"/>
        </w:rPr>
        <w:t xml:space="preserve">59% у Молдові й 67% в Україні до 95-98% в Білорусі, Болгарії, Латвії, Угорщині </w:t>
      </w:r>
      <w:r w:rsidRPr="00B07B79">
        <w:rPr>
          <w:rFonts w:ascii="Times New Roman" w:hAnsi="Times New Roman" w:cs="Times New Roman"/>
          <w:sz w:val="28"/>
          <w:szCs w:val="28"/>
        </w:rPr>
        <w:t>та Хорватії. Останнім часом значно поліпшується структура кредитного портфеля в Україні</w:t>
      </w:r>
      <w:r w:rsidRPr="00B07B79">
        <w:rPr>
          <w:rFonts w:ascii="Times New Roman" w:hAnsi="Times New Roman" w:cs="Times New Roman"/>
          <w:spacing w:val="-2"/>
          <w:sz w:val="28"/>
          <w:szCs w:val="28"/>
        </w:rPr>
        <w:t xml:space="preserve"> На </w:t>
      </w:r>
      <w:r w:rsidRPr="00B07B79">
        <w:rPr>
          <w:rFonts w:ascii="Times New Roman" w:hAnsi="Times New Roman" w:cs="Times New Roman"/>
          <w:sz w:val="28"/>
          <w:szCs w:val="28"/>
        </w:rPr>
        <w:t xml:space="preserve">макроекономічному рівні у більшості країн Центральної та Східної Європи </w:t>
      </w:r>
      <w:r w:rsidRPr="00B07B79">
        <w:rPr>
          <w:rFonts w:ascii="Times New Roman" w:hAnsi="Times New Roman" w:cs="Times New Roman"/>
          <w:spacing w:val="-1"/>
          <w:sz w:val="28"/>
          <w:szCs w:val="28"/>
        </w:rPr>
        <w:t xml:space="preserve">стрімке зростання обсягів кредитування послужило однією з підстав зростання </w:t>
      </w:r>
      <w:r w:rsidRPr="00B07B79">
        <w:rPr>
          <w:rFonts w:ascii="Times New Roman" w:hAnsi="Times New Roman" w:cs="Times New Roman"/>
          <w:sz w:val="28"/>
          <w:szCs w:val="28"/>
        </w:rPr>
        <w:t xml:space="preserve">імпорту і збільшення дефіциту платіжного балансу. Триваюче погіршення зовнішньоторговельного сальдо може підвищити ризик від наслідків спекуляцій на пониження курсів валют цих країн в умовах діючих режимів валютної прив'язки або жорстко </w:t>
      </w:r>
      <w:r w:rsidRPr="00B07B79">
        <w:rPr>
          <w:rFonts w:ascii="Times New Roman" w:hAnsi="Times New Roman" w:cs="Times New Roman"/>
          <w:sz w:val="28"/>
          <w:szCs w:val="28"/>
        </w:rPr>
        <w:lastRenderedPageBreak/>
        <w:t xml:space="preserve">регульованих валютних курсів. Низький рівень заощаджень у більшості країн Центральної та Східної Європи свідчить, </w:t>
      </w:r>
      <w:r w:rsidRPr="00B07B79">
        <w:rPr>
          <w:rFonts w:ascii="Times New Roman" w:hAnsi="Times New Roman" w:cs="Times New Roman"/>
          <w:spacing w:val="-2"/>
          <w:sz w:val="28"/>
          <w:szCs w:val="28"/>
        </w:rPr>
        <w:t xml:space="preserve">що їх економіка значною мірою залежить від готовності іноземних інвесторів </w:t>
      </w:r>
      <w:r w:rsidRPr="00B07B79">
        <w:rPr>
          <w:rFonts w:ascii="Times New Roman" w:hAnsi="Times New Roman" w:cs="Times New Roman"/>
          <w:spacing w:val="-1"/>
          <w:sz w:val="28"/>
          <w:szCs w:val="28"/>
        </w:rPr>
        <w:t xml:space="preserve">фінансувати дефіцити платіжного балансу та державною бюджету. Така модель </w:t>
      </w:r>
      <w:r w:rsidRPr="00B07B79">
        <w:rPr>
          <w:rFonts w:ascii="Times New Roman" w:hAnsi="Times New Roman" w:cs="Times New Roman"/>
          <w:sz w:val="28"/>
          <w:szCs w:val="28"/>
        </w:rPr>
        <w:t xml:space="preserve">багато в чому нагадує досвід інших держав, де надмірний оптимізм стосовно майбутніх доходів призвів до різкого підвищення вартісної оцінки активів і </w:t>
      </w:r>
      <w:r w:rsidRPr="00B07B79">
        <w:rPr>
          <w:rFonts w:ascii="Times New Roman" w:hAnsi="Times New Roman" w:cs="Times New Roman"/>
          <w:spacing w:val="-1"/>
          <w:sz w:val="28"/>
          <w:szCs w:val="28"/>
        </w:rPr>
        <w:t xml:space="preserve">бурхливого припливу капіталу, що дало населенню змогу позичати й витрачати </w:t>
      </w:r>
      <w:r w:rsidRPr="00B07B79">
        <w:rPr>
          <w:rFonts w:ascii="Times New Roman" w:hAnsi="Times New Roman" w:cs="Times New Roman"/>
          <w:sz w:val="28"/>
          <w:szCs w:val="28"/>
        </w:rPr>
        <w:t>позичені кошти.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Стосовно фінансового сектору, то досі немає впевненості, чи зможуть банківські системи контролю за кредитними ризиками у країнах Центральної </w:t>
      </w:r>
      <w:r w:rsidRPr="00B07B79">
        <w:rPr>
          <w:rFonts w:ascii="Times New Roman" w:hAnsi="Times New Roman" w:cs="Times New Roman"/>
          <w:spacing w:val="-1"/>
          <w:sz w:val="28"/>
          <w:szCs w:val="28"/>
        </w:rPr>
        <w:t xml:space="preserve">та Східної Європи впоратися з потенційним кредитним бумом. У більшості цих </w:t>
      </w:r>
      <w:r w:rsidRPr="00B07B79">
        <w:rPr>
          <w:rFonts w:ascii="Times New Roman" w:hAnsi="Times New Roman" w:cs="Times New Roman"/>
          <w:sz w:val="28"/>
          <w:szCs w:val="28"/>
        </w:rPr>
        <w:t xml:space="preserve">країн </w:t>
      </w:r>
      <w:proofErr w:type="spellStart"/>
      <w:r w:rsidRPr="00B07B79">
        <w:rPr>
          <w:rFonts w:ascii="Times New Roman" w:hAnsi="Times New Roman" w:cs="Times New Roman"/>
          <w:sz w:val="28"/>
          <w:szCs w:val="28"/>
        </w:rPr>
        <w:t>пруденційні</w:t>
      </w:r>
      <w:proofErr w:type="spellEnd"/>
      <w:r w:rsidRPr="00B07B79">
        <w:rPr>
          <w:rFonts w:ascii="Times New Roman" w:hAnsi="Times New Roman" w:cs="Times New Roman"/>
          <w:sz w:val="28"/>
          <w:szCs w:val="28"/>
        </w:rPr>
        <w:t xml:space="preserve"> індикатори, хоча й називаються індикаторами раннього попередження, не вказують на наявність значної нестабільності в банківських системах, оскільки більшість із них є "запізнілими", а не "випереджаючими", або ж для їх прояву потрібен значний період часу - інколи 10-15 місяців. Мало того, в багатьох країнах спостерігаються ознаки зниження рівня достатності капіталу при істотному підвищенні кредитних ризиків.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Бурхливе зростання кредитної маси, особливо в тих країнах, де швидко збільшується кількість клопотань про надання кредитів, спричинює тиск на </w:t>
      </w:r>
      <w:r w:rsidRPr="00B07B79">
        <w:rPr>
          <w:rFonts w:ascii="Times New Roman" w:hAnsi="Times New Roman" w:cs="Times New Roman"/>
          <w:spacing w:val="-4"/>
          <w:sz w:val="28"/>
          <w:szCs w:val="28"/>
        </w:rPr>
        <w:t xml:space="preserve">банки і впливає: на спроможність органів банківського нагляду оцінювати ризики. </w:t>
      </w:r>
      <w:r w:rsidRPr="00B07B79">
        <w:rPr>
          <w:rFonts w:ascii="Times New Roman" w:hAnsi="Times New Roman" w:cs="Times New Roman"/>
          <w:spacing w:val="-3"/>
          <w:sz w:val="28"/>
          <w:szCs w:val="28"/>
        </w:rPr>
        <w:t xml:space="preserve">Потенційна вразливість банків до опосередкованого впливу валютних ризиків, </w:t>
      </w:r>
      <w:r w:rsidRPr="00B07B79">
        <w:rPr>
          <w:rFonts w:ascii="Times New Roman" w:hAnsi="Times New Roman" w:cs="Times New Roman"/>
          <w:spacing w:val="-4"/>
          <w:sz w:val="28"/>
          <w:szCs w:val="28"/>
        </w:rPr>
        <w:t xml:space="preserve">цілком імовірно, також зросла, оскільки кредити в іноземних валютах становлять </w:t>
      </w:r>
      <w:r w:rsidRPr="00B07B79">
        <w:rPr>
          <w:rFonts w:ascii="Times New Roman" w:hAnsi="Times New Roman" w:cs="Times New Roman"/>
          <w:sz w:val="28"/>
          <w:szCs w:val="28"/>
        </w:rPr>
        <w:t xml:space="preserve">істотну частину сукупної кредитної маси. Кредити дедалі більшою мірою </w:t>
      </w:r>
      <w:r w:rsidRPr="00B07B79">
        <w:rPr>
          <w:rFonts w:ascii="Times New Roman" w:hAnsi="Times New Roman" w:cs="Times New Roman"/>
          <w:spacing w:val="-1"/>
          <w:sz w:val="28"/>
          <w:szCs w:val="28"/>
        </w:rPr>
        <w:t xml:space="preserve">фінансуються не за рахунок класичних депозитів, а за рахунок інших видів </w:t>
      </w:r>
      <w:r w:rsidRPr="00B07B79">
        <w:rPr>
          <w:rFonts w:ascii="Times New Roman" w:hAnsi="Times New Roman" w:cs="Times New Roman"/>
          <w:spacing w:val="-3"/>
          <w:sz w:val="28"/>
          <w:szCs w:val="28"/>
        </w:rPr>
        <w:t xml:space="preserve">зобов'язань, причому банки розширюють кредитування шляхом зміни структури </w:t>
      </w:r>
      <w:r w:rsidRPr="00B07B79">
        <w:rPr>
          <w:rFonts w:ascii="Times New Roman" w:hAnsi="Times New Roman" w:cs="Times New Roman"/>
          <w:spacing w:val="-5"/>
          <w:sz w:val="28"/>
          <w:szCs w:val="28"/>
        </w:rPr>
        <w:t>власних активів і передусім на основі збільшення зовнішніх запозичень.</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Водночас слід зазначити, що стрімке скорочення процентної маржі внаслідок загострення конкуренції та залучення дешевих ресурсів може </w:t>
      </w:r>
      <w:r w:rsidRPr="00B07B79">
        <w:rPr>
          <w:rFonts w:ascii="Times New Roman" w:hAnsi="Times New Roman" w:cs="Times New Roman"/>
          <w:sz w:val="28"/>
          <w:szCs w:val="28"/>
        </w:rPr>
        <w:lastRenderedPageBreak/>
        <w:t xml:space="preserve">призвести до зниження прибутковості банків і відтак до підвищення нестабільності банківської системи, внаслідок чого банки можуть зазнати додаткових ризиків. Ці макроекономічні та фінансові ризики тісно пов'язані. З одного боку, макроекономічна нестабільність (значні темпи інфляції та/або зовнішні дисбалансі) може сприяти виникненню фінансової нестабільності — особливо толі, коли банки та їх позичальники значною мірою наражаються на процентні й курсові ризики. З іншого, фінансова нестабільність (вразлива фінансова система, дефіцит бюджету) спричинює виникнення макроекономічних дисбалансів, оскільки ринки у відповідь на такі сигнали коригують власні інвестиційні портфелі, в тому числі авуари в іноземних </w:t>
      </w:r>
      <w:r w:rsidRPr="00B07B79">
        <w:rPr>
          <w:rFonts w:ascii="Times New Roman" w:hAnsi="Times New Roman" w:cs="Times New Roman"/>
          <w:spacing w:val="-2"/>
          <w:sz w:val="28"/>
          <w:szCs w:val="28"/>
        </w:rPr>
        <w:t xml:space="preserve">валютах. Таким чином, у наборі необхідних заходів економічної політики мають </w:t>
      </w:r>
      <w:r w:rsidRPr="00B07B79">
        <w:rPr>
          <w:rFonts w:ascii="Times New Roman" w:hAnsi="Times New Roman" w:cs="Times New Roman"/>
          <w:spacing w:val="-1"/>
          <w:sz w:val="28"/>
          <w:szCs w:val="28"/>
        </w:rPr>
        <w:t xml:space="preserve">поєднуватися макроекономічні та </w:t>
      </w:r>
      <w:proofErr w:type="spellStart"/>
      <w:r w:rsidRPr="00B07B79">
        <w:rPr>
          <w:rFonts w:ascii="Times New Roman" w:hAnsi="Times New Roman" w:cs="Times New Roman"/>
          <w:spacing w:val="-1"/>
          <w:sz w:val="28"/>
          <w:szCs w:val="28"/>
        </w:rPr>
        <w:t>пруденційні</w:t>
      </w:r>
      <w:proofErr w:type="spellEnd"/>
      <w:r w:rsidRPr="00B07B79">
        <w:rPr>
          <w:rFonts w:ascii="Times New Roman" w:hAnsi="Times New Roman" w:cs="Times New Roman"/>
          <w:spacing w:val="-1"/>
          <w:sz w:val="28"/>
          <w:szCs w:val="28"/>
        </w:rPr>
        <w:t xml:space="preserve"> заходи, спрямовані на подолання </w:t>
      </w:r>
      <w:r w:rsidRPr="00B07B79">
        <w:rPr>
          <w:rFonts w:ascii="Times New Roman" w:hAnsi="Times New Roman" w:cs="Times New Roman"/>
          <w:sz w:val="28"/>
          <w:szCs w:val="28"/>
        </w:rPr>
        <w:t>або попередження ризиків. Це підтверджують і експерти, які зазначають, що регулювання і нагляд за банківською діяльністю в Україні розвинені недостатньо, і не перешкоджає підвищенню кредитоспроможності банків країни.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proofErr w:type="spellStart"/>
      <w:r w:rsidRPr="00B07B79">
        <w:rPr>
          <w:rFonts w:ascii="Times New Roman" w:hAnsi="Times New Roman" w:cs="Times New Roman"/>
          <w:sz w:val="28"/>
          <w:szCs w:val="28"/>
        </w:rPr>
        <w:t>Обгрунтування</w:t>
      </w:r>
      <w:proofErr w:type="spellEnd"/>
      <w:r w:rsidRPr="00B07B79">
        <w:rPr>
          <w:rFonts w:ascii="Times New Roman" w:hAnsi="Times New Roman" w:cs="Times New Roman"/>
          <w:sz w:val="28"/>
          <w:szCs w:val="28"/>
        </w:rPr>
        <w:t xml:space="preserve"> певної стратегії управління кредитними процесами та підбір інструментів економічної політики у цій сфері повинні базуватися передусім на чіткому визначенні характеру та видів можливих ризиків макроекономічної і фінансової стабільності, пов'язаних зі зростанням обсягів кредитування (див. Додаток 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Цей процес включає моніторинг і аналіз агрегованих даних за категоріями позичальників, цілями кредитування, термінами та періодами фіксації процентних ставок, валютою розрахунків, а також іншими істотними параметрами, такими як наявність заставного забезпечення і джерел фінансування. Без такої комплексної оцінки неможливо з'ясувати, чи є фіксовані темпи зростання кредитування приводом для занепокоєння і як на них слід реагувати. Крім того, виключно важливе значення мають макроекономічні, </w:t>
      </w:r>
      <w:proofErr w:type="spellStart"/>
      <w:r w:rsidRPr="00B07B79">
        <w:rPr>
          <w:rFonts w:ascii="Times New Roman" w:hAnsi="Times New Roman" w:cs="Times New Roman"/>
          <w:sz w:val="28"/>
          <w:szCs w:val="28"/>
        </w:rPr>
        <w:t>макропруденційні</w:t>
      </w:r>
      <w:proofErr w:type="spellEnd"/>
      <w:r w:rsidRPr="00B07B79">
        <w:rPr>
          <w:rFonts w:ascii="Times New Roman" w:hAnsi="Times New Roman" w:cs="Times New Roman"/>
          <w:sz w:val="28"/>
          <w:szCs w:val="28"/>
        </w:rPr>
        <w:t xml:space="preserve"> та структурні фактори, в тому числі наявність макроекономічних дисбалансів, надійність і стійкість грошово-</w:t>
      </w:r>
      <w:r w:rsidRPr="00B07B79">
        <w:rPr>
          <w:rFonts w:ascii="Times New Roman" w:hAnsi="Times New Roman" w:cs="Times New Roman"/>
          <w:sz w:val="28"/>
          <w:szCs w:val="28"/>
        </w:rPr>
        <w:lastRenderedPageBreak/>
        <w:t xml:space="preserve">кредитної політики, особливо там, де діє режим прив'язки валютного курсу, </w:t>
      </w:r>
      <w:r w:rsidRPr="00B07B79">
        <w:rPr>
          <w:rFonts w:ascii="Times New Roman" w:hAnsi="Times New Roman" w:cs="Times New Roman"/>
          <w:spacing w:val="-1"/>
          <w:sz w:val="28"/>
          <w:szCs w:val="28"/>
        </w:rPr>
        <w:t xml:space="preserve">оскільки підвищення процентних ставок, як правило, викликає приплив </w:t>
      </w:r>
      <w:r w:rsidRPr="00B07B79">
        <w:rPr>
          <w:rFonts w:ascii="Times New Roman" w:hAnsi="Times New Roman" w:cs="Times New Roman"/>
          <w:sz w:val="28"/>
          <w:szCs w:val="28"/>
        </w:rPr>
        <w:t>іноземного капіталу, який може ще більше прискорити зростання грошової маси і обсягів кредитування.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Відносно високий рівень "доларизації" економіки також послаблює механізми грошово-кредитної політики, що ускладнює вплив на ставки кредитування і "роздрібні" ставки шляхом їх зміни. Крім того, в окремих країнах Центральної та Східної Європи, де провадиться жорстка бюджетно-податкова політика, органи влади не мають реальних можливостей для використання податково-бюджетних механізмів.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Безумовно, у тих випадках, коли швидке зростання обсягів кредитування є наслідком непослідовної політики або надмірного стимулювання через заходи макроекономічної або структурної політики (наприклад, поєднання заходів грошово-кредитної і валютної політики, які відображають низький рівень курсового ризику і відповідно стимулюють надмірні запозичення в іноземних валютах, або ж щедрі бюджетні стимули для іпотечних позик), найдоцільнішими заходами для виправлення становища є безпосереднє усунення таких викривлень і зменшення стимулювання щодо подальшого розширення кредитування. Необхідно також спрямувати зусилля на розробку </w:t>
      </w:r>
      <w:r w:rsidRPr="00B07B79">
        <w:rPr>
          <w:rFonts w:ascii="Times New Roman" w:hAnsi="Times New Roman" w:cs="Times New Roman"/>
          <w:spacing w:val="-1"/>
          <w:sz w:val="28"/>
          <w:szCs w:val="28"/>
        </w:rPr>
        <w:t xml:space="preserve">дієвих інструментів грошово-кредитної політики та ліквідацію перешкод для їх </w:t>
      </w:r>
      <w:r w:rsidRPr="00B07B79">
        <w:rPr>
          <w:rFonts w:ascii="Times New Roman" w:hAnsi="Times New Roman" w:cs="Times New Roman"/>
          <w:sz w:val="28"/>
          <w:szCs w:val="28"/>
        </w:rPr>
        <w:t>впливу на економіку.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Слід зауважити, що можливості </w:t>
      </w:r>
      <w:proofErr w:type="spellStart"/>
      <w:r w:rsidRPr="00B07B79">
        <w:rPr>
          <w:rFonts w:ascii="Times New Roman" w:hAnsi="Times New Roman" w:cs="Times New Roman"/>
          <w:sz w:val="28"/>
          <w:szCs w:val="28"/>
        </w:rPr>
        <w:t>пруденційних</w:t>
      </w:r>
      <w:proofErr w:type="spellEnd"/>
      <w:r w:rsidRPr="00B07B79">
        <w:rPr>
          <w:rFonts w:ascii="Times New Roman" w:hAnsi="Times New Roman" w:cs="Times New Roman"/>
          <w:sz w:val="28"/>
          <w:szCs w:val="28"/>
        </w:rPr>
        <w:t xml:space="preserve"> заходів обмежені, якщо грошово-кредитні і бюджетно-податкові режими стимулюють зростання обсягів кредитування. Частковий підхід може призвести до спроб обійти </w:t>
      </w:r>
      <w:proofErr w:type="spellStart"/>
      <w:r w:rsidRPr="00B07B79">
        <w:rPr>
          <w:rFonts w:ascii="Times New Roman" w:hAnsi="Times New Roman" w:cs="Times New Roman"/>
          <w:spacing w:val="-1"/>
          <w:sz w:val="28"/>
          <w:szCs w:val="28"/>
        </w:rPr>
        <w:t>пруденційні</w:t>
      </w:r>
      <w:proofErr w:type="spellEnd"/>
      <w:r w:rsidRPr="00B07B79">
        <w:rPr>
          <w:rFonts w:ascii="Times New Roman" w:hAnsi="Times New Roman" w:cs="Times New Roman"/>
          <w:spacing w:val="-1"/>
          <w:sz w:val="28"/>
          <w:szCs w:val="28"/>
        </w:rPr>
        <w:t xml:space="preserve"> заходи шляхом перенесення операцій з кредитування і запозичення </w:t>
      </w:r>
      <w:r w:rsidRPr="00B07B79">
        <w:rPr>
          <w:rFonts w:ascii="Times New Roman" w:hAnsi="Times New Roman" w:cs="Times New Roman"/>
          <w:sz w:val="28"/>
          <w:szCs w:val="28"/>
        </w:rPr>
        <w:t xml:space="preserve">до інших країн або закладів, не охоплених системою регулювання. З цієї причини заходи </w:t>
      </w:r>
      <w:proofErr w:type="spellStart"/>
      <w:r w:rsidRPr="00B07B79">
        <w:rPr>
          <w:rFonts w:ascii="Times New Roman" w:hAnsi="Times New Roman" w:cs="Times New Roman"/>
          <w:sz w:val="28"/>
          <w:szCs w:val="28"/>
        </w:rPr>
        <w:t>пруденційної</w:t>
      </w:r>
      <w:proofErr w:type="spellEnd"/>
      <w:r w:rsidRPr="00B07B79">
        <w:rPr>
          <w:rFonts w:ascii="Times New Roman" w:hAnsi="Times New Roman" w:cs="Times New Roman"/>
          <w:sz w:val="28"/>
          <w:szCs w:val="28"/>
        </w:rPr>
        <w:t xml:space="preserve"> політики слід розглядати у рамках комплексного </w:t>
      </w:r>
      <w:r w:rsidRPr="00B07B79">
        <w:rPr>
          <w:rFonts w:ascii="Times New Roman" w:hAnsi="Times New Roman" w:cs="Times New Roman"/>
          <w:spacing w:val="-2"/>
          <w:sz w:val="28"/>
          <w:szCs w:val="28"/>
        </w:rPr>
        <w:t>пакета заходів, спрямованих на вирішення проблем, пов'язаних зі стрімким зрос</w:t>
      </w:r>
      <w:r w:rsidRPr="00B07B79">
        <w:rPr>
          <w:rFonts w:ascii="Times New Roman" w:hAnsi="Times New Roman" w:cs="Times New Roman"/>
          <w:spacing w:val="-2"/>
          <w:sz w:val="28"/>
          <w:szCs w:val="28"/>
        </w:rPr>
        <w:softHyphen/>
      </w:r>
      <w:r w:rsidRPr="00B07B79">
        <w:rPr>
          <w:rFonts w:ascii="Times New Roman" w:hAnsi="Times New Roman" w:cs="Times New Roman"/>
          <w:sz w:val="28"/>
          <w:szCs w:val="28"/>
        </w:rPr>
        <w:t xml:space="preserve">танням обсягів кредитування. Крім того, оскільки такі заходи покликані </w:t>
      </w:r>
      <w:r w:rsidRPr="00B07B79">
        <w:rPr>
          <w:rFonts w:ascii="Times New Roman" w:hAnsi="Times New Roman" w:cs="Times New Roman"/>
          <w:spacing w:val="-1"/>
          <w:sz w:val="28"/>
          <w:szCs w:val="28"/>
        </w:rPr>
        <w:t xml:space="preserve">забезпечити надійну практику кредитування і </w:t>
      </w:r>
      <w:r w:rsidRPr="00B07B79">
        <w:rPr>
          <w:rFonts w:ascii="Times New Roman" w:hAnsi="Times New Roman" w:cs="Times New Roman"/>
          <w:spacing w:val="-1"/>
          <w:sz w:val="28"/>
          <w:szCs w:val="28"/>
        </w:rPr>
        <w:lastRenderedPageBreak/>
        <w:t xml:space="preserve">підтримання стійкості банківської </w:t>
      </w:r>
      <w:r w:rsidRPr="00B07B79">
        <w:rPr>
          <w:rFonts w:ascii="Times New Roman" w:hAnsi="Times New Roman" w:cs="Times New Roman"/>
          <w:sz w:val="28"/>
          <w:szCs w:val="28"/>
        </w:rPr>
        <w:t>системи до негативних шоків, їх не слід послаблювати автоматично зі зниженням загрози для макроекономічної стабільності.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Країни Центральної та Східної Європи мають неоднакові можливості для застосування суворіших заходів банківського регулювання і </w:t>
      </w:r>
      <w:proofErr w:type="spellStart"/>
      <w:r w:rsidRPr="00B07B79">
        <w:rPr>
          <w:rFonts w:ascii="Times New Roman" w:hAnsi="Times New Roman" w:cs="Times New Roman"/>
          <w:sz w:val="28"/>
          <w:szCs w:val="28"/>
        </w:rPr>
        <w:t>пруденційного</w:t>
      </w:r>
      <w:proofErr w:type="spellEnd"/>
      <w:r w:rsidRPr="00B07B79">
        <w:rPr>
          <w:rFonts w:ascii="Times New Roman" w:hAnsi="Times New Roman" w:cs="Times New Roman"/>
          <w:sz w:val="28"/>
          <w:szCs w:val="28"/>
        </w:rPr>
        <w:t xml:space="preserve"> нагляду. У багатьох із них системи нагляду вже посилено, а тому виключно важливе значення мас підвищення спроможності банків і органів нагляду ефективніше оцінювати і відповідно реагувати на опосередкований вплив </w:t>
      </w:r>
      <w:r w:rsidRPr="00B07B79">
        <w:rPr>
          <w:rFonts w:ascii="Times New Roman" w:hAnsi="Times New Roman" w:cs="Times New Roman"/>
          <w:spacing w:val="-1"/>
          <w:sz w:val="28"/>
          <w:szCs w:val="28"/>
        </w:rPr>
        <w:t xml:space="preserve">курсових ризиків - особливо з урахуванням того, то в більшості країн </w:t>
      </w:r>
      <w:r w:rsidRPr="00B07B79">
        <w:rPr>
          <w:rFonts w:ascii="Times New Roman" w:hAnsi="Times New Roman" w:cs="Times New Roman"/>
          <w:sz w:val="28"/>
          <w:szCs w:val="28"/>
        </w:rPr>
        <w:t xml:space="preserve">Центральної та Східної Європи значна частка кредитів надасться в іноземних валютах, а інформація про ступінь </w:t>
      </w:r>
      <w:proofErr w:type="spellStart"/>
      <w:r w:rsidRPr="00B07B79">
        <w:rPr>
          <w:rFonts w:ascii="Times New Roman" w:hAnsi="Times New Roman" w:cs="Times New Roman"/>
          <w:sz w:val="28"/>
          <w:szCs w:val="28"/>
        </w:rPr>
        <w:t>хеджування</w:t>
      </w:r>
      <w:proofErr w:type="spellEnd"/>
      <w:r w:rsidRPr="00B07B79">
        <w:rPr>
          <w:rFonts w:ascii="Times New Roman" w:hAnsi="Times New Roman" w:cs="Times New Roman"/>
          <w:sz w:val="28"/>
          <w:szCs w:val="28"/>
        </w:rPr>
        <w:t xml:space="preserve"> ризиків позичальниками є обмеженою.</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Ряд країн регіону - Україна, Боснія, Болгарія. Румунія. Сербія, Хорватія, Естонія - стали на шлях жорсткішого регулювання і нагляду банківської діяльності, тоді як Польща реалізувала заходи стосовно посилення системи управління ризиками з боку банків і одночасно скоригувала вимоги щодо достатності капіталу з урахуванням курсовою ризику.</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Зазначимо, то економічна реалізація заходів </w:t>
      </w:r>
      <w:proofErr w:type="spellStart"/>
      <w:r w:rsidRPr="00B07B79">
        <w:rPr>
          <w:rFonts w:ascii="Times New Roman" w:hAnsi="Times New Roman" w:cs="Times New Roman"/>
          <w:sz w:val="28"/>
          <w:szCs w:val="28"/>
        </w:rPr>
        <w:t>пруденційного</w:t>
      </w:r>
      <w:proofErr w:type="spellEnd"/>
      <w:r w:rsidRPr="00B07B79">
        <w:rPr>
          <w:rFonts w:ascii="Times New Roman" w:hAnsi="Times New Roman" w:cs="Times New Roman"/>
          <w:sz w:val="28"/>
          <w:szCs w:val="28"/>
        </w:rPr>
        <w:t xml:space="preserve"> і банківського нагляду вимагає адекватного потенціалу правозастосування, міжнародною співробітництва в галузі обміну інформацією, а також чіткої координації дій органів нагляду за банками і небанківськими фінансовими установами. </w:t>
      </w:r>
      <w:r w:rsidRPr="00B07B79">
        <w:rPr>
          <w:rFonts w:ascii="Times New Roman" w:hAnsi="Times New Roman" w:cs="Times New Roman"/>
          <w:spacing w:val="-1"/>
          <w:sz w:val="28"/>
          <w:szCs w:val="28"/>
        </w:rPr>
        <w:t xml:space="preserve">Необхідно також з'ясувати, які шляхи можуть використовуватися для ухилення </w:t>
      </w:r>
      <w:r w:rsidRPr="00B07B79">
        <w:rPr>
          <w:rFonts w:ascii="Times New Roman" w:hAnsi="Times New Roman" w:cs="Times New Roman"/>
          <w:sz w:val="28"/>
          <w:szCs w:val="28"/>
        </w:rPr>
        <w:t xml:space="preserve">від дотримання вимог (наприклад, перехід від банківських кредитів до прямих зовнішніх запозичень або до запозичень у небанківських фінансових установах, котрі регулюються менш ефективно). Виключно важливим для багатьох країн Центральної та Східної Європи, де основною рушійною силою бурхливого зростання обсягів кредитування є група іноземних материнських банків, регулювання і нагляд щодо яких здійснюються органами країн їх походження, буде встановлення діалогу з органами нагляду стосовно діяльності і стану цих банків (наприклад, шляхом </w:t>
      </w:r>
      <w:r w:rsidRPr="00B07B79">
        <w:rPr>
          <w:rFonts w:ascii="Times New Roman" w:hAnsi="Times New Roman" w:cs="Times New Roman"/>
          <w:sz w:val="28"/>
          <w:szCs w:val="28"/>
        </w:rPr>
        <w:lastRenderedPageBreak/>
        <w:t>підписання двосторонніх або багатосторонніх меморандумів та домовленостей) або ж законодавче запровадження необхідних умов чи параметрів транспарентності банків та принципів корпоративного управління.</w:t>
      </w:r>
      <w:r w:rsidRPr="00BD6111">
        <w:rPr>
          <w:rFonts w:ascii="Times New Roman" w:hAnsi="Times New Roman" w:cs="Times New Roman"/>
          <w:sz w:val="28"/>
          <w:szCs w:val="28"/>
        </w:rPr>
        <w:t>[5]</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Деякі країни Центральної та Східної Європи - Болгарія, Румунія, Хорватія - для вирішення проблем, пов'язаних зі швидким зростанням обсягів кредитування приватного сектору, застосували комплекс адміністративних заходів, реалізованих шляхом запровадження додаткових резервних вимог, використовуваних у разі перевищення лімітів кредитування або залучення банками іноземних позик (зокрема й запозичень у власних головних установах). Такі заходи можуть бути корисними тоді, коли, скажімо, є значні макроекономічні та </w:t>
      </w:r>
      <w:proofErr w:type="spellStart"/>
      <w:r w:rsidRPr="00B07B79">
        <w:rPr>
          <w:rFonts w:ascii="Times New Roman" w:hAnsi="Times New Roman" w:cs="Times New Roman"/>
          <w:sz w:val="28"/>
          <w:szCs w:val="28"/>
        </w:rPr>
        <w:t>пруденційні</w:t>
      </w:r>
      <w:proofErr w:type="spellEnd"/>
      <w:r w:rsidRPr="00B07B79">
        <w:rPr>
          <w:rFonts w:ascii="Times New Roman" w:hAnsi="Times New Roman" w:cs="Times New Roman"/>
          <w:sz w:val="28"/>
          <w:szCs w:val="28"/>
        </w:rPr>
        <w:t xml:space="preserve"> ризики, що виправдовують обмеження темпів кредитування або темпів їх зростання, а також якщо ринки не реагують належним чином на підвищення ризику, причому інші заходи не мають на них належного впливу. Однак уповноважені органи повинні розглядати адміністративні заходи як виключні і тимчасові, оскільки вони можуть призвести до непередбачуваних і небажаних побічних наслідків, у тому числі вплинути на стабільність фінансової системи, для захисту якої вони, власне і призначені.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Стрімке зростання обсягів кредитування у країнах Центральної та Східної Європи і в Україні зокрема відображає (принаймні частково) процес подолання відставання у сфері фінансового посередництва - з низьких рівнів до рівнів, характерних для країн із розвинутою ринковою економікою. Але навіть при переході до нової рівноваги розширення обсягів кредитування може набути розбалансованого характеру і за відсутності надійного управління призвести до значних ризиків. Аби скористатися перевагами розширення обсягів кредитування, водночас запобігаючи ризикам, передусім центральні банки цих країн повинні провадити такі заходи економічної політики, які ефективно протидіятимуть вразливості реального і фінансового секторів. Одним із ключових елементів оцінки вразливості є прискорення </w:t>
      </w:r>
      <w:r w:rsidRPr="00B07B79">
        <w:rPr>
          <w:rFonts w:ascii="Times New Roman" w:hAnsi="Times New Roman" w:cs="Times New Roman"/>
          <w:sz w:val="28"/>
          <w:szCs w:val="28"/>
        </w:rPr>
        <w:lastRenderedPageBreak/>
        <w:t>створення комплексних інформаційних систем, які б давали змогу регулярно провалити моніторинг і аналіз динаміки кредитування.</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Центральні банки та органи влади повинні й надалі посилювати систему </w:t>
      </w:r>
      <w:proofErr w:type="spellStart"/>
      <w:r w:rsidRPr="00B07B79">
        <w:rPr>
          <w:rFonts w:ascii="Times New Roman" w:hAnsi="Times New Roman" w:cs="Times New Roman"/>
          <w:sz w:val="28"/>
          <w:szCs w:val="28"/>
        </w:rPr>
        <w:t>пруденційного</w:t>
      </w:r>
      <w:proofErr w:type="spellEnd"/>
      <w:r w:rsidRPr="00B07B79">
        <w:rPr>
          <w:rFonts w:ascii="Times New Roman" w:hAnsi="Times New Roman" w:cs="Times New Roman"/>
          <w:sz w:val="28"/>
          <w:szCs w:val="28"/>
        </w:rPr>
        <w:t xml:space="preserve"> і банківського нагляду для підвищення стійкості фінансової системи країни, долаючи негативні наслідки зростання обсягів кредитування. Водночас слід зазначити, що </w:t>
      </w:r>
      <w:proofErr w:type="spellStart"/>
      <w:r w:rsidRPr="00B07B79">
        <w:rPr>
          <w:rFonts w:ascii="Times New Roman" w:hAnsi="Times New Roman" w:cs="Times New Roman"/>
          <w:sz w:val="28"/>
          <w:szCs w:val="28"/>
        </w:rPr>
        <w:t>обгрунтовані</w:t>
      </w:r>
      <w:proofErr w:type="spellEnd"/>
      <w:r w:rsidRPr="00B07B79">
        <w:rPr>
          <w:rFonts w:ascii="Times New Roman" w:hAnsi="Times New Roman" w:cs="Times New Roman"/>
          <w:sz w:val="28"/>
          <w:szCs w:val="28"/>
        </w:rPr>
        <w:t xml:space="preserve"> нами пропозиції будуть дієвими лише за надійної системи заходів макроекономічної політики, ефективної координації діяльності органів банківського нагляду різних країн та глибшого розум</w:t>
      </w:r>
      <w:r>
        <w:rPr>
          <w:rFonts w:ascii="Times New Roman" w:hAnsi="Times New Roman" w:cs="Times New Roman"/>
          <w:sz w:val="28"/>
          <w:szCs w:val="28"/>
        </w:rPr>
        <w:t>іння ризиків приватного сектору</w:t>
      </w:r>
      <w:r w:rsidRPr="00BD6111">
        <w:rPr>
          <w:rFonts w:ascii="Times New Roman" w:hAnsi="Times New Roman" w:cs="Times New Roman"/>
          <w:sz w:val="28"/>
          <w:szCs w:val="28"/>
        </w:rPr>
        <w:t>.[6]</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Зміни, що відбулися останніми роками у політичному та економічному становищі пострадянських країн, перехід від командно-адміністративної до ринкової економіки зумовили потребу у поглиблених дослідженнях економічних процесів і явищ. Перебудова української економіки вимагає проведення раціональної інвестиційної політики, активного і послідовного поєднання науки, техніки, використання зарубіжного досвіду. Виконання цих завдань потребує створення сприятливого інвестиційного середовища, визначення місця і ролі банків в інвестиційній діяльності, способів і методів активізації процесу міжнародного інвестування.</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Стратегічною метою банківської діяльності на сучасному етапі має стати забезпечення системної стабільності і створення необхідних умов для розвитку ринку банківських послуг на засадах добросовісної конкуренції. Для України це означає, по-перше, необхідність відмови від практики створення захисних бар'єрів для збереження слабких банків, по-друге, необхідність зосередитися на показниках ефективності банківської діяльності з метою створення банків, здатних до стабільного розвитку, до розвитку в міжнародному масштабі. Можливим шляхом вирішення цього завдання є додаткове вливання капіталу як з боку акціонерів, так і через об'єднання з іншими фінансовими установами.</w:t>
      </w:r>
      <w:r w:rsidRPr="00BD6111">
        <w:rPr>
          <w:rFonts w:ascii="Times New Roman" w:hAnsi="Times New Roman" w:cs="Times New Roman"/>
          <w:sz w:val="28"/>
          <w:szCs w:val="28"/>
        </w:rPr>
        <w:t>[7]</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Таким чином, при формуванні нового типу комерційного банку в Україні треба враховувати тенденції в розвитку банківської системи Заходу. </w:t>
      </w:r>
      <w:r w:rsidRPr="00B07B79">
        <w:rPr>
          <w:rFonts w:ascii="Times New Roman" w:hAnsi="Times New Roman" w:cs="Times New Roman"/>
          <w:sz w:val="28"/>
          <w:szCs w:val="28"/>
        </w:rPr>
        <w:lastRenderedPageBreak/>
        <w:t>Тоді банківська система України не розвиватиметься ізольовано від світового банківського співтовариства і зможе поступово інтегруватися у світовий фінансовий простір.</w:t>
      </w:r>
    </w:p>
    <w:p w:rsidR="00406315" w:rsidRPr="00621722" w:rsidRDefault="00406315" w:rsidP="00406315">
      <w:pPr>
        <w:pStyle w:val="2"/>
        <w:jc w:val="center"/>
        <w:rPr>
          <w:rFonts w:ascii="Times New Roman" w:hAnsi="Times New Roman" w:cs="Times New Roman"/>
          <w:color w:val="auto"/>
          <w:spacing w:val="-1"/>
          <w:sz w:val="28"/>
          <w:szCs w:val="28"/>
        </w:rPr>
      </w:pPr>
      <w:bookmarkStart w:id="13" w:name="_Toc293306711"/>
      <w:r w:rsidRPr="00621722">
        <w:rPr>
          <w:rFonts w:ascii="Times New Roman" w:hAnsi="Times New Roman" w:cs="Times New Roman"/>
          <w:color w:val="auto"/>
          <w:spacing w:val="-1"/>
          <w:sz w:val="28"/>
          <w:szCs w:val="28"/>
        </w:rPr>
        <w:t>3.2. Підвищення якості управління кредитним портфелем комерційного банку</w:t>
      </w:r>
      <w:bookmarkEnd w:id="13"/>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На сучасному етапі не можливо не приймати до уваги ті тенденції, котрі </w:t>
      </w:r>
      <w:r w:rsidRPr="00B07B79">
        <w:rPr>
          <w:rFonts w:ascii="Times New Roman" w:hAnsi="Times New Roman" w:cs="Times New Roman"/>
          <w:spacing w:val="-2"/>
          <w:sz w:val="28"/>
          <w:szCs w:val="28"/>
        </w:rPr>
        <w:t xml:space="preserve">відбуваються у світовому банківському господарстві. Нові запити клієнтів, </w:t>
      </w:r>
      <w:r w:rsidRPr="00B07B79">
        <w:rPr>
          <w:rFonts w:ascii="Times New Roman" w:hAnsi="Times New Roman" w:cs="Times New Roman"/>
          <w:spacing w:val="-1"/>
          <w:sz w:val="28"/>
          <w:szCs w:val="28"/>
        </w:rPr>
        <w:t xml:space="preserve">конкуренція у сфері банківської діяльності потребують більш високого рівня </w:t>
      </w:r>
      <w:r w:rsidRPr="00B07B79">
        <w:rPr>
          <w:rFonts w:ascii="Times New Roman" w:hAnsi="Times New Roman" w:cs="Times New Roman"/>
          <w:spacing w:val="-2"/>
          <w:sz w:val="28"/>
          <w:szCs w:val="28"/>
        </w:rPr>
        <w:t xml:space="preserve">управління. Це стосується не лише малих, а й великих банків. Широкомасштабні </w:t>
      </w:r>
      <w:r w:rsidRPr="00B07B79">
        <w:rPr>
          <w:rFonts w:ascii="Times New Roman" w:hAnsi="Times New Roman" w:cs="Times New Roman"/>
          <w:sz w:val="28"/>
          <w:szCs w:val="28"/>
        </w:rPr>
        <w:t xml:space="preserve">злиття банків і формування на їхній основі </w:t>
      </w:r>
      <w:proofErr w:type="spellStart"/>
      <w:r w:rsidRPr="00B07B79">
        <w:rPr>
          <w:rFonts w:ascii="Times New Roman" w:hAnsi="Times New Roman" w:cs="Times New Roman"/>
          <w:sz w:val="28"/>
          <w:szCs w:val="28"/>
        </w:rPr>
        <w:t>супербанків</w:t>
      </w:r>
      <w:proofErr w:type="spellEnd"/>
      <w:r w:rsidRPr="00B07B79">
        <w:rPr>
          <w:rFonts w:ascii="Times New Roman" w:hAnsi="Times New Roman" w:cs="Times New Roman"/>
          <w:sz w:val="28"/>
          <w:szCs w:val="28"/>
        </w:rPr>
        <w:t xml:space="preserve"> не вирішують усіх проблем. Практика показує, що ефективна позиція кредитної організації на ринку забезпечується не стільки її розміром, скільки можливістю вільного </w:t>
      </w:r>
      <w:r w:rsidRPr="00B07B79">
        <w:rPr>
          <w:rFonts w:ascii="Times New Roman" w:hAnsi="Times New Roman" w:cs="Times New Roman"/>
          <w:spacing w:val="-3"/>
          <w:sz w:val="28"/>
          <w:szCs w:val="28"/>
        </w:rPr>
        <w:t xml:space="preserve">доступу до ресурсів на ринку. Більшого ефекту банки можуть досягти не шляхом збільшення своїх розмірів, а через залучення нових клієнтів, диференціації видів </w:t>
      </w:r>
      <w:r w:rsidRPr="00B07B79">
        <w:rPr>
          <w:rFonts w:ascii="Times New Roman" w:hAnsi="Times New Roman" w:cs="Times New Roman"/>
          <w:sz w:val="28"/>
          <w:szCs w:val="28"/>
        </w:rPr>
        <w:t>діяльності.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Тому перед українськими банкірами стоять серйозні та складні, від рішення яких деколи залежить саме існування банків. Дослідження показують, що ці </w:t>
      </w:r>
      <w:r w:rsidRPr="00B07B79">
        <w:rPr>
          <w:rFonts w:ascii="Times New Roman" w:hAnsi="Times New Roman" w:cs="Times New Roman"/>
          <w:sz w:val="28"/>
          <w:szCs w:val="28"/>
        </w:rPr>
        <w:t>складності пояснюються в першу чергу низькою якістю менеджменту і нездатністю банківських менеджерів ефективно використовувати кадровий потенціал банку і можливості зовнішніх факторів.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Удосконалення стилів та прийомів управління, швидке та адекватне </w:t>
      </w:r>
      <w:r w:rsidRPr="00B07B79">
        <w:rPr>
          <w:rFonts w:ascii="Times New Roman" w:hAnsi="Times New Roman" w:cs="Times New Roman"/>
          <w:spacing w:val="-1"/>
          <w:sz w:val="28"/>
          <w:szCs w:val="28"/>
        </w:rPr>
        <w:t xml:space="preserve">реагування на зміни кон'юнктури ринку, розвиток нових напрямків і інструментів </w:t>
      </w:r>
      <w:r w:rsidRPr="00B07B79">
        <w:rPr>
          <w:rFonts w:ascii="Times New Roman" w:hAnsi="Times New Roman" w:cs="Times New Roman"/>
          <w:spacing w:val="-3"/>
          <w:sz w:val="28"/>
          <w:szCs w:val="28"/>
        </w:rPr>
        <w:t xml:space="preserve">в роботі банку, удосконалення всіх складових елементів сучасного менеджменту, </w:t>
      </w:r>
      <w:r w:rsidRPr="00B07B79">
        <w:rPr>
          <w:rFonts w:ascii="Times New Roman" w:hAnsi="Times New Roman" w:cs="Times New Roman"/>
          <w:sz w:val="28"/>
          <w:szCs w:val="28"/>
        </w:rPr>
        <w:t xml:space="preserve">відповідних до специфіки українського ринку, дає вітчизняним банкірам реальний шанс не лише вистояти, але й </w:t>
      </w:r>
      <w:proofErr w:type="spellStart"/>
      <w:r w:rsidRPr="00B07B79">
        <w:rPr>
          <w:rFonts w:ascii="Times New Roman" w:hAnsi="Times New Roman" w:cs="Times New Roman"/>
          <w:sz w:val="28"/>
          <w:szCs w:val="28"/>
        </w:rPr>
        <w:t>задіювати</w:t>
      </w:r>
      <w:proofErr w:type="spellEnd"/>
      <w:r w:rsidRPr="00B07B79">
        <w:rPr>
          <w:rFonts w:ascii="Times New Roman" w:hAnsi="Times New Roman" w:cs="Times New Roman"/>
          <w:sz w:val="28"/>
          <w:szCs w:val="28"/>
        </w:rPr>
        <w:t xml:space="preserve"> нові потужні резерви успішності в бізнесі.</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lang w:val="ru-RU"/>
        </w:rPr>
      </w:pPr>
      <w:r w:rsidRPr="00B07B79">
        <w:rPr>
          <w:rFonts w:ascii="Times New Roman" w:hAnsi="Times New Roman" w:cs="Times New Roman"/>
          <w:sz w:val="28"/>
          <w:szCs w:val="28"/>
        </w:rPr>
        <w:t>Потенційні можливості ефективної діяльності українських комерційних банків величезні, що пов'язано з початковою стадією формування ринку в</w:t>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0" allowOverlap="1" wp14:anchorId="2AA669CB" wp14:editId="4D355C80">
                <wp:simplePos x="0" y="0"/>
                <wp:positionH relativeFrom="margin">
                  <wp:posOffset>-311150</wp:posOffset>
                </wp:positionH>
                <wp:positionV relativeFrom="paragraph">
                  <wp:posOffset>3712210</wp:posOffset>
                </wp:positionV>
                <wp:extent cx="0" cy="259080"/>
                <wp:effectExtent l="6985" t="7620" r="12065" b="9525"/>
                <wp:wrapNone/>
                <wp:docPr id="117"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5pt,292.3pt" to="-24.5pt,3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4ZFA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" o:allowincell="f" strokeweight=".25pt">
                <w10:wrap anchorx="margin"/>
              </v:line>
            </w:pict>
          </mc:Fallback>
        </mc:AlternateContent>
      </w:r>
      <w:r w:rsidRPr="00B07B79">
        <w:rPr>
          <w:rFonts w:ascii="Times New Roman" w:hAnsi="Times New Roman" w:cs="Times New Roman"/>
          <w:sz w:val="28"/>
          <w:szCs w:val="28"/>
        </w:rPr>
        <w:t xml:space="preserve"> Україні, відсутністю справжньої конкуренції, наявністю вільних ніш на фінансовому ринку. Але, цей потенціал використовується, як правило, дуже </w:t>
      </w:r>
      <w:r w:rsidRPr="00B07B79">
        <w:rPr>
          <w:rFonts w:ascii="Times New Roman" w:hAnsi="Times New Roman" w:cs="Times New Roman"/>
          <w:sz w:val="28"/>
          <w:szCs w:val="28"/>
        </w:rPr>
        <w:lastRenderedPageBreak/>
        <w:t xml:space="preserve">слабо, перш за все через низьку кваліфікацію персоналу і керівників, </w:t>
      </w:r>
      <w:proofErr w:type="spellStart"/>
      <w:r w:rsidRPr="00B07B79">
        <w:rPr>
          <w:rFonts w:ascii="Times New Roman" w:hAnsi="Times New Roman" w:cs="Times New Roman"/>
          <w:sz w:val="28"/>
          <w:szCs w:val="28"/>
        </w:rPr>
        <w:t>недовикористання</w:t>
      </w:r>
      <w:proofErr w:type="spellEnd"/>
      <w:r w:rsidRPr="00B07B79">
        <w:rPr>
          <w:rFonts w:ascii="Times New Roman" w:hAnsi="Times New Roman" w:cs="Times New Roman"/>
          <w:sz w:val="28"/>
          <w:szCs w:val="28"/>
        </w:rPr>
        <w:t xml:space="preserve"> всіх елементів сучасного менеджменту. Проблема </w:t>
      </w:r>
      <w:r w:rsidRPr="00B07B79">
        <w:rPr>
          <w:rFonts w:ascii="Times New Roman" w:hAnsi="Times New Roman" w:cs="Times New Roman"/>
          <w:spacing w:val="-2"/>
          <w:sz w:val="28"/>
          <w:szCs w:val="28"/>
        </w:rPr>
        <w:t xml:space="preserve">впровадження і ефективного використання потенціалу менеджменту, особливо </w:t>
      </w:r>
      <w:r w:rsidRPr="00B07B79">
        <w:rPr>
          <w:rFonts w:ascii="Times New Roman" w:hAnsi="Times New Roman" w:cs="Times New Roman"/>
          <w:sz w:val="28"/>
          <w:szCs w:val="28"/>
        </w:rPr>
        <w:t xml:space="preserve">стратегічного, ста більш ніж актуальною, а в більшості випадків - єдиною </w:t>
      </w:r>
      <w:r w:rsidRPr="00B07B79">
        <w:rPr>
          <w:rFonts w:ascii="Times New Roman" w:hAnsi="Times New Roman" w:cs="Times New Roman"/>
          <w:spacing w:val="-3"/>
          <w:sz w:val="28"/>
          <w:szCs w:val="28"/>
        </w:rPr>
        <w:t>можливістю кардинально змінити ситуацію в кращу сторону.</w:t>
      </w:r>
      <w:r w:rsidRPr="00BD6111">
        <w:rPr>
          <w:rFonts w:ascii="Times New Roman" w:hAnsi="Times New Roman" w:cs="Times New Roman"/>
          <w:spacing w:val="-3"/>
          <w:sz w:val="28"/>
          <w:szCs w:val="28"/>
          <w:lang w:val="ru-RU"/>
        </w:rPr>
        <w:t>[8]</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Нині в економіці України намітилися позитивні тенденції економічного </w:t>
      </w:r>
      <w:r w:rsidRPr="00B07B79">
        <w:rPr>
          <w:rFonts w:ascii="Times New Roman" w:hAnsi="Times New Roman" w:cs="Times New Roman"/>
          <w:spacing w:val="-2"/>
          <w:sz w:val="28"/>
          <w:szCs w:val="28"/>
        </w:rPr>
        <w:t xml:space="preserve">зростання, темпи та стійкість якого залежать від здатності банківської системи </w:t>
      </w:r>
      <w:r w:rsidRPr="00B07B79">
        <w:rPr>
          <w:rFonts w:ascii="Times New Roman" w:hAnsi="Times New Roman" w:cs="Times New Roman"/>
          <w:sz w:val="28"/>
          <w:szCs w:val="28"/>
        </w:rPr>
        <w:t xml:space="preserve">забезпечувати потреби суб'єктів господарювання необхідними кредитними ресурсами. Разом з тим, загальні тенденції сучасного розвитку кредитних </w:t>
      </w:r>
      <w:r w:rsidRPr="00B07B79">
        <w:rPr>
          <w:rFonts w:ascii="Times New Roman" w:hAnsi="Times New Roman" w:cs="Times New Roman"/>
          <w:spacing w:val="-2"/>
          <w:sz w:val="28"/>
          <w:szCs w:val="28"/>
        </w:rPr>
        <w:t xml:space="preserve">операцій вітчизняних банків свідчать про суттєве послаблення ролі банківського </w:t>
      </w:r>
      <w:r w:rsidRPr="00B07B79">
        <w:rPr>
          <w:rFonts w:ascii="Times New Roman" w:hAnsi="Times New Roman" w:cs="Times New Roman"/>
          <w:spacing w:val="-3"/>
          <w:sz w:val="28"/>
          <w:szCs w:val="28"/>
        </w:rPr>
        <w:t>кредиту в забезпеченні виробничого сектору додатковими грошовими коштами.</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Надання кредитів і проведення кредитної політики є найпоширенішою операцією банківських установ. Кредитні операції приносять банківським установам основну частину доходу. Однак аналіз ситуації, що склалася у банківській сфері, свідчить, що більшість банків зазнає фінансового краху внаслідок надзвичайно ризикованої кредитної політики.</w:t>
      </w:r>
      <w:r w:rsidRPr="00BD6111">
        <w:rPr>
          <w:rFonts w:ascii="Times New Roman" w:hAnsi="Times New Roman" w:cs="Times New Roman"/>
          <w:sz w:val="28"/>
          <w:szCs w:val="28"/>
        </w:rPr>
        <w:t>[9]</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У зв'язку з цим дуже актуальним є вирішення проблеми вдосконалення </w:t>
      </w:r>
      <w:r w:rsidRPr="00B07B79">
        <w:rPr>
          <w:rFonts w:ascii="Times New Roman" w:hAnsi="Times New Roman" w:cs="Times New Roman"/>
          <w:spacing w:val="-2"/>
          <w:sz w:val="28"/>
          <w:szCs w:val="28"/>
        </w:rPr>
        <w:t xml:space="preserve">кредитної діяльності банківських установ. Банки мають організовувати кредитні </w:t>
      </w:r>
      <w:r w:rsidRPr="00B07B79">
        <w:rPr>
          <w:rFonts w:ascii="Times New Roman" w:hAnsi="Times New Roman" w:cs="Times New Roman"/>
          <w:sz w:val="28"/>
          <w:szCs w:val="28"/>
        </w:rPr>
        <w:t xml:space="preserve">операції таким чином, щоб отримувати максимально можливий прибуток, але </w:t>
      </w:r>
      <w:r w:rsidRPr="00B07B79">
        <w:rPr>
          <w:rFonts w:ascii="Times New Roman" w:hAnsi="Times New Roman" w:cs="Times New Roman"/>
          <w:spacing w:val="-1"/>
          <w:sz w:val="28"/>
          <w:szCs w:val="28"/>
        </w:rPr>
        <w:t xml:space="preserve">при цьому намагатись зменшити ризик, безпосередньо пов'язаний з механізмом </w:t>
      </w:r>
      <w:r w:rsidRPr="00B07B79">
        <w:rPr>
          <w:rFonts w:ascii="Times New Roman" w:hAnsi="Times New Roman" w:cs="Times New Roman"/>
          <w:sz w:val="28"/>
          <w:szCs w:val="28"/>
        </w:rPr>
        <w:t>надання і погашення банківських кредитів.</w:t>
      </w:r>
    </w:p>
    <w:p w:rsidR="00406315" w:rsidRPr="00BD6111"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Зокрема, актуальною сьогодні є розробка теоретичних пропозицій з удосконалення банківського кредитування, широке практичне використання яких дасть банківській системі України змогу підвищити ефективність діяльності всіх кредитних інститутів у процесі кредитування позичальників.</w:t>
      </w:r>
      <w:r w:rsidRPr="00BD6111">
        <w:rPr>
          <w:rFonts w:ascii="Times New Roman" w:hAnsi="Times New Roman" w:cs="Times New Roman"/>
          <w:sz w:val="28"/>
          <w:szCs w:val="28"/>
        </w:rPr>
        <w:t>[10]</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У зв'язку з цим основну увагу необхідно зосередити на виявленні тих тенденцій, що нині переважають у кредитних взаємовідносинах банків з клієнтами, на пошуку шляхів удосконалення сучасних форм кредитування, </w:t>
      </w:r>
      <w:r w:rsidRPr="00B07B79">
        <w:rPr>
          <w:rFonts w:ascii="Times New Roman" w:hAnsi="Times New Roman" w:cs="Times New Roman"/>
          <w:spacing w:val="-3"/>
          <w:sz w:val="28"/>
          <w:szCs w:val="28"/>
        </w:rPr>
        <w:lastRenderedPageBreak/>
        <w:t xml:space="preserve">оскільки останніми роками у розвитку кредитної діяльності банківських установ </w:t>
      </w:r>
      <w:r w:rsidRPr="00B07B79">
        <w:rPr>
          <w:rFonts w:ascii="Times New Roman" w:hAnsi="Times New Roman" w:cs="Times New Roman"/>
          <w:spacing w:val="-2"/>
          <w:sz w:val="28"/>
          <w:szCs w:val="28"/>
        </w:rPr>
        <w:t xml:space="preserve">України відбуваються кількісні та якісні зміни, котрі відображають позитивні й </w:t>
      </w:r>
      <w:r w:rsidRPr="00B07B79">
        <w:rPr>
          <w:rFonts w:ascii="Times New Roman" w:hAnsi="Times New Roman" w:cs="Times New Roman"/>
          <w:sz w:val="28"/>
          <w:szCs w:val="28"/>
        </w:rPr>
        <w:t>негативні сторони кредитного процесу.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До тенденцій, що відображають кількісні зміни розвитку системи банківського кредитування можна віднести наступні:</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-кількість</w:t>
      </w:r>
      <w:proofErr w:type="spellEnd"/>
      <w:r w:rsidRPr="00B07B79">
        <w:rPr>
          <w:rFonts w:ascii="Times New Roman" w:eastAsia="Arial,Bold" w:hAnsi="Times New Roman" w:cs="Times New Roman"/>
          <w:bCs/>
          <w:sz w:val="28"/>
          <w:szCs w:val="28"/>
        </w:rPr>
        <w:t xml:space="preserve"> відділень найбільших банків буде й надалі скорочуватись у 2011 р.</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r w:rsidRPr="00B07B79">
        <w:rPr>
          <w:rFonts w:ascii="Times New Roman" w:eastAsia="Arial,Bold" w:hAnsi="Times New Roman" w:cs="Times New Roman"/>
          <w:bCs/>
          <w:sz w:val="28"/>
          <w:szCs w:val="28"/>
        </w:rPr>
        <w:t>Банки залишать лише найбільш ефективні (рентабельні) відділення. Скорочення очікує і на банківський персонал. У першому кварталі 2010 р. банки скоротили персонал на 6,8% (на 16,0 тис. осіб). У 2009 р., за даними НБУ, банки скоротили штат своїх співробітників на 14% (на 39,3 тис. осіб). У цілому, станом на кінець першого півріччя 2010 р. найбільші роздрібні банки вже майже оптимізували свою регіональну філіальну мережу, тому ми очікуємо поступового уповільнення темпів скорочення банківських службовців.</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r w:rsidRPr="00B07B79">
        <w:rPr>
          <w:rFonts w:ascii="Times New Roman" w:eastAsia="Arial,Bold" w:hAnsi="Times New Roman" w:cs="Times New Roman"/>
          <w:bCs/>
          <w:sz w:val="28"/>
          <w:szCs w:val="28"/>
        </w:rPr>
        <w:t xml:space="preserve">На кінець першого півріччя 2010 р. в Україні діяло 176 банків, з них 20 – із 100% іноземним капіталом, 32 – із часткою іноземного капіталу. </w:t>
      </w:r>
    </w:p>
    <w:p w:rsidR="00406315" w:rsidRPr="00BD6111" w:rsidRDefault="00406315" w:rsidP="00406315">
      <w:pPr>
        <w:spacing w:line="360" w:lineRule="auto"/>
        <w:ind w:firstLine="567"/>
        <w:contextualSpacing/>
        <w:jc w:val="both"/>
        <w:rPr>
          <w:rFonts w:ascii="Times New Roman" w:eastAsia="Arial,Bold" w:hAnsi="Times New Roman" w:cs="Times New Roman"/>
          <w:bCs/>
          <w:sz w:val="28"/>
          <w:szCs w:val="28"/>
        </w:rPr>
      </w:pPr>
      <w:r w:rsidRPr="00B07B79">
        <w:rPr>
          <w:rFonts w:ascii="Times New Roman" w:eastAsia="Arial,Bold" w:hAnsi="Times New Roman" w:cs="Times New Roman"/>
          <w:bCs/>
          <w:sz w:val="28"/>
          <w:szCs w:val="28"/>
        </w:rPr>
        <w:t xml:space="preserve">Сукупна частка іноземного капіталу складає 36,0% капіталу банківської системи. 18 банків перебувають на ліквідації. 169 банків є учасниками Фонду гарантування вкладів фізичних осіб. </w:t>
      </w:r>
      <w:r w:rsidRPr="00BD6111">
        <w:rPr>
          <w:rFonts w:ascii="Times New Roman" w:eastAsia="Arial,Bold" w:hAnsi="Times New Roman" w:cs="Times New Roman"/>
          <w:bCs/>
          <w:sz w:val="28"/>
          <w:szCs w:val="28"/>
        </w:rPr>
        <w:t>[11]</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-не</w:t>
      </w:r>
      <w:proofErr w:type="spellEnd"/>
      <w:r w:rsidRPr="00B07B79">
        <w:rPr>
          <w:rFonts w:ascii="Times New Roman" w:eastAsia="Arial,Bold" w:hAnsi="Times New Roman" w:cs="Times New Roman"/>
          <w:bCs/>
          <w:sz w:val="28"/>
          <w:szCs w:val="28"/>
        </w:rPr>
        <w:t xml:space="preserve"> очікується зростання кількості та суттєвого збільшення частки іноземного капіталу у вітчизняній банківській системі.</w:t>
      </w:r>
      <w:r w:rsidRPr="00B03492">
        <w:rPr>
          <w:rFonts w:ascii="Times New Roman" w:eastAsia="Arial,Bold" w:hAnsi="Times New Roman" w:cs="Times New Roman"/>
          <w:bCs/>
          <w:sz w:val="28"/>
          <w:szCs w:val="28"/>
        </w:rPr>
        <w:t xml:space="preserve"> </w:t>
      </w:r>
      <w:r w:rsidRPr="00B07B79">
        <w:rPr>
          <w:rFonts w:ascii="Times New Roman" w:eastAsia="Arial,Bold" w:hAnsi="Times New Roman" w:cs="Times New Roman"/>
          <w:bCs/>
          <w:sz w:val="28"/>
          <w:szCs w:val="28"/>
        </w:rPr>
        <w:t>Розмір активів банківської системи в цілому майже не змінився і складав н</w:t>
      </w:r>
      <w:r>
        <w:rPr>
          <w:rFonts w:ascii="Times New Roman" w:eastAsia="Arial,Bold" w:hAnsi="Times New Roman" w:cs="Times New Roman"/>
          <w:bCs/>
          <w:sz w:val="28"/>
          <w:szCs w:val="28"/>
        </w:rPr>
        <w:t>а кінець першого півріччя 2010р</w:t>
      </w:r>
      <w:r w:rsidRPr="00BD6111">
        <w:rPr>
          <w:rFonts w:ascii="Times New Roman" w:eastAsia="Arial,Bold" w:hAnsi="Times New Roman" w:cs="Times New Roman"/>
          <w:bCs/>
          <w:sz w:val="28"/>
          <w:szCs w:val="28"/>
        </w:rPr>
        <w:t xml:space="preserve">. </w:t>
      </w:r>
      <w:r w:rsidRPr="00B07B79">
        <w:rPr>
          <w:rFonts w:ascii="Times New Roman" w:eastAsia="Arial,Bold" w:hAnsi="Times New Roman" w:cs="Times New Roman"/>
          <w:bCs/>
          <w:sz w:val="28"/>
          <w:szCs w:val="28"/>
        </w:rPr>
        <w:t>885,6 млрд. грн.</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r w:rsidRPr="00B07B79">
        <w:rPr>
          <w:rFonts w:ascii="Times New Roman" w:eastAsia="Arial,Bold" w:hAnsi="Times New Roman" w:cs="Times New Roman"/>
          <w:bCs/>
          <w:sz w:val="28"/>
          <w:szCs w:val="28"/>
        </w:rPr>
        <w:t>- Кредитний портфель з січня по червень скоротився на 20,6 млрд. грн., притому що банки значно наростили обсяги резервування під проблемні кредити (із 14,8 до 17,5% від обсягу кредитів).</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-Кредитів</w:t>
      </w:r>
      <w:proofErr w:type="spellEnd"/>
      <w:r w:rsidRPr="00B07B79">
        <w:rPr>
          <w:rFonts w:ascii="Times New Roman" w:eastAsia="Arial,Bold" w:hAnsi="Times New Roman" w:cs="Times New Roman"/>
          <w:bCs/>
          <w:sz w:val="28"/>
          <w:szCs w:val="28"/>
        </w:rPr>
        <w:t xml:space="preserve"> новим клієнтам у 2010 р. банки майже не видавали, що відповідним чином позначилось на структурі і якості активів. Більше того, </w:t>
      </w:r>
      <w:r w:rsidRPr="00B07B79">
        <w:rPr>
          <w:rFonts w:ascii="Times New Roman" w:eastAsia="Arial,Bold" w:hAnsi="Times New Roman" w:cs="Times New Roman"/>
          <w:bCs/>
          <w:sz w:val="28"/>
          <w:szCs w:val="28"/>
        </w:rPr>
        <w:lastRenderedPageBreak/>
        <w:t xml:space="preserve">третина від виданих раніше кредитів зазнала реструктуризації, а частка прострочених кредитів продовжувала зростати і досягла 10,9%. </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-прогнозується</w:t>
      </w:r>
      <w:proofErr w:type="spellEnd"/>
      <w:r w:rsidRPr="00B07B79">
        <w:rPr>
          <w:rFonts w:ascii="Times New Roman" w:eastAsia="Arial,Bold" w:hAnsi="Times New Roman" w:cs="Times New Roman"/>
          <w:bCs/>
          <w:sz w:val="28"/>
          <w:szCs w:val="28"/>
        </w:rPr>
        <w:t xml:space="preserve"> стабілізація частки прострочених кредитів у 2011 на рівні близько 10% за офіційними статистичними даними.</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-Банки</w:t>
      </w:r>
      <w:proofErr w:type="spellEnd"/>
      <w:r w:rsidRPr="00B07B79">
        <w:rPr>
          <w:rFonts w:ascii="Times New Roman" w:eastAsia="Arial,Bold" w:hAnsi="Times New Roman" w:cs="Times New Roman"/>
          <w:bCs/>
          <w:sz w:val="28"/>
          <w:szCs w:val="28"/>
        </w:rPr>
        <w:t xml:space="preserve"> почали нарощувати обсяг депозитного портфеля. Загальний обсяг депозитів зріс на 11,1% до 364 млрд. грн. </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-Найбільші</w:t>
      </w:r>
      <w:proofErr w:type="spellEnd"/>
      <w:r w:rsidRPr="00B07B79">
        <w:rPr>
          <w:rFonts w:ascii="Times New Roman" w:eastAsia="Arial,Bold" w:hAnsi="Times New Roman" w:cs="Times New Roman"/>
          <w:bCs/>
          <w:sz w:val="28"/>
          <w:szCs w:val="28"/>
        </w:rPr>
        <w:t xml:space="preserve"> темпи приросту показали вклади фізичних осіб у національній валюті (13,7%).</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-Частка</w:t>
      </w:r>
      <w:proofErr w:type="spellEnd"/>
      <w:r w:rsidRPr="00B07B79">
        <w:rPr>
          <w:rFonts w:ascii="Times New Roman" w:eastAsia="Arial,Bold" w:hAnsi="Times New Roman" w:cs="Times New Roman"/>
          <w:bCs/>
          <w:sz w:val="28"/>
          <w:szCs w:val="28"/>
        </w:rPr>
        <w:t xml:space="preserve"> довгострокових вкладів зросла із 24,4% до 26,4%, що поступово покращує ресурсну базу банків.</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r w:rsidRPr="00B07B79">
        <w:rPr>
          <w:rFonts w:ascii="Times New Roman" w:eastAsia="Arial,Bold" w:hAnsi="Times New Roman" w:cs="Times New Roman"/>
          <w:bCs/>
          <w:sz w:val="28"/>
          <w:szCs w:val="28"/>
        </w:rPr>
        <w:t>Відновлення довіри і тенденція до зростання</w:t>
      </w:r>
      <w:r>
        <w:rPr>
          <w:rFonts w:ascii="Times New Roman" w:eastAsia="Arial,Bold" w:hAnsi="Times New Roman" w:cs="Times New Roman"/>
          <w:bCs/>
          <w:sz w:val="28"/>
          <w:szCs w:val="28"/>
        </w:rPr>
        <w:t xml:space="preserve"> активності населення в аспекті</w:t>
      </w:r>
      <w:r w:rsidRPr="00B03492">
        <w:rPr>
          <w:rFonts w:ascii="Times New Roman" w:eastAsia="Arial,Bold" w:hAnsi="Times New Roman" w:cs="Times New Roman"/>
          <w:bCs/>
          <w:sz w:val="28"/>
          <w:szCs w:val="28"/>
          <w:lang w:val="ru-RU"/>
        </w:rPr>
        <w:t xml:space="preserve"> </w:t>
      </w:r>
      <w:r w:rsidRPr="00B07B79">
        <w:rPr>
          <w:rFonts w:ascii="Times New Roman" w:eastAsia="Arial,Bold" w:hAnsi="Times New Roman" w:cs="Times New Roman"/>
          <w:bCs/>
          <w:sz w:val="28"/>
          <w:szCs w:val="28"/>
        </w:rPr>
        <w:t>банківських вкладів збережеться.</w:t>
      </w:r>
    </w:p>
    <w:p w:rsidR="00406315" w:rsidRPr="00B07B79" w:rsidRDefault="00406315" w:rsidP="00406315">
      <w:pPr>
        <w:spacing w:line="360" w:lineRule="auto"/>
        <w:ind w:firstLine="567"/>
        <w:contextualSpacing/>
        <w:jc w:val="both"/>
        <w:rPr>
          <w:rFonts w:ascii="Times New Roman" w:eastAsia="Arial,Bold" w:hAnsi="Times New Roman" w:cs="Times New Roman"/>
          <w:bCs/>
          <w:sz w:val="28"/>
          <w:szCs w:val="28"/>
        </w:rPr>
      </w:pPr>
      <w:proofErr w:type="spellStart"/>
      <w:r w:rsidRPr="00B07B79">
        <w:rPr>
          <w:rFonts w:ascii="Times New Roman" w:eastAsia="Arial,Bold" w:hAnsi="Times New Roman" w:cs="Times New Roman"/>
          <w:bCs/>
          <w:sz w:val="28"/>
          <w:szCs w:val="28"/>
        </w:rPr>
        <w:t>-Сукупний</w:t>
      </w:r>
      <w:proofErr w:type="spellEnd"/>
      <w:r w:rsidRPr="00B07B79">
        <w:rPr>
          <w:rFonts w:ascii="Times New Roman" w:eastAsia="Arial,Bold" w:hAnsi="Times New Roman" w:cs="Times New Roman"/>
          <w:bCs/>
          <w:sz w:val="28"/>
          <w:szCs w:val="28"/>
        </w:rPr>
        <w:t xml:space="preserve"> статутний капітал банків продовжує перевищувати власний, що зумовлено головним чином негативними фінансовими результатами. Однак збиток за перше півріччя 2010 р. (8,3 млрд. грн.) є на 41% меншим за аналогічний період 2009 р. У2011р. Прогнозується що фінансовий результат буде від’ємним, однак розмір збитків буде меншим результату 2009 р. </w:t>
      </w:r>
      <w:r w:rsidRPr="00B07B79">
        <w:rPr>
          <w:rFonts w:ascii="Times New Roman" w:eastAsia="Arial,Bold" w:hAnsi="Times New Roman" w:cs="Times New Roman"/>
          <w:sz w:val="28"/>
          <w:szCs w:val="28"/>
        </w:rPr>
        <w:t xml:space="preserve">− </w:t>
      </w:r>
      <w:r>
        <w:rPr>
          <w:rFonts w:ascii="Times New Roman" w:eastAsia="Arial,Bold" w:hAnsi="Times New Roman" w:cs="Times New Roman"/>
          <w:bCs/>
          <w:sz w:val="28"/>
          <w:szCs w:val="28"/>
        </w:rPr>
        <w:t>в основному за</w:t>
      </w:r>
      <w:r w:rsidRPr="00B03492">
        <w:rPr>
          <w:rFonts w:ascii="Times New Roman" w:eastAsia="Arial,Bold" w:hAnsi="Times New Roman" w:cs="Times New Roman"/>
          <w:bCs/>
          <w:sz w:val="28"/>
          <w:szCs w:val="28"/>
          <w:lang w:val="ru-RU"/>
        </w:rPr>
        <w:t xml:space="preserve"> </w:t>
      </w:r>
      <w:r w:rsidRPr="00B07B79">
        <w:rPr>
          <w:rFonts w:ascii="Times New Roman" w:eastAsia="Arial,Bold" w:hAnsi="Times New Roman" w:cs="Times New Roman"/>
          <w:bCs/>
          <w:sz w:val="28"/>
          <w:szCs w:val="28"/>
        </w:rPr>
        <w:t>рахунок покращення показників системних банків першої групи.</w:t>
      </w:r>
    </w:p>
    <w:p w:rsidR="00406315" w:rsidRPr="00B07B79" w:rsidRDefault="00406315" w:rsidP="00406315">
      <w:pPr>
        <w:numPr>
          <w:ilvl w:val="0"/>
          <w:numId w:val="50"/>
        </w:numPr>
        <w:autoSpaceDE w:val="0"/>
        <w:autoSpaceDN w:val="0"/>
        <w:adjustRightInd w:val="0"/>
        <w:spacing w:after="0" w:line="360" w:lineRule="auto"/>
        <w:ind w:firstLine="567"/>
        <w:contextualSpacing/>
        <w:jc w:val="both"/>
        <w:rPr>
          <w:rFonts w:ascii="Times New Roman" w:eastAsia="Arial,Bold" w:hAnsi="Times New Roman" w:cs="Times New Roman"/>
          <w:bCs/>
          <w:sz w:val="28"/>
          <w:szCs w:val="28"/>
        </w:rPr>
      </w:pPr>
      <w:r w:rsidRPr="00B07B79">
        <w:rPr>
          <w:rFonts w:ascii="Times New Roman" w:eastAsia="Arial,Bold" w:hAnsi="Times New Roman" w:cs="Times New Roman"/>
          <w:bCs/>
          <w:sz w:val="28"/>
          <w:szCs w:val="28"/>
        </w:rPr>
        <w:t>НБУ пролонгував 70% стабілізаційних кредитів українським банкам. Наприкінці першого півріччя регулятор знизив облікову ставку із 10,25 до 9,5%, однак через місяць ставку було знижено повторно і на початок другого півріччя вона становить 8,5%.</w:t>
      </w:r>
      <w:r w:rsidRPr="00B03492">
        <w:rPr>
          <w:rFonts w:ascii="Times New Roman" w:eastAsia="Arial,Bold" w:hAnsi="Times New Roman" w:cs="Times New Roman"/>
          <w:bCs/>
          <w:sz w:val="28"/>
          <w:szCs w:val="28"/>
          <w:lang w:val="ru-RU"/>
        </w:rPr>
        <w:t>[12]</w:t>
      </w:r>
    </w:p>
    <w:p w:rsidR="00406315" w:rsidRPr="00B03492" w:rsidRDefault="00406315" w:rsidP="00406315">
      <w:pPr>
        <w:spacing w:line="360" w:lineRule="auto"/>
        <w:ind w:firstLine="567"/>
        <w:contextualSpacing/>
        <w:jc w:val="both"/>
        <w:rPr>
          <w:rFonts w:ascii="Times New Roman" w:hAnsi="Times New Roman" w:cs="Times New Roman"/>
          <w:sz w:val="28"/>
          <w:szCs w:val="28"/>
        </w:rPr>
      </w:pPr>
      <w:r w:rsidRPr="00B07B79">
        <w:rPr>
          <w:rFonts w:ascii="Times New Roman" w:eastAsia="Arial,Bold" w:hAnsi="Times New Roman" w:cs="Times New Roman"/>
          <w:bCs/>
          <w:sz w:val="28"/>
          <w:szCs w:val="28"/>
        </w:rPr>
        <w:t>Наприкінці першого півріччя НБУ підготував нову постанову про стабілізаційні кредити. Також було збільшено вимоги до мінімального регулятивного капіталу банків (120 млн. грн.). Така жорстка політика НБУ сприятиме виведенню з ринку фінансово нестійких банків</w:t>
      </w:r>
      <w:r>
        <w:rPr>
          <w:rFonts w:ascii="Times New Roman" w:eastAsia="Arial,Bold" w:hAnsi="Times New Roman" w:cs="Times New Roman"/>
          <w:bCs/>
          <w:sz w:val="28"/>
          <w:szCs w:val="28"/>
        </w:rPr>
        <w:t xml:space="preserve"> із низьким рівнем </w:t>
      </w:r>
      <w:r w:rsidRPr="00B07B79">
        <w:rPr>
          <w:rFonts w:ascii="Times New Roman" w:eastAsia="Arial,Bold" w:hAnsi="Times New Roman" w:cs="Times New Roman"/>
          <w:bCs/>
          <w:sz w:val="28"/>
          <w:szCs w:val="28"/>
        </w:rPr>
        <w:t>захищеності активних і пасивних операцій власним капіталом.</w:t>
      </w:r>
      <w:r w:rsidRPr="00B03492">
        <w:rPr>
          <w:rFonts w:ascii="Times New Roman" w:eastAsia="Arial,Bold" w:hAnsi="Times New Roman" w:cs="Times New Roman"/>
          <w:bCs/>
          <w:sz w:val="28"/>
          <w:szCs w:val="28"/>
        </w:rPr>
        <w:t>[13]</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Сталий розвиток банківського сектора є надзвичайно актуальним з позиції перспектив розвитку економіки держави.</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lastRenderedPageBreak/>
        <w:t xml:space="preserve">Сприятлива макроекономічна динаміка, монетарна, валютно-курсова та </w:t>
      </w:r>
      <w:r w:rsidRPr="00B07B79">
        <w:rPr>
          <w:rFonts w:ascii="Times New Roman" w:hAnsi="Times New Roman" w:cs="Times New Roman"/>
          <w:sz w:val="28"/>
          <w:szCs w:val="28"/>
        </w:rPr>
        <w:t>регуляторна політика Національного банку створили необхідні умови зростання обсягів капіталу, активів та залучених банками коштів, укріплення фінансового стану банківських установ. Це сприяло посиленню ринкової орієнтації банківського сектору, його поступовому наближенню до кращої світової практики банківської діяльності. Однак, на газі участь банківської системи у розвитку економіки держави залишається обмеженою і недостатньою.</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 зв'язку з цим основними цілями подальшого розвитку банківської системи України є:</w:t>
      </w:r>
    </w:p>
    <w:p w:rsidR="00406315" w:rsidRPr="00B07B79" w:rsidRDefault="00406315" w:rsidP="00406315">
      <w:pPr>
        <w:widowControl w:val="0"/>
        <w:numPr>
          <w:ilvl w:val="0"/>
          <w:numId w:val="40"/>
        </w:numPr>
        <w:shd w:val="clear" w:color="auto" w:fill="FFFFFF"/>
        <w:tabs>
          <w:tab w:val="left" w:pos="509"/>
        </w:tabs>
        <w:autoSpaceDE w:val="0"/>
        <w:autoSpaceDN w:val="0"/>
        <w:adjustRightInd w:val="0"/>
        <w:spacing w:after="0" w:line="360" w:lineRule="auto"/>
        <w:ind w:firstLine="567"/>
        <w:contextualSpacing/>
        <w:jc w:val="both"/>
        <w:rPr>
          <w:rFonts w:ascii="Times New Roman" w:hAnsi="Times New Roman" w:cs="Times New Roman"/>
          <w:spacing w:val="-23"/>
          <w:sz w:val="28"/>
          <w:szCs w:val="28"/>
        </w:rPr>
      </w:pPr>
      <w:r w:rsidRPr="00B07B79">
        <w:rPr>
          <w:rFonts w:ascii="Times New Roman" w:hAnsi="Times New Roman" w:cs="Times New Roman"/>
          <w:sz w:val="28"/>
          <w:szCs w:val="28"/>
        </w:rPr>
        <w:t>Зміцнення банківської системи України, підвищення її стійкості до криз;</w:t>
      </w:r>
    </w:p>
    <w:p w:rsidR="00406315" w:rsidRPr="00B07B79" w:rsidRDefault="00406315" w:rsidP="00406315">
      <w:pPr>
        <w:widowControl w:val="0"/>
        <w:numPr>
          <w:ilvl w:val="0"/>
          <w:numId w:val="40"/>
        </w:numPr>
        <w:shd w:val="clear" w:color="auto" w:fill="FFFFFF"/>
        <w:tabs>
          <w:tab w:val="left" w:pos="509"/>
        </w:tabs>
        <w:autoSpaceDE w:val="0"/>
        <w:autoSpaceDN w:val="0"/>
        <w:adjustRightInd w:val="0"/>
        <w:spacing w:after="0" w:line="360" w:lineRule="auto"/>
        <w:ind w:firstLine="567"/>
        <w:contextualSpacing/>
        <w:jc w:val="both"/>
        <w:rPr>
          <w:rFonts w:ascii="Times New Roman" w:hAnsi="Times New Roman" w:cs="Times New Roman"/>
          <w:spacing w:val="-13"/>
          <w:sz w:val="28"/>
          <w:szCs w:val="28"/>
        </w:rPr>
      </w:pPr>
      <w:r w:rsidRPr="00B07B79">
        <w:rPr>
          <w:rFonts w:ascii="Times New Roman" w:hAnsi="Times New Roman" w:cs="Times New Roman"/>
          <w:sz w:val="28"/>
          <w:szCs w:val="28"/>
        </w:rPr>
        <w:t>Зміцнення довіри до банківської системи з боку вкладників та інвесторів;</w:t>
      </w:r>
    </w:p>
    <w:p w:rsidR="00406315" w:rsidRPr="00B07B79" w:rsidRDefault="00406315" w:rsidP="00406315">
      <w:pPr>
        <w:widowControl w:val="0"/>
        <w:numPr>
          <w:ilvl w:val="0"/>
          <w:numId w:val="40"/>
        </w:numPr>
        <w:shd w:val="clear" w:color="auto" w:fill="FFFFFF"/>
        <w:tabs>
          <w:tab w:val="left" w:pos="509"/>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B07B79">
        <w:rPr>
          <w:rFonts w:ascii="Times New Roman" w:hAnsi="Times New Roman" w:cs="Times New Roman"/>
          <w:sz w:val="28"/>
          <w:szCs w:val="28"/>
        </w:rPr>
        <w:t xml:space="preserve">Активізація діяльності банків з залучення коштів та їх </w:t>
      </w:r>
      <w:r w:rsidRPr="00B07B79">
        <w:rPr>
          <w:rFonts w:ascii="Times New Roman" w:hAnsi="Times New Roman" w:cs="Times New Roman"/>
          <w:spacing w:val="-1"/>
          <w:sz w:val="28"/>
          <w:szCs w:val="28"/>
        </w:rPr>
        <w:t>трансформація в кредити для реального сектору економіки;</w:t>
      </w:r>
    </w:p>
    <w:p w:rsidR="00406315" w:rsidRPr="00B07B79" w:rsidRDefault="00406315" w:rsidP="00406315">
      <w:pPr>
        <w:widowControl w:val="0"/>
        <w:numPr>
          <w:ilvl w:val="0"/>
          <w:numId w:val="40"/>
        </w:numPr>
        <w:shd w:val="clear" w:color="auto" w:fill="FFFFFF"/>
        <w:tabs>
          <w:tab w:val="left" w:pos="509"/>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B07B79">
        <w:rPr>
          <w:rFonts w:ascii="Times New Roman" w:hAnsi="Times New Roman" w:cs="Times New Roman"/>
          <w:sz w:val="28"/>
          <w:szCs w:val="28"/>
        </w:rPr>
        <w:t>Поглиблення інтеграції банківської системи України в світовий фінансовий простір.</w:t>
      </w:r>
      <w:r w:rsidRPr="00B03492">
        <w:rPr>
          <w:rFonts w:ascii="Times New Roman" w:hAnsi="Times New Roman" w:cs="Times New Roman"/>
          <w:sz w:val="28"/>
          <w:szCs w:val="28"/>
          <w:lang w:val="ru-RU"/>
        </w:rPr>
        <w:t>[14]</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Для досягнення визначених цілей та підвищення ефективності управління кредитною діяльністю комерційних банків необхідно виконати такі пріоритетні завдання:</w:t>
      </w:r>
    </w:p>
    <w:p w:rsidR="00406315" w:rsidRPr="00B07B79" w:rsidRDefault="00406315" w:rsidP="00406315">
      <w:pPr>
        <w:widowControl w:val="0"/>
        <w:numPr>
          <w:ilvl w:val="0"/>
          <w:numId w:val="32"/>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Підвищити рівень капіталізації банків;</w:t>
      </w:r>
    </w:p>
    <w:p w:rsidR="00406315" w:rsidRPr="00B07B79" w:rsidRDefault="00406315" w:rsidP="00406315">
      <w:pPr>
        <w:widowControl w:val="0"/>
        <w:numPr>
          <w:ilvl w:val="0"/>
          <w:numId w:val="32"/>
        </w:numPr>
        <w:shd w:val="clear" w:color="auto" w:fill="FFFFFF"/>
        <w:tabs>
          <w:tab w:val="left" w:pos="696"/>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Підвищити якість корпоративного управління в банках;</w:t>
      </w:r>
    </w:p>
    <w:p w:rsidR="00406315" w:rsidRPr="00B07B79" w:rsidRDefault="00406315" w:rsidP="00406315">
      <w:pPr>
        <w:widowControl w:val="0"/>
        <w:numPr>
          <w:ilvl w:val="0"/>
          <w:numId w:val="41"/>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Удосконалити систему управління ризиками та внутрішнього контролю;</w:t>
      </w:r>
    </w:p>
    <w:p w:rsidR="00406315" w:rsidRPr="00B07B79" w:rsidRDefault="00406315" w:rsidP="00406315">
      <w:pPr>
        <w:widowControl w:val="0"/>
        <w:numPr>
          <w:ilvl w:val="0"/>
          <w:numId w:val="41"/>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Удосконалити практику регулювання та нагляду за банківською діяльністю;</w:t>
      </w:r>
    </w:p>
    <w:p w:rsidR="00406315" w:rsidRPr="00B07B79" w:rsidRDefault="00406315" w:rsidP="00406315">
      <w:pPr>
        <w:widowControl w:val="0"/>
        <w:numPr>
          <w:ilvl w:val="0"/>
          <w:numId w:val="41"/>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Забезпечити прозорість функціонування банківської системи;</w:t>
      </w:r>
    </w:p>
    <w:p w:rsidR="00406315" w:rsidRPr="00B07B79" w:rsidRDefault="00406315" w:rsidP="00406315">
      <w:pPr>
        <w:widowControl w:val="0"/>
        <w:numPr>
          <w:ilvl w:val="0"/>
          <w:numId w:val="41"/>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Законодавче забезпечити захист прав кредиторів, вкладників та позичальників;</w:t>
      </w:r>
    </w:p>
    <w:p w:rsidR="00406315" w:rsidRPr="00B07B79" w:rsidRDefault="00406315" w:rsidP="00406315">
      <w:pPr>
        <w:widowControl w:val="0"/>
        <w:numPr>
          <w:ilvl w:val="0"/>
          <w:numId w:val="41"/>
        </w:numPr>
        <w:shd w:val="clear" w:color="auto" w:fill="FFFFFF"/>
        <w:tabs>
          <w:tab w:val="left" w:pos="69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lastRenderedPageBreak/>
        <w:t xml:space="preserve">Розширити спектр та збільшити обсяг продуктів та послуг на банківському </w:t>
      </w:r>
      <w:r w:rsidRPr="00B07B79">
        <w:rPr>
          <w:rFonts w:ascii="Times New Roman" w:hAnsi="Times New Roman" w:cs="Times New Roman"/>
          <w:sz w:val="28"/>
          <w:szCs w:val="28"/>
        </w:rPr>
        <w:t>та фінансових ринках;</w:t>
      </w:r>
    </w:p>
    <w:p w:rsidR="00406315" w:rsidRPr="00B07B79" w:rsidRDefault="00406315" w:rsidP="00406315">
      <w:pPr>
        <w:widowControl w:val="0"/>
        <w:numPr>
          <w:ilvl w:val="0"/>
          <w:numId w:val="41"/>
        </w:numPr>
        <w:shd w:val="clear" w:color="auto" w:fill="FFFFFF"/>
        <w:tabs>
          <w:tab w:val="left" w:pos="67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Запобігати та протидіяти легалізації коштів, отриманих злочинним </w:t>
      </w:r>
      <w:proofErr w:type="spellStart"/>
      <w:r w:rsidRPr="00B07B79">
        <w:rPr>
          <w:rFonts w:ascii="Times New Roman" w:hAnsi="Times New Roman" w:cs="Times New Roman"/>
          <w:sz w:val="28"/>
          <w:szCs w:val="28"/>
        </w:rPr>
        <w:t>шяхом</w:t>
      </w:r>
      <w:proofErr w:type="spellEnd"/>
      <w:r w:rsidRPr="00B07B79">
        <w:rPr>
          <w:rFonts w:ascii="Times New Roman" w:hAnsi="Times New Roman" w:cs="Times New Roman"/>
          <w:sz w:val="28"/>
          <w:szCs w:val="28"/>
        </w:rPr>
        <w:t>, та фінансуванню тероризму;</w:t>
      </w:r>
    </w:p>
    <w:p w:rsidR="00406315" w:rsidRPr="00B07B79" w:rsidRDefault="00406315" w:rsidP="00406315">
      <w:pPr>
        <w:shd w:val="clear" w:color="auto" w:fill="FFFFFF"/>
        <w:tabs>
          <w:tab w:val="left" w:pos="672"/>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Продовжити роботу з адаптації банківського законодавства України до законодавства Європейського Союзу, рекомендацій Базельського комітету</w:t>
      </w:r>
      <w:r w:rsidRPr="00B07B79">
        <w:rPr>
          <w:rFonts w:ascii="Times New Roman" w:hAnsi="Times New Roman" w:cs="Times New Roman"/>
          <w:sz w:val="28"/>
          <w:szCs w:val="28"/>
        </w:rPr>
        <w:br/>
        <w:t>з банківського нагляду та інших міжнародних організацій.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Напрямками підвищення ефективності банківської системи можуть стати наступні процедури:</w:t>
      </w:r>
    </w:p>
    <w:p w:rsidR="00406315" w:rsidRPr="00B07B79" w:rsidRDefault="00406315" w:rsidP="00406315">
      <w:pPr>
        <w:shd w:val="clear" w:color="auto" w:fill="FFFFFF"/>
        <w:tabs>
          <w:tab w:val="left" w:pos="797"/>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8"/>
          <w:sz w:val="28"/>
          <w:szCs w:val="28"/>
        </w:rPr>
        <w:t>1)</w:t>
      </w:r>
      <w:r w:rsidRPr="00B07B79">
        <w:rPr>
          <w:rFonts w:ascii="Times New Roman" w:hAnsi="Times New Roman" w:cs="Times New Roman"/>
          <w:sz w:val="28"/>
          <w:szCs w:val="28"/>
        </w:rPr>
        <w:tab/>
      </w:r>
      <w:r w:rsidRPr="00B07B79">
        <w:rPr>
          <w:rFonts w:ascii="Times New Roman" w:hAnsi="Times New Roman" w:cs="Times New Roman"/>
          <w:spacing w:val="-1"/>
          <w:sz w:val="28"/>
          <w:szCs w:val="28"/>
        </w:rPr>
        <w:t>Необхідно впровадити в банках ефективні системи управління ризиками,</w:t>
      </w:r>
      <w:r w:rsidRPr="00B07B79">
        <w:rPr>
          <w:rFonts w:ascii="Times New Roman" w:hAnsi="Times New Roman" w:cs="Times New Roman"/>
          <w:spacing w:val="-1"/>
          <w:sz w:val="28"/>
          <w:szCs w:val="28"/>
        </w:rPr>
        <w:br/>
      </w:r>
      <w:r w:rsidRPr="00B07B79">
        <w:rPr>
          <w:rFonts w:ascii="Times New Roman" w:hAnsi="Times New Roman" w:cs="Times New Roman"/>
          <w:sz w:val="28"/>
          <w:szCs w:val="28"/>
        </w:rPr>
        <w:t>з тому числі:</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Процедури виявлення, моніторингу та контролю ризиків банківської </w:t>
      </w:r>
      <w:r w:rsidRPr="00B07B79">
        <w:rPr>
          <w:rFonts w:ascii="Times New Roman" w:hAnsi="Times New Roman" w:cs="Times New Roman"/>
          <w:spacing w:val="-1"/>
          <w:sz w:val="28"/>
          <w:szCs w:val="28"/>
        </w:rPr>
        <w:t>діяльності, зокрема операційних, процентних та ринкових ризиків;</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Моделі кількісної оцінки ризиків;</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Планування на випадок непередбачених ситуацій;</w:t>
      </w:r>
    </w:p>
    <w:p w:rsidR="00406315" w:rsidRPr="00B07B79" w:rsidRDefault="00406315" w:rsidP="00406315">
      <w:pPr>
        <w:widowControl w:val="0"/>
        <w:numPr>
          <w:ilvl w:val="0"/>
          <w:numId w:val="42"/>
        </w:numPr>
        <w:shd w:val="clear" w:color="auto" w:fill="FFFFFF"/>
        <w:tabs>
          <w:tab w:val="left" w:pos="773"/>
          <w:tab w:val="left" w:pos="3077"/>
          <w:tab w:val="left" w:pos="4843"/>
          <w:tab w:val="left" w:pos="7205"/>
          <w:tab w:val="left" w:pos="834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Проведення </w:t>
      </w:r>
      <w:r w:rsidRPr="00B07B79">
        <w:rPr>
          <w:rFonts w:ascii="Times New Roman" w:hAnsi="Times New Roman" w:cs="Times New Roman"/>
          <w:spacing w:val="-2"/>
          <w:sz w:val="28"/>
          <w:szCs w:val="28"/>
        </w:rPr>
        <w:t xml:space="preserve">роботи, </w:t>
      </w:r>
      <w:r w:rsidRPr="00B07B79">
        <w:rPr>
          <w:rFonts w:ascii="Times New Roman" w:hAnsi="Times New Roman" w:cs="Times New Roman"/>
          <w:spacing w:val="-1"/>
          <w:sz w:val="28"/>
          <w:szCs w:val="28"/>
        </w:rPr>
        <w:t>спрямованої</w:t>
      </w:r>
      <w:r w:rsidRPr="00B07B79">
        <w:rPr>
          <w:rFonts w:ascii="Times New Roman" w:hAnsi="Times New Roman" w:cs="Times New Roman"/>
          <w:sz w:val="28"/>
          <w:szCs w:val="28"/>
        </w:rPr>
        <w:tab/>
        <w:t xml:space="preserve">на </w:t>
      </w:r>
      <w:r w:rsidRPr="00B07B79">
        <w:rPr>
          <w:rFonts w:ascii="Times New Roman" w:hAnsi="Times New Roman" w:cs="Times New Roman"/>
          <w:spacing w:val="-2"/>
          <w:sz w:val="28"/>
          <w:szCs w:val="28"/>
        </w:rPr>
        <w:t xml:space="preserve">підготовку </w:t>
      </w:r>
      <w:r w:rsidRPr="00B07B79">
        <w:rPr>
          <w:rFonts w:ascii="Times New Roman" w:hAnsi="Times New Roman" w:cs="Times New Roman"/>
          <w:sz w:val="28"/>
          <w:szCs w:val="28"/>
        </w:rPr>
        <w:t>кваліфікованих спеціалістів з питань ризик-менеджменту.</w:t>
      </w:r>
    </w:p>
    <w:p w:rsidR="00406315" w:rsidRPr="00B07B79" w:rsidRDefault="00406315" w:rsidP="00406315">
      <w:pPr>
        <w:shd w:val="clear" w:color="auto" w:fill="FFFFFF"/>
        <w:tabs>
          <w:tab w:val="left" w:pos="797"/>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3"/>
          <w:sz w:val="28"/>
          <w:szCs w:val="28"/>
        </w:rPr>
        <w:t>2)</w:t>
      </w:r>
      <w:r w:rsidRPr="00B07B79">
        <w:rPr>
          <w:rFonts w:ascii="Times New Roman" w:hAnsi="Times New Roman" w:cs="Times New Roman"/>
          <w:sz w:val="28"/>
          <w:szCs w:val="28"/>
        </w:rPr>
        <w:tab/>
      </w:r>
      <w:r w:rsidRPr="00B07B79">
        <w:rPr>
          <w:rFonts w:ascii="Times New Roman" w:hAnsi="Times New Roman" w:cs="Times New Roman"/>
          <w:spacing w:val="-2"/>
          <w:sz w:val="28"/>
          <w:szCs w:val="28"/>
        </w:rPr>
        <w:t>Потрібно забезпечити прозорість діяльності банків за допомогою:</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Посилення вимог до змісту та форми оприлюднення банками річної та проміжної фінансової звітності, в тому числі до </w:t>
      </w:r>
      <w:proofErr w:type="spellStart"/>
      <w:r w:rsidRPr="00B07B79">
        <w:rPr>
          <w:rFonts w:ascii="Times New Roman" w:hAnsi="Times New Roman" w:cs="Times New Roman"/>
          <w:sz w:val="28"/>
          <w:szCs w:val="28"/>
        </w:rPr>
        <w:t>переопублікування</w:t>
      </w:r>
      <w:proofErr w:type="spellEnd"/>
      <w:r w:rsidRPr="00B07B79">
        <w:rPr>
          <w:rFonts w:ascii="Times New Roman" w:hAnsi="Times New Roman" w:cs="Times New Roman"/>
          <w:sz w:val="28"/>
          <w:szCs w:val="28"/>
        </w:rPr>
        <w:t xml:space="preserve"> звітності, в якій виявлені суттєві недоліки. Банки повинні оприлюднювати глибоку та деталізовану інформацію про фінансовий стан, власників банку, структуру управління, основні вкладення та обсяги сформованих резервів, джерела доходів, ризики, які приймає на себе банк та якість систем їх управління;</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Посилення відповідальності керівництва банків за достовірність та своєчасність звітності, а також достовірність реклами;</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Продовження роботи щодо впровадження Міжнародних стандартів фінансової звітності, в тому числі тих, що стосуються визнання фінансових інструментів, та Міжнародних стандартів аудиту;</w:t>
      </w:r>
    </w:p>
    <w:p w:rsidR="00406315" w:rsidRPr="00B07B79" w:rsidRDefault="00406315" w:rsidP="00406315">
      <w:pPr>
        <w:widowControl w:val="0"/>
        <w:numPr>
          <w:ilvl w:val="0"/>
          <w:numId w:val="42"/>
        </w:numPr>
        <w:shd w:val="clear" w:color="auto" w:fill="FFFFFF"/>
        <w:tabs>
          <w:tab w:val="left" w:pos="773"/>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Запровадження вимог Базельського комітету з банківського нагляду щодо розкриття кількісної та якісної інформації про стан та результати діяльності банків;</w:t>
      </w:r>
    </w:p>
    <w:p w:rsidR="00406315" w:rsidRPr="00B07B79" w:rsidRDefault="00406315" w:rsidP="00406315">
      <w:pPr>
        <w:widowControl w:val="0"/>
        <w:numPr>
          <w:ilvl w:val="0"/>
          <w:numId w:val="22"/>
        </w:numPr>
        <w:shd w:val="clear" w:color="auto" w:fill="FFFFFF"/>
        <w:tabs>
          <w:tab w:val="left" w:pos="76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Проведення роз'яснювальної роботи щодо підходів до інтерпретації фінансової звітності;</w:t>
      </w:r>
    </w:p>
    <w:p w:rsidR="00406315" w:rsidRPr="00B07B79" w:rsidRDefault="00406315" w:rsidP="00406315">
      <w:pPr>
        <w:widowControl w:val="0"/>
        <w:numPr>
          <w:ilvl w:val="0"/>
          <w:numId w:val="22"/>
        </w:numPr>
        <w:shd w:val="clear" w:color="auto" w:fill="FFFFFF"/>
        <w:tabs>
          <w:tab w:val="left" w:pos="76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Розширення мережі рейтингових агентств як незалежних експертів з оцінки ризиків.</w:t>
      </w:r>
    </w:p>
    <w:p w:rsidR="00406315" w:rsidRPr="00B07B79" w:rsidRDefault="00406315" w:rsidP="00406315">
      <w:pPr>
        <w:shd w:val="clear" w:color="auto" w:fill="FFFFFF"/>
        <w:tabs>
          <w:tab w:val="left" w:pos="797"/>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5"/>
          <w:sz w:val="28"/>
          <w:szCs w:val="28"/>
        </w:rPr>
        <w:t>3)</w:t>
      </w:r>
      <w:r w:rsidRPr="00B07B79">
        <w:rPr>
          <w:rFonts w:ascii="Times New Roman" w:hAnsi="Times New Roman" w:cs="Times New Roman"/>
          <w:sz w:val="28"/>
          <w:szCs w:val="28"/>
        </w:rPr>
        <w:tab/>
      </w:r>
      <w:r w:rsidRPr="00B07B79">
        <w:rPr>
          <w:rFonts w:ascii="Times New Roman" w:hAnsi="Times New Roman" w:cs="Times New Roman"/>
          <w:spacing w:val="-1"/>
          <w:sz w:val="28"/>
          <w:szCs w:val="28"/>
        </w:rPr>
        <w:t>Підвищити рівень капіталізації банків можливо шляхом:</w:t>
      </w:r>
    </w:p>
    <w:p w:rsidR="00406315" w:rsidRPr="00B07B79" w:rsidRDefault="00406315" w:rsidP="00406315">
      <w:pPr>
        <w:widowControl w:val="0"/>
        <w:numPr>
          <w:ilvl w:val="0"/>
          <w:numId w:val="22"/>
        </w:numPr>
        <w:shd w:val="clear" w:color="auto" w:fill="FFFFFF"/>
        <w:tabs>
          <w:tab w:val="left" w:pos="76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Забезпечення притоку капіталу до банківської системи;</w:t>
      </w:r>
    </w:p>
    <w:p w:rsidR="00406315" w:rsidRPr="00B07B79" w:rsidRDefault="00406315" w:rsidP="00406315">
      <w:pPr>
        <w:widowControl w:val="0"/>
        <w:numPr>
          <w:ilvl w:val="0"/>
          <w:numId w:val="22"/>
        </w:numPr>
        <w:shd w:val="clear" w:color="auto" w:fill="FFFFFF"/>
        <w:tabs>
          <w:tab w:val="left" w:pos="76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Покращання якості активів, пожвавлення роботи щодо повернення проблемної заборгованості;</w:t>
      </w:r>
    </w:p>
    <w:p w:rsidR="00406315" w:rsidRPr="00B07B79" w:rsidRDefault="00406315" w:rsidP="00406315">
      <w:pPr>
        <w:widowControl w:val="0"/>
        <w:numPr>
          <w:ilvl w:val="0"/>
          <w:numId w:val="22"/>
        </w:numPr>
        <w:shd w:val="clear" w:color="auto" w:fill="FFFFFF"/>
        <w:tabs>
          <w:tab w:val="left" w:pos="76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Нарощування дохідності банків, в тому числі за рахунок розширення спектру </w:t>
      </w:r>
      <w:proofErr w:type="spellStart"/>
      <w:r w:rsidRPr="00B07B79">
        <w:rPr>
          <w:rFonts w:ascii="Times New Roman" w:hAnsi="Times New Roman" w:cs="Times New Roman"/>
          <w:sz w:val="28"/>
          <w:szCs w:val="28"/>
        </w:rPr>
        <w:t>безризикових</w:t>
      </w:r>
      <w:proofErr w:type="spellEnd"/>
      <w:r w:rsidRPr="00B07B79">
        <w:rPr>
          <w:rFonts w:ascii="Times New Roman" w:hAnsi="Times New Roman" w:cs="Times New Roman"/>
          <w:sz w:val="28"/>
          <w:szCs w:val="28"/>
        </w:rPr>
        <w:t xml:space="preserve"> комісійних операцій;</w:t>
      </w:r>
    </w:p>
    <w:p w:rsidR="00406315" w:rsidRPr="00B07B79" w:rsidRDefault="00406315" w:rsidP="00406315">
      <w:pPr>
        <w:widowControl w:val="0"/>
        <w:numPr>
          <w:ilvl w:val="0"/>
          <w:numId w:val="22"/>
        </w:numPr>
        <w:shd w:val="clear" w:color="auto" w:fill="FFFFFF"/>
        <w:tabs>
          <w:tab w:val="left" w:pos="76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Оптимізації структури витрат банків, зокрема більш виваженого підходу до операційних та адміністративних витрат;</w:t>
      </w:r>
    </w:p>
    <w:p w:rsidR="00406315" w:rsidRPr="00B07B79" w:rsidRDefault="00406315" w:rsidP="00406315">
      <w:pPr>
        <w:shd w:val="clear" w:color="auto" w:fill="FFFFFF"/>
        <w:tabs>
          <w:tab w:val="left" w:pos="883"/>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Посилення контролю з боку Національного банку України за</w:t>
      </w:r>
      <w:r w:rsidRPr="00B07B79">
        <w:rPr>
          <w:rFonts w:ascii="Times New Roman" w:hAnsi="Times New Roman" w:cs="Times New Roman"/>
          <w:sz w:val="28"/>
          <w:szCs w:val="28"/>
        </w:rPr>
        <w:br/>
        <w:t>виконанням банками вимог щодо достатності капіталу.</w:t>
      </w:r>
    </w:p>
    <w:p w:rsidR="00406315" w:rsidRPr="00B07B79" w:rsidRDefault="00406315" w:rsidP="00406315">
      <w:pPr>
        <w:shd w:val="clear" w:color="auto" w:fill="FFFFFF"/>
        <w:tabs>
          <w:tab w:val="left" w:pos="1080"/>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6"/>
          <w:sz w:val="28"/>
          <w:szCs w:val="28"/>
        </w:rPr>
        <w:t>4)</w:t>
      </w:r>
      <w:r w:rsidRPr="00B07B79">
        <w:rPr>
          <w:rFonts w:ascii="Times New Roman" w:hAnsi="Times New Roman" w:cs="Times New Roman"/>
          <w:sz w:val="28"/>
          <w:szCs w:val="28"/>
        </w:rPr>
        <w:tab/>
        <w:t>Підвищити відповідальність за неправомірне розголошення</w:t>
      </w:r>
      <w:r w:rsidRPr="00B07B79">
        <w:rPr>
          <w:rFonts w:ascii="Times New Roman" w:hAnsi="Times New Roman" w:cs="Times New Roman"/>
          <w:sz w:val="28"/>
          <w:szCs w:val="28"/>
        </w:rPr>
        <w:br/>
        <w:t>банківської таємниці.</w:t>
      </w:r>
    </w:p>
    <w:p w:rsidR="00406315" w:rsidRPr="00B07B79" w:rsidRDefault="00406315" w:rsidP="00406315">
      <w:pPr>
        <w:shd w:val="clear" w:color="auto" w:fill="FFFFFF"/>
        <w:tabs>
          <w:tab w:val="left" w:pos="869"/>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6"/>
          <w:sz w:val="28"/>
          <w:szCs w:val="28"/>
        </w:rPr>
        <w:t>5)</w:t>
      </w:r>
      <w:r w:rsidRPr="00B07B79">
        <w:rPr>
          <w:rFonts w:ascii="Times New Roman" w:hAnsi="Times New Roman" w:cs="Times New Roman"/>
          <w:sz w:val="28"/>
          <w:szCs w:val="28"/>
        </w:rPr>
        <w:tab/>
        <w:t>Врегулювати на законодавчому рівні захист прав кредиторів шляхом:</w:t>
      </w:r>
    </w:p>
    <w:p w:rsidR="00406315" w:rsidRPr="00B07B79" w:rsidRDefault="00406315" w:rsidP="00406315">
      <w:pPr>
        <w:widowControl w:val="0"/>
        <w:numPr>
          <w:ilvl w:val="0"/>
          <w:numId w:val="43"/>
        </w:numPr>
        <w:shd w:val="clear" w:color="auto" w:fill="FFFFFF"/>
        <w:tabs>
          <w:tab w:val="left" w:pos="78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Створення та ведення реєстру прав на нерухоме майно з прив'язкою до земельної ділянки;</w:t>
      </w:r>
    </w:p>
    <w:p w:rsidR="00406315" w:rsidRPr="00B07B79" w:rsidRDefault="00406315" w:rsidP="00406315">
      <w:pPr>
        <w:widowControl w:val="0"/>
        <w:numPr>
          <w:ilvl w:val="0"/>
          <w:numId w:val="43"/>
        </w:numPr>
        <w:shd w:val="clear" w:color="auto" w:fill="FFFFFF"/>
        <w:tabs>
          <w:tab w:val="left" w:pos="78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Встановлення пріоритетності першого кредитора щодо реалізації </w:t>
      </w:r>
      <w:r w:rsidRPr="00B07B79">
        <w:rPr>
          <w:rFonts w:ascii="Times New Roman" w:hAnsi="Times New Roman" w:cs="Times New Roman"/>
          <w:spacing w:val="-1"/>
          <w:sz w:val="28"/>
          <w:szCs w:val="28"/>
        </w:rPr>
        <w:t>його прав на заставлене майно шляхом реєстрації обтяжень майна;</w:t>
      </w:r>
    </w:p>
    <w:p w:rsidR="00406315" w:rsidRPr="00B07B79" w:rsidRDefault="00406315" w:rsidP="00406315">
      <w:pPr>
        <w:widowControl w:val="0"/>
        <w:numPr>
          <w:ilvl w:val="0"/>
          <w:numId w:val="43"/>
        </w:numPr>
        <w:shd w:val="clear" w:color="auto" w:fill="FFFFFF"/>
        <w:tabs>
          <w:tab w:val="left" w:pos="782"/>
          <w:tab w:val="left" w:pos="3533"/>
          <w:tab w:val="left" w:pos="5827"/>
          <w:tab w:val="left" w:pos="702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Забезпечення функціонування бюро кредитних історій з метою </w:t>
      </w:r>
      <w:r w:rsidRPr="00B07B79">
        <w:rPr>
          <w:rFonts w:ascii="Times New Roman" w:hAnsi="Times New Roman" w:cs="Times New Roman"/>
          <w:spacing w:val="-1"/>
          <w:sz w:val="28"/>
          <w:szCs w:val="28"/>
        </w:rPr>
        <w:t>накопичення та обміну</w:t>
      </w:r>
      <w:r w:rsidRPr="00B07B79">
        <w:rPr>
          <w:rFonts w:ascii="Times New Roman" w:hAnsi="Times New Roman" w:cs="Times New Roman"/>
          <w:sz w:val="28"/>
          <w:szCs w:val="28"/>
        </w:rPr>
        <w:tab/>
      </w:r>
      <w:r w:rsidRPr="00B07B79">
        <w:rPr>
          <w:rFonts w:ascii="Times New Roman" w:hAnsi="Times New Roman" w:cs="Times New Roman"/>
          <w:spacing w:val="-3"/>
          <w:sz w:val="28"/>
          <w:szCs w:val="28"/>
        </w:rPr>
        <w:t>інформацією</w:t>
      </w:r>
      <w:r w:rsidRPr="00B07B79">
        <w:rPr>
          <w:rFonts w:ascii="Times New Roman" w:hAnsi="Times New Roman" w:cs="Times New Roman"/>
          <w:sz w:val="28"/>
          <w:szCs w:val="28"/>
        </w:rPr>
        <w:tab/>
      </w:r>
      <w:r w:rsidRPr="00B07B79">
        <w:rPr>
          <w:rFonts w:ascii="Times New Roman" w:hAnsi="Times New Roman" w:cs="Times New Roman"/>
          <w:spacing w:val="-3"/>
          <w:sz w:val="28"/>
          <w:szCs w:val="28"/>
        </w:rPr>
        <w:t>про</w:t>
      </w:r>
      <w:r w:rsidRPr="00B07B79">
        <w:rPr>
          <w:rFonts w:ascii="Times New Roman" w:hAnsi="Times New Roman" w:cs="Times New Roman"/>
          <w:sz w:val="28"/>
          <w:szCs w:val="28"/>
        </w:rPr>
        <w:tab/>
      </w:r>
      <w:r w:rsidRPr="00B07B79">
        <w:rPr>
          <w:rFonts w:ascii="Times New Roman" w:hAnsi="Times New Roman" w:cs="Times New Roman"/>
          <w:spacing w:val="-2"/>
          <w:sz w:val="28"/>
          <w:szCs w:val="28"/>
        </w:rPr>
        <w:t xml:space="preserve">кредитоспроможність </w:t>
      </w:r>
      <w:r w:rsidRPr="00B07B79">
        <w:rPr>
          <w:rFonts w:ascii="Times New Roman" w:hAnsi="Times New Roman" w:cs="Times New Roman"/>
          <w:sz w:val="28"/>
          <w:szCs w:val="28"/>
        </w:rPr>
        <w:t>позичальників банків;</w:t>
      </w:r>
    </w:p>
    <w:p w:rsidR="00406315" w:rsidRPr="00B07B79" w:rsidRDefault="00406315" w:rsidP="00406315">
      <w:pPr>
        <w:widowControl w:val="0"/>
        <w:numPr>
          <w:ilvl w:val="0"/>
          <w:numId w:val="43"/>
        </w:numPr>
        <w:shd w:val="clear" w:color="auto" w:fill="FFFFFF"/>
        <w:tabs>
          <w:tab w:val="left" w:pos="78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Спрощення формальних процедур оформлення застави та реалізації заставленого майна;</w:t>
      </w:r>
    </w:p>
    <w:p w:rsidR="00406315" w:rsidRPr="00B07B79" w:rsidRDefault="00406315" w:rsidP="00406315">
      <w:pPr>
        <w:widowControl w:val="0"/>
        <w:numPr>
          <w:ilvl w:val="0"/>
          <w:numId w:val="43"/>
        </w:numPr>
        <w:shd w:val="clear" w:color="auto" w:fill="FFFFFF"/>
        <w:tabs>
          <w:tab w:val="left" w:pos="78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Визначення різноманітних умов та шляхів реалізації заставленого </w:t>
      </w:r>
      <w:r w:rsidRPr="00B07B79">
        <w:rPr>
          <w:rFonts w:ascii="Times New Roman" w:hAnsi="Times New Roman" w:cs="Times New Roman"/>
          <w:sz w:val="28"/>
          <w:szCs w:val="28"/>
        </w:rPr>
        <w:lastRenderedPageBreak/>
        <w:t>майна;</w:t>
      </w:r>
    </w:p>
    <w:p w:rsidR="00406315" w:rsidRPr="00B07B79" w:rsidRDefault="00406315" w:rsidP="00406315">
      <w:pPr>
        <w:widowControl w:val="0"/>
        <w:numPr>
          <w:ilvl w:val="0"/>
          <w:numId w:val="43"/>
        </w:numPr>
        <w:shd w:val="clear" w:color="auto" w:fill="FFFFFF"/>
        <w:tabs>
          <w:tab w:val="left" w:pos="782"/>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Реалізації заставленого майна у разі визнання позичальника банкрутом поза чергою вимог кредиторів тощо.</w:t>
      </w:r>
    </w:p>
    <w:p w:rsidR="00406315" w:rsidRPr="00B07B79" w:rsidRDefault="00406315" w:rsidP="00406315">
      <w:pPr>
        <w:shd w:val="clear" w:color="auto" w:fill="FFFFFF"/>
        <w:tabs>
          <w:tab w:val="left" w:pos="859"/>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5"/>
          <w:sz w:val="28"/>
          <w:szCs w:val="28"/>
        </w:rPr>
        <w:t>6)</w:t>
      </w:r>
      <w:r w:rsidRPr="00B07B79">
        <w:rPr>
          <w:rFonts w:ascii="Times New Roman" w:hAnsi="Times New Roman" w:cs="Times New Roman"/>
          <w:sz w:val="28"/>
          <w:szCs w:val="28"/>
        </w:rPr>
        <w:tab/>
        <w:t>Врегулювати на законодавчому рівні захист прав вкладників, в тому</w:t>
      </w:r>
      <w:r w:rsidRPr="00B07B79">
        <w:rPr>
          <w:rFonts w:ascii="Times New Roman" w:hAnsi="Times New Roman" w:cs="Times New Roman"/>
          <w:sz w:val="28"/>
          <w:szCs w:val="28"/>
        </w:rPr>
        <w:br/>
        <w:t>числі:</w:t>
      </w:r>
    </w:p>
    <w:p w:rsidR="00406315" w:rsidRPr="00B07B79" w:rsidRDefault="00406315" w:rsidP="00406315">
      <w:pPr>
        <w:widowControl w:val="0"/>
        <w:numPr>
          <w:ilvl w:val="0"/>
          <w:numId w:val="42"/>
        </w:numPr>
        <w:shd w:val="clear" w:color="auto" w:fill="FFFFFF"/>
        <w:tabs>
          <w:tab w:val="left" w:pos="75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Вдосконалити процедури ліквідації банків;</w:t>
      </w:r>
    </w:p>
    <w:p w:rsidR="00406315" w:rsidRPr="00B07B79" w:rsidRDefault="00406315" w:rsidP="00406315">
      <w:pPr>
        <w:widowControl w:val="0"/>
        <w:numPr>
          <w:ilvl w:val="0"/>
          <w:numId w:val="42"/>
        </w:numPr>
        <w:shd w:val="clear" w:color="auto" w:fill="FFFFFF"/>
        <w:tabs>
          <w:tab w:val="left" w:pos="758"/>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
          <w:sz w:val="28"/>
          <w:szCs w:val="28"/>
        </w:rPr>
        <w:t>Вдосконалити системи гарантування вкладів фізичних осіб.</w:t>
      </w:r>
    </w:p>
    <w:p w:rsidR="00406315" w:rsidRPr="00B07B79" w:rsidRDefault="00406315" w:rsidP="00406315">
      <w:pPr>
        <w:widowControl w:val="0"/>
        <w:numPr>
          <w:ilvl w:val="0"/>
          <w:numId w:val="44"/>
        </w:numPr>
        <w:shd w:val="clear" w:color="auto" w:fill="FFFFFF"/>
        <w:tabs>
          <w:tab w:val="left" w:pos="859"/>
        </w:tabs>
        <w:autoSpaceDE w:val="0"/>
        <w:autoSpaceDN w:val="0"/>
        <w:adjustRightInd w:val="0"/>
        <w:spacing w:after="0" w:line="360" w:lineRule="auto"/>
        <w:ind w:firstLine="567"/>
        <w:contextualSpacing/>
        <w:jc w:val="both"/>
        <w:rPr>
          <w:rFonts w:ascii="Times New Roman" w:hAnsi="Times New Roman" w:cs="Times New Roman"/>
          <w:spacing w:val="-13"/>
          <w:sz w:val="28"/>
          <w:szCs w:val="28"/>
        </w:rPr>
      </w:pPr>
      <w:r w:rsidRPr="00B07B79">
        <w:rPr>
          <w:rFonts w:ascii="Times New Roman" w:hAnsi="Times New Roman" w:cs="Times New Roman"/>
          <w:sz w:val="28"/>
          <w:szCs w:val="28"/>
        </w:rPr>
        <w:t>Забезпечувати своєчасне виведення з ринку тих банків, чия діяльність загрожує інтересам вкладників чи кредиторів;</w:t>
      </w:r>
    </w:p>
    <w:p w:rsidR="00406315" w:rsidRPr="00B07B79" w:rsidRDefault="00406315" w:rsidP="00406315">
      <w:pPr>
        <w:widowControl w:val="0"/>
        <w:numPr>
          <w:ilvl w:val="0"/>
          <w:numId w:val="44"/>
        </w:numPr>
        <w:shd w:val="clear" w:color="auto" w:fill="FFFFFF"/>
        <w:tabs>
          <w:tab w:val="left" w:pos="859"/>
        </w:tabs>
        <w:autoSpaceDE w:val="0"/>
        <w:autoSpaceDN w:val="0"/>
        <w:adjustRightInd w:val="0"/>
        <w:spacing w:after="0" w:line="360" w:lineRule="auto"/>
        <w:ind w:firstLine="567"/>
        <w:contextualSpacing/>
        <w:jc w:val="both"/>
        <w:rPr>
          <w:rFonts w:ascii="Times New Roman" w:hAnsi="Times New Roman" w:cs="Times New Roman"/>
          <w:spacing w:val="-16"/>
          <w:sz w:val="28"/>
          <w:szCs w:val="28"/>
        </w:rPr>
      </w:pPr>
      <w:r w:rsidRPr="00B07B79">
        <w:rPr>
          <w:rFonts w:ascii="Times New Roman" w:hAnsi="Times New Roman" w:cs="Times New Roman"/>
          <w:sz w:val="28"/>
          <w:szCs w:val="28"/>
        </w:rPr>
        <w:t>Підвищувати професійний рівень підготовки керівного складу та ключових власників банків.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 період становлення банківської системи України були розроблені та впроваджені банківські продукти та послуги для юридичних осіб та населення, які притаманні ринковій економіці.</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Переважна частина цих продуктів, як з точки зору обсягів, так і з точки зору асортименту, відносяться до операцій кредитування.</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Разом з цим спектр та обсяги кредитних послуг залишаються досить обмеженим - в основному це пряме короткострокове кредитування - тоді як сучасні умови господарювання вимагають нових форм та методів кредитної підтримки</w:t>
      </w:r>
      <w:r w:rsidRPr="00406315">
        <w:rPr>
          <w:rFonts w:ascii="Times New Roman" w:hAnsi="Times New Roman" w:cs="Times New Roman"/>
          <w:sz w:val="28"/>
          <w:szCs w:val="28"/>
          <w:lang w:val="ru-RU"/>
        </w:rPr>
        <w:t xml:space="preserve"> [109]</w:t>
      </w:r>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Протягом останніх років спостерігається тенденція до розширення спектру та обсягів операцій щодо формування ресурсної бази банків. Це проявляється через появу нових, більш гнучких з точки зору задоволення потреб клієнтури, депозитних продуктів.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Незважаючи на високі обсяги кредитування, потреби економіки в кредитній підтримці лишаються здебільшого незадоволеними. Значною мірою така ситуація продиктована високим рівнем процентних ставок. Проблема високої вартості кредитів обумовлена такими факторами:</w:t>
      </w:r>
    </w:p>
    <w:p w:rsidR="00406315" w:rsidRPr="00B07B79" w:rsidRDefault="00406315" w:rsidP="00406315">
      <w:pPr>
        <w:shd w:val="clear" w:color="auto" w:fill="FFFFFF"/>
        <w:tabs>
          <w:tab w:val="left" w:pos="758"/>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Процентні ставки змушені перекривати ризик неповернення</w:t>
      </w:r>
      <w:r w:rsidRPr="00B07B79">
        <w:rPr>
          <w:rFonts w:ascii="Times New Roman" w:hAnsi="Times New Roman" w:cs="Times New Roman"/>
          <w:sz w:val="28"/>
          <w:szCs w:val="28"/>
        </w:rPr>
        <w:br/>
        <w:t>кредитів, в тому числі іншими позичальниками;</w:t>
      </w:r>
    </w:p>
    <w:p w:rsidR="00406315" w:rsidRPr="00B07B79" w:rsidRDefault="00406315" w:rsidP="00406315">
      <w:pPr>
        <w:shd w:val="clear" w:color="auto" w:fill="FFFFFF"/>
        <w:tabs>
          <w:tab w:val="left" w:pos="850"/>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w:t>
      </w:r>
      <w:r w:rsidRPr="00B07B79">
        <w:rPr>
          <w:rFonts w:ascii="Times New Roman" w:hAnsi="Times New Roman" w:cs="Times New Roman"/>
          <w:sz w:val="28"/>
          <w:szCs w:val="28"/>
        </w:rPr>
        <w:tab/>
        <w:t>Неефективною структурою витрат банків, коли процентні доходи</w:t>
      </w:r>
      <w:r w:rsidRPr="00B07B79">
        <w:rPr>
          <w:rFonts w:ascii="Times New Roman" w:hAnsi="Times New Roman" w:cs="Times New Roman"/>
          <w:sz w:val="28"/>
          <w:szCs w:val="28"/>
        </w:rPr>
        <w:br/>
        <w:t>виступають не тільки компенсатором процентних витрат, але і чи</w:t>
      </w:r>
      <w:r w:rsidRPr="00B07B79">
        <w:rPr>
          <w:rFonts w:ascii="Times New Roman" w:hAnsi="Times New Roman" w:cs="Times New Roman"/>
          <w:sz w:val="28"/>
          <w:szCs w:val="28"/>
        </w:rPr>
        <w:br/>
        <w:t>не єдиним джерелом покриття витрат адміністративних;</w:t>
      </w:r>
    </w:p>
    <w:p w:rsidR="00406315" w:rsidRPr="00B07B79" w:rsidRDefault="00406315" w:rsidP="00406315">
      <w:pPr>
        <w:shd w:val="clear" w:color="auto" w:fill="FFFFFF"/>
        <w:tabs>
          <w:tab w:val="left" w:pos="730"/>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Недосконалою практикою управління кредитним ризиком,</w:t>
      </w:r>
      <w:r w:rsidRPr="00B07B79">
        <w:rPr>
          <w:rFonts w:ascii="Times New Roman" w:hAnsi="Times New Roman" w:cs="Times New Roman"/>
          <w:sz w:val="28"/>
          <w:szCs w:val="28"/>
        </w:rPr>
        <w:br/>
      </w:r>
      <w:r w:rsidRPr="00B07B79">
        <w:rPr>
          <w:rFonts w:ascii="Times New Roman" w:hAnsi="Times New Roman" w:cs="Times New Roman"/>
          <w:spacing w:val="-1"/>
          <w:sz w:val="28"/>
          <w:szCs w:val="28"/>
        </w:rPr>
        <w:t>зокрема відсутністю інструментів пом'якшення такого ризику;</w:t>
      </w:r>
    </w:p>
    <w:p w:rsidR="00406315" w:rsidRPr="00B07B79" w:rsidRDefault="00406315" w:rsidP="00406315">
      <w:pPr>
        <w:shd w:val="clear" w:color="auto" w:fill="FFFFFF"/>
        <w:tabs>
          <w:tab w:val="left" w:pos="840"/>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Недостатньою конкуренцією на ринку банківських послуг та</w:t>
      </w:r>
      <w:r w:rsidRPr="00B07B79">
        <w:rPr>
          <w:rFonts w:ascii="Times New Roman" w:hAnsi="Times New Roman" w:cs="Times New Roman"/>
          <w:sz w:val="28"/>
          <w:szCs w:val="28"/>
        </w:rPr>
        <w:br/>
        <w:t>високою вартістю залучених коштів.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Незадоволення потреб економіки проявляється у вузькості асортименту кредитних послуг для різних груп клієнтів. На разі банкам важливо послідовно виходити на принципово новий напрямок розширення асортименту послуг, поліпшення їх якості, що передбачає впровадження новітніх банківських технологій.</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До основних проблем розвитку системи кредитування, що потребують </w:t>
      </w:r>
      <w:r w:rsidRPr="00B07B79">
        <w:rPr>
          <w:rFonts w:ascii="Times New Roman" w:hAnsi="Times New Roman" w:cs="Times New Roman"/>
          <w:spacing w:val="-1"/>
          <w:sz w:val="28"/>
          <w:szCs w:val="28"/>
        </w:rPr>
        <w:t xml:space="preserve">нагального вирішення можна віднести те, що сфера банківської діяльності </w:t>
      </w:r>
      <w:r w:rsidRPr="00B07B79">
        <w:rPr>
          <w:rFonts w:ascii="Times New Roman" w:hAnsi="Times New Roman" w:cs="Times New Roman"/>
          <w:sz w:val="28"/>
          <w:szCs w:val="28"/>
        </w:rPr>
        <w:t>кредитування в Україні фактично не має спеціального законодавчого забезпечення.</w:t>
      </w:r>
    </w:p>
    <w:p w:rsidR="00406315" w:rsidRPr="00B03492"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Нині правовідносини у сфері кредитування регулюються в основному нормами Цивільного кодексу України, Законів України "Про Національний банк України", "Про банки і банківську діяльність", "Про іпотеку", "Про іпо</w:t>
      </w:r>
      <w:r w:rsidRPr="00B07B79">
        <w:rPr>
          <w:rFonts w:ascii="Times New Roman" w:hAnsi="Times New Roman" w:cs="Times New Roman"/>
          <w:sz w:val="28"/>
          <w:szCs w:val="28"/>
        </w:rPr>
        <w:softHyphen/>
        <w:t xml:space="preserve">течне кредитування", положеннями Національного банку України "Про кредитування" і "Про порядок формування та використання резерву для </w:t>
      </w:r>
      <w:r w:rsidRPr="00B07B79">
        <w:rPr>
          <w:rFonts w:ascii="Times New Roman" w:hAnsi="Times New Roman" w:cs="Times New Roman"/>
          <w:spacing w:val="-2"/>
          <w:sz w:val="28"/>
          <w:szCs w:val="28"/>
        </w:rPr>
        <w:t xml:space="preserve">відшкодування можливих втрат за кредитними операціями комерційних банків". </w:t>
      </w:r>
      <w:r w:rsidRPr="00B07B79">
        <w:rPr>
          <w:rFonts w:ascii="Times New Roman" w:hAnsi="Times New Roman" w:cs="Times New Roman"/>
          <w:sz w:val="28"/>
          <w:szCs w:val="28"/>
        </w:rPr>
        <w:t xml:space="preserve">Цивільний кодекс містить загальні норми, котрі належать до інституту </w:t>
      </w:r>
      <w:r w:rsidRPr="00B07B79">
        <w:rPr>
          <w:rFonts w:ascii="Times New Roman" w:hAnsi="Times New Roman" w:cs="Times New Roman"/>
          <w:spacing w:val="-3"/>
          <w:sz w:val="28"/>
          <w:szCs w:val="28"/>
        </w:rPr>
        <w:t xml:space="preserve">кредитного договору, а також регламентує основи і порядок звернення стягнення на закладене майно, способи забезпечення зобов'язань. Закон "Про Національний </w:t>
      </w:r>
      <w:r w:rsidRPr="00B07B79">
        <w:rPr>
          <w:rFonts w:ascii="Times New Roman" w:hAnsi="Times New Roman" w:cs="Times New Roman"/>
          <w:spacing w:val="-1"/>
          <w:sz w:val="28"/>
          <w:szCs w:val="28"/>
        </w:rPr>
        <w:t>банк України" містить норми, що стосуються загальних положень грошово-</w:t>
      </w:r>
      <w:r w:rsidRPr="00B07B79">
        <w:rPr>
          <w:rFonts w:ascii="Times New Roman" w:hAnsi="Times New Roman" w:cs="Times New Roman"/>
          <w:sz w:val="28"/>
          <w:szCs w:val="28"/>
        </w:rPr>
        <w:t xml:space="preserve">кредитної політики. Закон "Про банки і банківську діяльність" також дає </w:t>
      </w:r>
      <w:r w:rsidRPr="00B07B79">
        <w:rPr>
          <w:rFonts w:ascii="Times New Roman" w:hAnsi="Times New Roman" w:cs="Times New Roman"/>
          <w:spacing w:val="-1"/>
          <w:sz w:val="28"/>
          <w:szCs w:val="28"/>
        </w:rPr>
        <w:t xml:space="preserve">загальне юридичне трактування кредитних операцій і надає загальні норми, що </w:t>
      </w:r>
      <w:r w:rsidRPr="00B07B79">
        <w:rPr>
          <w:rFonts w:ascii="Times New Roman" w:hAnsi="Times New Roman" w:cs="Times New Roman"/>
          <w:sz w:val="28"/>
          <w:szCs w:val="28"/>
        </w:rPr>
        <w:t xml:space="preserve">стосуються інституту захисту прав та </w:t>
      </w:r>
      <w:r w:rsidRPr="00B07B79">
        <w:rPr>
          <w:rFonts w:ascii="Times New Roman" w:hAnsi="Times New Roman" w:cs="Times New Roman"/>
          <w:sz w:val="28"/>
          <w:szCs w:val="28"/>
        </w:rPr>
        <w:lastRenderedPageBreak/>
        <w:t>інтересів кредиторів, забезпечення стабільності банківської системи, а також містить обмеження у сфері кредитування.</w:t>
      </w:r>
      <w:r w:rsidRPr="00B03492">
        <w:rPr>
          <w:rFonts w:ascii="Times New Roman" w:hAnsi="Times New Roman" w:cs="Times New Roman"/>
          <w:sz w:val="28"/>
          <w:szCs w:val="28"/>
        </w:rPr>
        <w:t>[15]</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
          <w:sz w:val="28"/>
          <w:szCs w:val="28"/>
        </w:rPr>
        <w:t xml:space="preserve">Отже, суттєвими недоліками, які безпосередньо впливають на стан системи </w:t>
      </w:r>
      <w:r w:rsidRPr="00B07B79">
        <w:rPr>
          <w:rFonts w:ascii="Times New Roman" w:hAnsi="Times New Roman" w:cs="Times New Roman"/>
          <w:sz w:val="28"/>
          <w:szCs w:val="28"/>
        </w:rPr>
        <w:t>банківського кредитування, є: відсутність законодавчого забезпечення, невідповідність норм чинного законодавства щодо кредитування вимогам сьогодення, а також наступні фактори:</w:t>
      </w:r>
    </w:p>
    <w:p w:rsidR="00406315" w:rsidRPr="00B07B79" w:rsidRDefault="00406315" w:rsidP="00406315">
      <w:pPr>
        <w:widowControl w:val="0"/>
        <w:numPr>
          <w:ilvl w:val="0"/>
          <w:numId w:val="45"/>
        </w:numPr>
        <w:shd w:val="clear" w:color="auto" w:fill="FFFFFF"/>
        <w:tabs>
          <w:tab w:val="left" w:pos="859"/>
        </w:tabs>
        <w:autoSpaceDE w:val="0"/>
        <w:autoSpaceDN w:val="0"/>
        <w:adjustRightInd w:val="0"/>
        <w:spacing w:after="0" w:line="360" w:lineRule="auto"/>
        <w:ind w:firstLine="567"/>
        <w:contextualSpacing/>
        <w:jc w:val="both"/>
        <w:rPr>
          <w:rFonts w:ascii="Times New Roman" w:hAnsi="Times New Roman" w:cs="Times New Roman"/>
          <w:spacing w:val="-18"/>
          <w:sz w:val="28"/>
          <w:szCs w:val="28"/>
        </w:rPr>
      </w:pPr>
      <w:r w:rsidRPr="00B07B79">
        <w:rPr>
          <w:rFonts w:ascii="Times New Roman" w:hAnsi="Times New Roman" w:cs="Times New Roman"/>
          <w:sz w:val="28"/>
          <w:szCs w:val="28"/>
        </w:rPr>
        <w:t xml:space="preserve">При встановленні процента за кредит банківські установи враховують </w:t>
      </w:r>
      <w:r w:rsidRPr="00B07B79">
        <w:rPr>
          <w:rFonts w:ascii="Times New Roman" w:hAnsi="Times New Roman" w:cs="Times New Roman"/>
          <w:spacing w:val="-1"/>
          <w:sz w:val="28"/>
          <w:szCs w:val="28"/>
        </w:rPr>
        <w:t xml:space="preserve">цілу низку чинників. На розмір позичкового процента впливає значна кількість </w:t>
      </w:r>
      <w:r w:rsidRPr="00B07B79">
        <w:rPr>
          <w:rFonts w:ascii="Times New Roman" w:hAnsi="Times New Roman" w:cs="Times New Roman"/>
          <w:sz w:val="28"/>
          <w:szCs w:val="28"/>
        </w:rPr>
        <w:t xml:space="preserve">чинників, що потребує зваженого підходу до управління кредитними вкладеннями. Водночас, деякі моменти враховуються недостатньо. Так, по-перше, незважаючи на зменшення облікової ставки Національного банку України і зниження темпів інфляції, процентні ставки за кредитами, залишаються ще на порівняно високому рівні. По-друге, між процентними </w:t>
      </w:r>
      <w:r w:rsidRPr="00B07B79">
        <w:rPr>
          <w:rFonts w:ascii="Times New Roman" w:hAnsi="Times New Roman" w:cs="Times New Roman"/>
          <w:spacing w:val="-2"/>
          <w:sz w:val="28"/>
          <w:szCs w:val="28"/>
        </w:rPr>
        <w:t>ставками за кредитами і депозитами є значний розрив - близько 9 % .</w:t>
      </w:r>
    </w:p>
    <w:p w:rsidR="00406315" w:rsidRPr="00B07B79" w:rsidRDefault="00406315" w:rsidP="00406315">
      <w:pPr>
        <w:widowControl w:val="0"/>
        <w:numPr>
          <w:ilvl w:val="0"/>
          <w:numId w:val="45"/>
        </w:numPr>
        <w:shd w:val="clear" w:color="auto" w:fill="FFFFFF"/>
        <w:tabs>
          <w:tab w:val="left" w:pos="859"/>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B07B79">
        <w:rPr>
          <w:rFonts w:ascii="Times New Roman" w:hAnsi="Times New Roman" w:cs="Times New Roman"/>
          <w:sz w:val="28"/>
          <w:szCs w:val="28"/>
        </w:rPr>
        <w:t xml:space="preserve">Як показує практика, характерним для українських банків у процесі </w:t>
      </w:r>
      <w:r w:rsidRPr="00B07B79">
        <w:rPr>
          <w:rFonts w:ascii="Times New Roman" w:hAnsi="Times New Roman" w:cs="Times New Roman"/>
          <w:spacing w:val="-1"/>
          <w:sz w:val="28"/>
          <w:szCs w:val="28"/>
        </w:rPr>
        <w:t xml:space="preserve">кредитування є зміщення у бік одного чинника - забезпечення, переоцінка його </w:t>
      </w:r>
      <w:r w:rsidRPr="00B07B79">
        <w:rPr>
          <w:rFonts w:ascii="Times New Roman" w:hAnsi="Times New Roman" w:cs="Times New Roman"/>
          <w:sz w:val="28"/>
          <w:szCs w:val="28"/>
        </w:rPr>
        <w:t xml:space="preserve">значення. Це пов'язано з об'єктивно існуючими макроекономічною нестійкістю </w:t>
      </w:r>
      <w:r w:rsidRPr="00B07B79">
        <w:rPr>
          <w:rFonts w:ascii="Times New Roman" w:hAnsi="Times New Roman" w:cs="Times New Roman"/>
          <w:spacing w:val="-1"/>
          <w:sz w:val="28"/>
          <w:szCs w:val="28"/>
        </w:rPr>
        <w:t xml:space="preserve">і характерними для сьогодення високими ризиками втрати ліквідності, слабким </w:t>
      </w:r>
      <w:r w:rsidRPr="00B07B79">
        <w:rPr>
          <w:rFonts w:ascii="Times New Roman" w:hAnsi="Times New Roman" w:cs="Times New Roman"/>
          <w:spacing w:val="-2"/>
          <w:sz w:val="28"/>
          <w:szCs w:val="28"/>
        </w:rPr>
        <w:t xml:space="preserve">рівнем менеджменту більшості підприємств, непрозорістю їхніх фінансових та </w:t>
      </w:r>
      <w:r w:rsidRPr="00B07B79">
        <w:rPr>
          <w:rFonts w:ascii="Times New Roman" w:hAnsi="Times New Roman" w:cs="Times New Roman"/>
          <w:sz w:val="28"/>
          <w:szCs w:val="28"/>
        </w:rPr>
        <w:t xml:space="preserve">інформаційних потоків для "зовнішнього спостерігача". Однак такий елемент впровадження кредитної політики свідчить про один з важливих недоліків кредитної політики українських банківських установ: при надійному </w:t>
      </w:r>
      <w:r w:rsidRPr="00B07B79">
        <w:rPr>
          <w:rFonts w:ascii="Times New Roman" w:hAnsi="Times New Roman" w:cs="Times New Roman"/>
          <w:spacing w:val="-1"/>
          <w:sz w:val="28"/>
          <w:szCs w:val="28"/>
        </w:rPr>
        <w:t xml:space="preserve">забезпеченні кредиту неплатоспроможне підприємство може бути визнане </w:t>
      </w:r>
      <w:r w:rsidRPr="00B07B79">
        <w:rPr>
          <w:rFonts w:ascii="Times New Roman" w:hAnsi="Times New Roman" w:cs="Times New Roman"/>
          <w:sz w:val="28"/>
          <w:szCs w:val="28"/>
        </w:rPr>
        <w:t>кредитоспроможним</w:t>
      </w:r>
      <w:r w:rsidRPr="00406315">
        <w:rPr>
          <w:rFonts w:ascii="Times New Roman" w:hAnsi="Times New Roman" w:cs="Times New Roman"/>
          <w:sz w:val="28"/>
          <w:szCs w:val="28"/>
          <w:lang w:val="ru-RU"/>
        </w:rPr>
        <w:t xml:space="preserve"> [108]</w:t>
      </w:r>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Україні сьогодні склалася така ситуація, коли при всьому розмаїтті видів залучення та надання коштів у тимчасове користування, всі вони на практиці при видачі зводяться до врахування фінансового стану, кредитної історії позичальника, а не його майбутнього розвитку, та на фінансування проектів.</w:t>
      </w:r>
    </w:p>
    <w:p w:rsidR="00406315" w:rsidRPr="00B03492"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lastRenderedPageBreak/>
        <w:t>Забезпечення розширення впровадження різних форм кредитування, прискорення операцій на грошовому ринку, залучення більш широкого кола учасників, і, відповідно, збільшення оборотів, можливе лише через вдосконалення системи ідентифікації позичальників як спроможних вчасно і в повній мірі, з очікуваними відсотками повернути кошти, тобто кредитоспроможності.</w:t>
      </w:r>
      <w:r w:rsidRPr="00B03492">
        <w:rPr>
          <w:rFonts w:ascii="Times New Roman" w:hAnsi="Times New Roman" w:cs="Times New Roman"/>
          <w:sz w:val="28"/>
          <w:szCs w:val="28"/>
        </w:rPr>
        <w:t>[16]</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Отже, необхідно визначити поняття та розробити універсальну методику визначення рівня кредитоспроможності для уніфікації підходу до всіх підприємств та можливості самостійного аналізу ними власного стану для прийняття відповідних рішень щодо можливості залучення коштів, альтернативних джерел та необхідності удосконалення діяльності в проблемних областях.</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Для розширення спектру та обсягів кредитних продуктів та послуг банків, активізації кредитування банками реального сектору економіки та населення, необхідно:</w:t>
      </w:r>
    </w:p>
    <w:p w:rsidR="00406315" w:rsidRPr="00B07B79" w:rsidRDefault="00406315" w:rsidP="00406315">
      <w:pPr>
        <w:shd w:val="clear" w:color="auto" w:fill="FFFFFF"/>
        <w:tabs>
          <w:tab w:val="left" w:pos="1195"/>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26"/>
          <w:sz w:val="28"/>
          <w:szCs w:val="28"/>
        </w:rPr>
        <w:t>1)</w:t>
      </w:r>
      <w:r w:rsidRPr="00B07B79">
        <w:rPr>
          <w:rFonts w:ascii="Times New Roman" w:hAnsi="Times New Roman" w:cs="Times New Roman"/>
          <w:sz w:val="28"/>
          <w:szCs w:val="28"/>
        </w:rPr>
        <w:tab/>
        <w:t>Розширювати форми кредитування підприємств малого та середнього</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бізнесу за допомогою створення умов для співіснування великих, малих та середніх банків, які б забезпечували потреби суб'єктів малого та середнього бізнесу у кредитних ресурсах; посилення ролі небанківських фінансових установ у підтримці малого та середнього бізнесу.</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1"/>
          <w:sz w:val="28"/>
          <w:szCs w:val="28"/>
        </w:rPr>
        <w:t>2)</w:t>
      </w:r>
      <w:r w:rsidRPr="00B07B79">
        <w:rPr>
          <w:rFonts w:ascii="Times New Roman" w:hAnsi="Times New Roman" w:cs="Times New Roman"/>
          <w:sz w:val="28"/>
          <w:szCs w:val="28"/>
        </w:rPr>
        <w:tab/>
        <w:t xml:space="preserve">Розширити сферу застосування іпотеки шляхом вдосконалення законодавчої та нормативної бази для реалізації механізму даного виду кредитування і ефективного функціонування первинного і вторинного ринків іпотечного фінансування; створення і впровадження універсального механізму забезпечення залучення довгострокових не бюджетних фінансових ресурсів на ринок іпотечних кредитів (ринок заставних, емісійних іпотечних </w:t>
      </w:r>
      <w:r w:rsidRPr="00B07B79">
        <w:rPr>
          <w:rFonts w:ascii="Times New Roman" w:hAnsi="Times New Roman" w:cs="Times New Roman"/>
          <w:spacing w:val="-2"/>
          <w:sz w:val="28"/>
          <w:szCs w:val="28"/>
        </w:rPr>
        <w:t xml:space="preserve">цінних паперів); створення інфраструктури, що забезпечує ефективну взаємодію </w:t>
      </w:r>
      <w:r w:rsidRPr="00B07B79">
        <w:rPr>
          <w:rFonts w:ascii="Times New Roman" w:hAnsi="Times New Roman" w:cs="Times New Roman"/>
          <w:sz w:val="28"/>
          <w:szCs w:val="28"/>
        </w:rPr>
        <w:t xml:space="preserve">всіх учасників ринку іпотечних кредитів; забезпечення на законодавчому рівні реальної можливості звернення кредитором стягнення і </w:t>
      </w:r>
      <w:r w:rsidRPr="00B07B79">
        <w:rPr>
          <w:rFonts w:ascii="Times New Roman" w:hAnsi="Times New Roman" w:cs="Times New Roman"/>
          <w:sz w:val="28"/>
          <w:szCs w:val="28"/>
        </w:rPr>
        <w:lastRenderedPageBreak/>
        <w:t>реалізації закладеного майна, створення умов для скорочення процедур розгляду справ, пов'язаних із зверненням стягнення на предмет застави тощо.</w:t>
      </w:r>
    </w:p>
    <w:p w:rsidR="00406315" w:rsidRPr="00B07B79" w:rsidRDefault="00406315" w:rsidP="00406315">
      <w:pPr>
        <w:widowControl w:val="0"/>
        <w:numPr>
          <w:ilvl w:val="0"/>
          <w:numId w:val="46"/>
        </w:numPr>
        <w:shd w:val="clear" w:color="auto" w:fill="FFFFFF"/>
        <w:tabs>
          <w:tab w:val="left" w:pos="1445"/>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B07B79">
        <w:rPr>
          <w:rFonts w:ascii="Times New Roman" w:hAnsi="Times New Roman" w:cs="Times New Roman"/>
          <w:sz w:val="28"/>
          <w:szCs w:val="28"/>
        </w:rPr>
        <w:t xml:space="preserve">Більш активно використовувати </w:t>
      </w:r>
      <w:proofErr w:type="spellStart"/>
      <w:r w:rsidRPr="00B07B79">
        <w:rPr>
          <w:rFonts w:ascii="Times New Roman" w:hAnsi="Times New Roman" w:cs="Times New Roman"/>
          <w:sz w:val="28"/>
          <w:szCs w:val="28"/>
        </w:rPr>
        <w:t>консорціумне</w:t>
      </w:r>
      <w:proofErr w:type="spellEnd"/>
      <w:r w:rsidRPr="00B07B79">
        <w:rPr>
          <w:rFonts w:ascii="Times New Roman" w:hAnsi="Times New Roman" w:cs="Times New Roman"/>
          <w:sz w:val="28"/>
          <w:szCs w:val="28"/>
        </w:rPr>
        <w:t xml:space="preserve"> кредитування, для чого доопрацювати нормативно-правову базу, що регулює </w:t>
      </w:r>
      <w:proofErr w:type="spellStart"/>
      <w:r w:rsidRPr="00B07B79">
        <w:rPr>
          <w:rFonts w:ascii="Times New Roman" w:hAnsi="Times New Roman" w:cs="Times New Roman"/>
          <w:sz w:val="28"/>
          <w:szCs w:val="28"/>
        </w:rPr>
        <w:t>консорціумне</w:t>
      </w:r>
      <w:proofErr w:type="spellEnd"/>
      <w:r w:rsidRPr="00B07B79">
        <w:rPr>
          <w:rFonts w:ascii="Times New Roman" w:hAnsi="Times New Roman" w:cs="Times New Roman"/>
          <w:sz w:val="28"/>
          <w:szCs w:val="28"/>
        </w:rPr>
        <w:t xml:space="preserve"> кредитування.</w:t>
      </w:r>
    </w:p>
    <w:p w:rsidR="00406315" w:rsidRPr="00B07B79" w:rsidRDefault="00406315" w:rsidP="00406315">
      <w:pPr>
        <w:widowControl w:val="0"/>
        <w:numPr>
          <w:ilvl w:val="0"/>
          <w:numId w:val="46"/>
        </w:numPr>
        <w:shd w:val="clear" w:color="auto" w:fill="FFFFFF"/>
        <w:tabs>
          <w:tab w:val="left" w:pos="1445"/>
        </w:tabs>
        <w:autoSpaceDE w:val="0"/>
        <w:autoSpaceDN w:val="0"/>
        <w:adjustRightInd w:val="0"/>
        <w:spacing w:after="0" w:line="360" w:lineRule="auto"/>
        <w:ind w:firstLine="567"/>
        <w:contextualSpacing/>
        <w:jc w:val="both"/>
        <w:rPr>
          <w:rFonts w:ascii="Times New Roman" w:hAnsi="Times New Roman" w:cs="Times New Roman"/>
          <w:spacing w:val="-8"/>
          <w:sz w:val="28"/>
          <w:szCs w:val="28"/>
        </w:rPr>
      </w:pPr>
      <w:r w:rsidRPr="00B07B79">
        <w:rPr>
          <w:rFonts w:ascii="Times New Roman" w:hAnsi="Times New Roman" w:cs="Times New Roman"/>
          <w:sz w:val="28"/>
          <w:szCs w:val="28"/>
        </w:rPr>
        <w:t>Розширити спектр та територіальне охоплення кредитними послугами населення;</w:t>
      </w:r>
    </w:p>
    <w:p w:rsidR="00406315" w:rsidRPr="00B07B79" w:rsidRDefault="00406315" w:rsidP="00406315">
      <w:pPr>
        <w:widowControl w:val="0"/>
        <w:numPr>
          <w:ilvl w:val="0"/>
          <w:numId w:val="47"/>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pacing w:val="-15"/>
          <w:sz w:val="28"/>
          <w:szCs w:val="28"/>
        </w:rPr>
      </w:pPr>
      <w:r w:rsidRPr="00B07B79">
        <w:rPr>
          <w:rFonts w:ascii="Times New Roman" w:hAnsi="Times New Roman" w:cs="Times New Roman"/>
          <w:sz w:val="28"/>
          <w:szCs w:val="28"/>
        </w:rPr>
        <w:t xml:space="preserve">Активніше використовувати лізингові схеми кредитування, зокрема </w:t>
      </w:r>
      <w:r w:rsidRPr="00B07B79">
        <w:rPr>
          <w:rFonts w:ascii="Times New Roman" w:hAnsi="Times New Roman" w:cs="Times New Roman"/>
          <w:spacing w:val="-2"/>
          <w:sz w:val="28"/>
          <w:szCs w:val="28"/>
        </w:rPr>
        <w:t>для підтримки підприємств сільського господарства та сфери послуг;</w:t>
      </w:r>
    </w:p>
    <w:p w:rsidR="00406315" w:rsidRPr="00B07B79" w:rsidRDefault="00406315" w:rsidP="00406315">
      <w:pPr>
        <w:widowControl w:val="0"/>
        <w:numPr>
          <w:ilvl w:val="0"/>
          <w:numId w:val="47"/>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pacing w:val="-13"/>
          <w:sz w:val="28"/>
          <w:szCs w:val="28"/>
        </w:rPr>
      </w:pPr>
      <w:r w:rsidRPr="00B07B79">
        <w:rPr>
          <w:rFonts w:ascii="Times New Roman" w:hAnsi="Times New Roman" w:cs="Times New Roman"/>
          <w:sz w:val="28"/>
          <w:szCs w:val="28"/>
        </w:rPr>
        <w:t>Створити систему розкриття інформації про виконання позичальниками зобов'язань перед банками;</w:t>
      </w:r>
    </w:p>
    <w:p w:rsidR="00406315" w:rsidRPr="00B07B79" w:rsidRDefault="00406315" w:rsidP="00406315">
      <w:pPr>
        <w:widowControl w:val="0"/>
        <w:numPr>
          <w:ilvl w:val="0"/>
          <w:numId w:val="47"/>
        </w:numPr>
        <w:shd w:val="clear" w:color="auto" w:fill="FFFFFF"/>
        <w:tabs>
          <w:tab w:val="left" w:pos="850"/>
        </w:tabs>
        <w:autoSpaceDE w:val="0"/>
        <w:autoSpaceDN w:val="0"/>
        <w:adjustRightInd w:val="0"/>
        <w:spacing w:after="0" w:line="360" w:lineRule="auto"/>
        <w:ind w:firstLine="567"/>
        <w:contextualSpacing/>
        <w:jc w:val="both"/>
        <w:rPr>
          <w:rFonts w:ascii="Times New Roman" w:hAnsi="Times New Roman" w:cs="Times New Roman"/>
          <w:spacing w:val="-9"/>
          <w:sz w:val="28"/>
          <w:szCs w:val="28"/>
        </w:rPr>
      </w:pPr>
      <w:r w:rsidRPr="00B07B79">
        <w:rPr>
          <w:rFonts w:ascii="Times New Roman" w:hAnsi="Times New Roman" w:cs="Times New Roman"/>
          <w:sz w:val="28"/>
          <w:szCs w:val="28"/>
        </w:rPr>
        <w:t>Підвищити роль банків у здійсненні довірчих операцій, зокрема в управлінні пайовими фондами.</w:t>
      </w:r>
    </w:p>
    <w:p w:rsidR="00406315" w:rsidRPr="00B07B79" w:rsidRDefault="00406315" w:rsidP="00406315">
      <w:pPr>
        <w:shd w:val="clear" w:color="auto" w:fill="FFFFFF"/>
        <w:tabs>
          <w:tab w:val="left" w:pos="1051"/>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pacing w:val="-13"/>
          <w:sz w:val="28"/>
          <w:szCs w:val="28"/>
        </w:rPr>
        <w:t>8)</w:t>
      </w:r>
      <w:r w:rsidRPr="00B07B79">
        <w:rPr>
          <w:rFonts w:ascii="Times New Roman" w:hAnsi="Times New Roman" w:cs="Times New Roman"/>
          <w:sz w:val="28"/>
          <w:szCs w:val="28"/>
        </w:rPr>
        <w:tab/>
        <w:t>Повніше використовувати світовий досвід щодо застосування</w:t>
      </w:r>
      <w:r w:rsidRPr="00B07B79">
        <w:rPr>
          <w:rFonts w:ascii="Times New Roman" w:hAnsi="Times New Roman" w:cs="Times New Roman"/>
          <w:sz w:val="28"/>
          <w:szCs w:val="28"/>
        </w:rPr>
        <w:br/>
        <w:t>накопичувальних інвестиційних схем.</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Для підвищення ефективності кредитної діяльності необхідно також здійснювати управління проблемними кредитами та управління кредитним ризиком. При оцінці кредитного ризику доцільно розділяти індивідуальний та портфельний кредитний ризик</w:t>
      </w:r>
      <w:r w:rsidRPr="00406315">
        <w:rPr>
          <w:rFonts w:ascii="Times New Roman" w:hAnsi="Times New Roman" w:cs="Times New Roman"/>
          <w:sz w:val="28"/>
          <w:szCs w:val="28"/>
          <w:lang w:val="ru-RU"/>
        </w:rPr>
        <w:t xml:space="preserve"> [107]</w:t>
      </w:r>
      <w:r w:rsidRPr="00B07B79">
        <w:rPr>
          <w:rFonts w:ascii="Times New Roman" w:hAnsi="Times New Roman" w:cs="Times New Roman"/>
          <w:sz w:val="28"/>
          <w:szCs w:val="28"/>
        </w:rPr>
        <w:t>.</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 своїй діяльності банки повинні намагатися створити комплексну систему ризик-менеджменту, яка б забезпечувала надійний процес виявлення, оцінки, контролю та моніторингу всіх видів ризику на всіх рівнях організації, в тому числі з врахуванням взаємозв'язку між різними категоріями ризиків, а також вирішувала питання конфлікту завдань між необхідністю отримання доходу та мінімізації ризиків.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При розробленні і запровадженні комплексної системи управління ризиками банку спостережна рада і правління повинні здійснити такі дії:</w:t>
      </w:r>
    </w:p>
    <w:p w:rsidR="00406315" w:rsidRPr="00B07B79" w:rsidRDefault="00406315" w:rsidP="00406315">
      <w:pPr>
        <w:widowControl w:val="0"/>
        <w:numPr>
          <w:ilvl w:val="0"/>
          <w:numId w:val="48"/>
        </w:numPr>
        <w:shd w:val="clear" w:color="auto" w:fill="FFFFFF"/>
        <w:tabs>
          <w:tab w:val="left" w:pos="82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Забезпечити прийняття ризиків відповідно до очікувань акціонерів (власників) банку, стратегічного плану банка та нормативних вимог, а також поширення в банку єдиного розуміння його корпоративної культури щодо </w:t>
      </w:r>
      <w:r w:rsidRPr="00B07B79">
        <w:rPr>
          <w:rFonts w:ascii="Times New Roman" w:hAnsi="Times New Roman" w:cs="Times New Roman"/>
          <w:sz w:val="28"/>
          <w:szCs w:val="28"/>
        </w:rPr>
        <w:lastRenderedPageBreak/>
        <w:t>ризиків;</w:t>
      </w:r>
    </w:p>
    <w:p w:rsidR="00406315" w:rsidRPr="00B07B79" w:rsidRDefault="00406315" w:rsidP="00406315">
      <w:pPr>
        <w:widowControl w:val="0"/>
        <w:numPr>
          <w:ilvl w:val="0"/>
          <w:numId w:val="48"/>
        </w:numPr>
        <w:shd w:val="clear" w:color="auto" w:fill="FFFFFF"/>
        <w:tabs>
          <w:tab w:val="left" w:pos="82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Виділити необхідні ресурси на створення та підтримку ефективної, комплексної та збалансованої системи управління ризиками;</w:t>
      </w:r>
    </w:p>
    <w:p w:rsidR="00406315" w:rsidRPr="00B07B79" w:rsidRDefault="00406315" w:rsidP="00406315">
      <w:pPr>
        <w:widowControl w:val="0"/>
        <w:numPr>
          <w:ilvl w:val="0"/>
          <w:numId w:val="48"/>
        </w:numPr>
        <w:shd w:val="clear" w:color="auto" w:fill="FFFFFF"/>
        <w:tabs>
          <w:tab w:val="left" w:pos="82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Забезпечити уникнення конфлікту інтересів на всіх рівнях системи управління ризиками;</w:t>
      </w:r>
    </w:p>
    <w:p w:rsidR="00406315" w:rsidRPr="00B07B79" w:rsidRDefault="00406315" w:rsidP="00406315">
      <w:pPr>
        <w:widowControl w:val="0"/>
        <w:numPr>
          <w:ilvl w:val="0"/>
          <w:numId w:val="49"/>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Відобразити у систематичній документальній формі організаційну структуру і механізм контролю і забезпечити відповідний доступ до цих документів;</w:t>
      </w:r>
    </w:p>
    <w:p w:rsidR="00406315" w:rsidRPr="00B07B79" w:rsidRDefault="00406315" w:rsidP="00406315">
      <w:pPr>
        <w:widowControl w:val="0"/>
        <w:numPr>
          <w:ilvl w:val="0"/>
          <w:numId w:val="49"/>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 xml:space="preserve">Здійснювати аналіз ризиків з урахуванням можливості виникнення екстремальних обставин, на основі яких банк має визначати відповідні </w:t>
      </w:r>
      <w:r w:rsidRPr="00B07B79">
        <w:rPr>
          <w:rFonts w:ascii="Times New Roman" w:hAnsi="Times New Roman" w:cs="Times New Roman"/>
          <w:spacing w:val="-1"/>
          <w:sz w:val="28"/>
          <w:szCs w:val="28"/>
        </w:rPr>
        <w:t>надзвичайні заходи, наприклад, у вигляді плану на випадок кризових обставин;</w:t>
      </w:r>
    </w:p>
    <w:p w:rsidR="00406315" w:rsidRPr="00B07B79" w:rsidRDefault="00406315" w:rsidP="00406315">
      <w:pPr>
        <w:widowControl w:val="0"/>
        <w:numPr>
          <w:ilvl w:val="0"/>
          <w:numId w:val="49"/>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Запровадити процедури і заходи запобігання стресовим ситуаціям, які можуть виникнути через дію певних внутрішніх факторів;</w:t>
      </w:r>
    </w:p>
    <w:p w:rsidR="00406315" w:rsidRPr="00B07B79" w:rsidRDefault="00406315" w:rsidP="00406315">
      <w:pPr>
        <w:widowControl w:val="0"/>
        <w:numPr>
          <w:ilvl w:val="0"/>
          <w:numId w:val="49"/>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Чітко сформулювати політику (положення) банку щодо контролю ризиків і ведення справ у відповідності з критеріями надійності кредитних операцій;</w:t>
      </w:r>
    </w:p>
    <w:p w:rsidR="00406315" w:rsidRPr="00B07B79" w:rsidRDefault="00406315" w:rsidP="00406315">
      <w:pPr>
        <w:shd w:val="clear" w:color="auto" w:fill="FFFFFF"/>
        <w:tabs>
          <w:tab w:val="left" w:pos="874"/>
        </w:tabs>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w:t>
      </w:r>
      <w:r w:rsidRPr="00B07B79">
        <w:rPr>
          <w:rFonts w:ascii="Times New Roman" w:hAnsi="Times New Roman" w:cs="Times New Roman"/>
          <w:sz w:val="28"/>
          <w:szCs w:val="28"/>
        </w:rPr>
        <w:tab/>
        <w:t>Забезпечувати систематичне здійснення аналізу ризиків з метою</w:t>
      </w:r>
      <w:r w:rsidRPr="00B07B79">
        <w:rPr>
          <w:rFonts w:ascii="Times New Roman" w:hAnsi="Times New Roman" w:cs="Times New Roman"/>
          <w:sz w:val="28"/>
          <w:szCs w:val="28"/>
        </w:rPr>
        <w:br/>
        <w:t>ідентифікації, контролю, моніторингу і оцінки величини всіх ризиків;</w:t>
      </w:r>
    </w:p>
    <w:p w:rsidR="00406315" w:rsidRPr="00B07B79" w:rsidRDefault="00406315" w:rsidP="00406315">
      <w:pPr>
        <w:shd w:val="clear" w:color="auto" w:fill="FFFFFF"/>
        <w:spacing w:line="360" w:lineRule="auto"/>
        <w:ind w:firstLine="567"/>
        <w:contextualSpacing/>
        <w:jc w:val="both"/>
        <w:rPr>
          <w:rFonts w:ascii="Times New Roman" w:hAnsi="Times New Roman" w:cs="Times New Roman"/>
          <w:sz w:val="28"/>
          <w:szCs w:val="28"/>
        </w:rPr>
      </w:pPr>
      <w:r w:rsidRPr="00B07B79">
        <w:rPr>
          <w:rFonts w:ascii="Times New Roman" w:hAnsi="Times New Roman" w:cs="Times New Roman"/>
          <w:sz w:val="28"/>
          <w:szCs w:val="28"/>
        </w:rPr>
        <w:t>Таким чином, обґрунтовані напрямки вдосконалення управління кредитними операціями слугуватимуть ефективному функціонуванню комерційних банків України та фінансової системи в цілому.</w:t>
      </w:r>
    </w:p>
    <w:p w:rsidR="00307A06" w:rsidRPr="00621722" w:rsidRDefault="00406315" w:rsidP="00406315">
      <w:pPr>
        <w:pStyle w:val="1"/>
        <w:spacing w:line="360" w:lineRule="auto"/>
        <w:jc w:val="center"/>
        <w:rPr>
          <w:rFonts w:ascii="Times New Roman" w:hAnsi="Times New Roman" w:cs="Times New Roman"/>
          <w:color w:val="auto"/>
        </w:rPr>
      </w:pPr>
      <w:r w:rsidRPr="00B07B79">
        <w:rPr>
          <w:rFonts w:ascii="Times New Roman" w:hAnsi="Times New Roman" w:cs="Times New Roman"/>
        </w:rPr>
        <w:br w:type="page"/>
      </w:r>
      <w:bookmarkStart w:id="14" w:name="_Toc293306712"/>
      <w:r w:rsidR="00307A06" w:rsidRPr="00621722">
        <w:rPr>
          <w:rFonts w:ascii="Times New Roman" w:hAnsi="Times New Roman" w:cs="Times New Roman"/>
          <w:color w:val="auto"/>
        </w:rPr>
        <w:lastRenderedPageBreak/>
        <w:t>ВИСНОВКИ</w:t>
      </w:r>
      <w:bookmarkEnd w:id="14"/>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Нині в економіці України намітилися позитивні тенденції економічного зростання, темпи та стійкість котрого залежать від здатності банківської системи забезпечувати потреби суб'єктів господарювання необхідними грошовими ресурсами.</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Ринкові перетворення, що відбуваються на сучасному етапі розвитку України і супроводжуються структурними змінами кредитної системи, розширенням сегментів кредитного ринку, появою нових видів кредитних </w:t>
      </w:r>
      <w:r w:rsidRPr="00E37001">
        <w:rPr>
          <w:rFonts w:ascii="Times New Roman" w:hAnsi="Times New Roman" w:cs="Times New Roman"/>
          <w:spacing w:val="-1"/>
          <w:sz w:val="28"/>
          <w:szCs w:val="28"/>
        </w:rPr>
        <w:t xml:space="preserve">інструментів, удосконаленням кредитних технологій, зумовлюють необхідність </w:t>
      </w:r>
      <w:r w:rsidRPr="00E37001">
        <w:rPr>
          <w:rFonts w:ascii="Times New Roman" w:hAnsi="Times New Roman" w:cs="Times New Roman"/>
          <w:sz w:val="28"/>
          <w:szCs w:val="28"/>
        </w:rPr>
        <w:t>розвитку як теоретичної бази, так і методологічних принципів управління кредитною діяльністю комерційних банків.</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Ефективна кредитна діяльність комерційних банків є одним з найважливіших механізмів активного впливу на окремі економічні та соціальні процеси, формування здатності економіки ринкового типу до </w:t>
      </w:r>
      <w:proofErr w:type="spellStart"/>
      <w:r w:rsidRPr="00E37001">
        <w:rPr>
          <w:rFonts w:ascii="Times New Roman" w:hAnsi="Times New Roman" w:cs="Times New Roman"/>
          <w:sz w:val="28"/>
          <w:szCs w:val="28"/>
        </w:rPr>
        <w:t>самоврегулювання</w:t>
      </w:r>
      <w:proofErr w:type="spellEnd"/>
      <w:r w:rsidRPr="00E37001">
        <w:rPr>
          <w:rFonts w:ascii="Times New Roman" w:hAnsi="Times New Roman" w:cs="Times New Roman"/>
          <w:sz w:val="28"/>
          <w:szCs w:val="28"/>
        </w:rPr>
        <w:t>, забезпечення розвитку операційної та інвестиційної діяльності окремих суб'єктів господарювання.</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Тому увага до управління банками залишається фундаментальною основою функціонування банківської системи України.</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На сьогоднішньому етапі одну з найважливіших ролей у стимулюванні відтворювальних процесів в економіці відіграє банківський кредит як головне джерело забезпечення грошовими ресурсами поточної господарської діяльності підприємств незалежно від форми власності та сфери господарювання.</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Суть економічної категорії "кредит" слід визначати як відособлену частку економічних відносин, пов'язану з рухом позичкового капіталу між кредитором і позичальником і грошовій чи товарній формі на основі укладеного договору на принципах повернення, строковості, забезпеченості та платності.</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lastRenderedPageBreak/>
        <w:t>Необхідність кредиту зумовлена товарно-грошовими відносинами. Його передумовою є наявність поточних або майбутніх доходів у позичальника, а конкретними причинами, що обумовлюють необхідність кредиту, - коливання потреби у коштах та джерелах їх формування як у юридичних, так і у фізичних осіб. Коли в одних кошти вивільняються, іншим їх не вистачає. Ця суперечність розв'язується за допомогою кредиту, який необхідний позичальнику для розширення виробництва, повного забезпечення власних потреб.</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 метою ефективної діяльності комерційних банків необхідно здійснювати процес управління кредитними операціями. Основою здійснення кредитних операцій будь-яким банком виступає кредитна політика.</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Кредитна політика Банку - механізм забезпечення єдності та захисту інтересів Банку, його акціонерів, вкладників і позичальників при здійсненні у Банку</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кредитних операцій із врахуванням загальнодержавних інтересів.</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pacing w:val="-1"/>
          <w:sz w:val="28"/>
          <w:szCs w:val="28"/>
        </w:rPr>
        <w:t xml:space="preserve">При проведенні кредитної політики комерційні банки виходять з того, що кредит доцільно надавати тим позичальникам, які спроможні своєчасно його </w:t>
      </w:r>
      <w:r w:rsidRPr="00E37001">
        <w:rPr>
          <w:rFonts w:ascii="Times New Roman" w:hAnsi="Times New Roman" w:cs="Times New Roman"/>
          <w:spacing w:val="-2"/>
          <w:sz w:val="28"/>
          <w:szCs w:val="28"/>
        </w:rPr>
        <w:t xml:space="preserve">повернути. У роботі </w:t>
      </w:r>
      <w:r w:rsidR="00621722" w:rsidRPr="00E37001">
        <w:rPr>
          <w:rFonts w:ascii="Times New Roman" w:hAnsi="Times New Roman" w:cs="Times New Roman"/>
          <w:spacing w:val="-2"/>
          <w:sz w:val="28"/>
          <w:szCs w:val="28"/>
        </w:rPr>
        <w:t>обґрунтовано</w:t>
      </w:r>
      <w:r w:rsidRPr="00E37001">
        <w:rPr>
          <w:rFonts w:ascii="Times New Roman" w:hAnsi="Times New Roman" w:cs="Times New Roman"/>
          <w:spacing w:val="-2"/>
          <w:sz w:val="28"/>
          <w:szCs w:val="28"/>
        </w:rPr>
        <w:t xml:space="preserve"> необхідність доповнення переліку принципів </w:t>
      </w:r>
      <w:r w:rsidRPr="00E37001">
        <w:rPr>
          <w:rFonts w:ascii="Times New Roman" w:hAnsi="Times New Roman" w:cs="Times New Roman"/>
          <w:spacing w:val="-1"/>
          <w:sz w:val="28"/>
          <w:szCs w:val="28"/>
        </w:rPr>
        <w:t xml:space="preserve">кредитування, диференційованим підходом комерційного банку до кожного потенційного позичальника; узагальнено класифікацію банківських кредитів за </w:t>
      </w:r>
      <w:r w:rsidRPr="00E37001">
        <w:rPr>
          <w:rFonts w:ascii="Times New Roman" w:hAnsi="Times New Roman" w:cs="Times New Roman"/>
          <w:sz w:val="28"/>
          <w:szCs w:val="28"/>
        </w:rPr>
        <w:t>основними ознаками.</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Розглядаючи сутність кредитного менеджменту, який характеризується як процес управління всіма аспектами кредитної діяльності комерційного банку, слід виходити з основних особливостей цієї діяльності і функцій банку на кредитному ринку. Основна мета кредитного менеджменту в комерційному банку полягає у пошуку шляхів найбільш ефективного вкладення кредитних ресурсів і забезпечення основних принципів кредитування.</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До складу основних елементів кредитного менеджменту відносяться:</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proofErr w:type="spellStart"/>
      <w:r w:rsidRPr="00E37001">
        <w:rPr>
          <w:rFonts w:ascii="Times New Roman" w:hAnsi="Times New Roman" w:cs="Times New Roman"/>
          <w:sz w:val="28"/>
          <w:szCs w:val="28"/>
        </w:rPr>
        <w:t>-дослідження</w:t>
      </w:r>
      <w:proofErr w:type="spellEnd"/>
      <w:r w:rsidRPr="00E37001">
        <w:rPr>
          <w:rFonts w:ascii="Times New Roman" w:hAnsi="Times New Roman" w:cs="Times New Roman"/>
          <w:sz w:val="28"/>
          <w:szCs w:val="28"/>
        </w:rPr>
        <w:t xml:space="preserve"> стану кон'ю</w:t>
      </w:r>
      <w:r w:rsidR="00621722">
        <w:rPr>
          <w:rFonts w:ascii="Times New Roman" w:hAnsi="Times New Roman" w:cs="Times New Roman"/>
          <w:sz w:val="28"/>
          <w:szCs w:val="28"/>
        </w:rPr>
        <w:t>н</w:t>
      </w:r>
      <w:r w:rsidRPr="00E37001">
        <w:rPr>
          <w:rFonts w:ascii="Times New Roman" w:hAnsi="Times New Roman" w:cs="Times New Roman"/>
          <w:sz w:val="28"/>
          <w:szCs w:val="28"/>
        </w:rPr>
        <w:t>ктури кредитного ринку та проведення маркетингових досліджень;</w:t>
      </w:r>
    </w:p>
    <w:p w:rsidR="00307A06" w:rsidRPr="00E37001" w:rsidRDefault="00307A06" w:rsidP="00B07B79">
      <w:pPr>
        <w:widowControl w:val="0"/>
        <w:numPr>
          <w:ilvl w:val="0"/>
          <w:numId w:val="52"/>
        </w:numPr>
        <w:shd w:val="clear" w:color="auto" w:fill="FFFFFF"/>
        <w:tabs>
          <w:tab w:val="left" w:pos="739"/>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pacing w:val="-1"/>
          <w:sz w:val="28"/>
          <w:szCs w:val="28"/>
        </w:rPr>
        <w:lastRenderedPageBreak/>
        <w:t>аналіз кредитної діяльності та ефективності окремих кредитних операцій;</w:t>
      </w:r>
    </w:p>
    <w:p w:rsidR="00307A06" w:rsidRPr="00E37001" w:rsidRDefault="00307A06" w:rsidP="00B07B79">
      <w:pPr>
        <w:widowControl w:val="0"/>
        <w:numPr>
          <w:ilvl w:val="0"/>
          <w:numId w:val="52"/>
        </w:numPr>
        <w:shd w:val="clear" w:color="auto" w:fill="FFFFFF"/>
        <w:tabs>
          <w:tab w:val="left" w:pos="739"/>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стратегічне та поточне планування кредитної діяльності;</w:t>
      </w:r>
    </w:p>
    <w:p w:rsidR="00307A06" w:rsidRPr="00E37001" w:rsidRDefault="00307A06" w:rsidP="00B07B79">
      <w:pPr>
        <w:widowControl w:val="0"/>
        <w:numPr>
          <w:ilvl w:val="0"/>
          <w:numId w:val="52"/>
        </w:numPr>
        <w:shd w:val="clear" w:color="auto" w:fill="FFFFFF"/>
        <w:tabs>
          <w:tab w:val="left" w:pos="739"/>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обслуговування окремих кредитних операцій;</w:t>
      </w:r>
    </w:p>
    <w:p w:rsidR="00307A06" w:rsidRPr="00E37001" w:rsidRDefault="00307A06" w:rsidP="00B07B79">
      <w:pPr>
        <w:shd w:val="clear" w:color="auto" w:fill="FFFFFF"/>
        <w:tabs>
          <w:tab w:val="left" w:pos="701"/>
        </w:tabs>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w:t>
      </w:r>
      <w:r w:rsidRPr="00E37001">
        <w:rPr>
          <w:rFonts w:ascii="Times New Roman" w:hAnsi="Times New Roman" w:cs="Times New Roman"/>
          <w:sz w:val="28"/>
          <w:szCs w:val="28"/>
        </w:rPr>
        <w:tab/>
        <w:t>здійснення постійного моніторингу кредитної діяльності і ефективності</w:t>
      </w:r>
      <w:r w:rsidRPr="00E37001">
        <w:rPr>
          <w:rFonts w:ascii="Times New Roman" w:hAnsi="Times New Roman" w:cs="Times New Roman"/>
          <w:sz w:val="28"/>
          <w:szCs w:val="28"/>
        </w:rPr>
        <w:br/>
        <w:t>окремих кредитних угод з клієнтами.</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pacing w:val="-4"/>
          <w:sz w:val="28"/>
          <w:szCs w:val="28"/>
        </w:rPr>
        <w:t xml:space="preserve">В процесі дослідження основних показників діяльності комерційних банків </w:t>
      </w:r>
      <w:r w:rsidRPr="00E37001">
        <w:rPr>
          <w:rFonts w:ascii="Times New Roman" w:hAnsi="Times New Roman" w:cs="Times New Roman"/>
          <w:sz w:val="28"/>
          <w:szCs w:val="28"/>
        </w:rPr>
        <w:t>України та ПАТ «Міжнародний</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Інвестиційний Банк» були виявлені наступні тенденції:</w:t>
      </w:r>
    </w:p>
    <w:p w:rsidR="00307A06" w:rsidRPr="00E37001" w:rsidRDefault="00307A06" w:rsidP="00B07B79">
      <w:pPr>
        <w:widowControl w:val="0"/>
        <w:numPr>
          <w:ilvl w:val="0"/>
          <w:numId w:val="53"/>
        </w:numPr>
        <w:shd w:val="clear" w:color="auto" w:fill="FFFFFF"/>
        <w:tabs>
          <w:tab w:val="left" w:pos="907"/>
        </w:tabs>
        <w:autoSpaceDE w:val="0"/>
        <w:autoSpaceDN w:val="0"/>
        <w:adjustRightInd w:val="0"/>
        <w:spacing w:after="0" w:line="360" w:lineRule="auto"/>
        <w:ind w:firstLine="567"/>
        <w:contextualSpacing/>
        <w:jc w:val="both"/>
        <w:rPr>
          <w:rFonts w:ascii="Times New Roman" w:hAnsi="Times New Roman" w:cs="Times New Roman"/>
          <w:spacing w:val="-18"/>
          <w:sz w:val="28"/>
          <w:szCs w:val="28"/>
        </w:rPr>
      </w:pPr>
      <w:r w:rsidRPr="00E37001">
        <w:rPr>
          <w:rFonts w:ascii="Times New Roman" w:hAnsi="Times New Roman" w:cs="Times New Roman"/>
          <w:sz w:val="28"/>
          <w:szCs w:val="28"/>
        </w:rPr>
        <w:t>на сучасному етапі спостерігається стрімке зростання обсягів кредитування комерційними банками, причому темпи зростання кредитування значно перевищують темпи зростання ВВП;</w:t>
      </w:r>
    </w:p>
    <w:p w:rsidR="00307A06" w:rsidRPr="00E37001" w:rsidRDefault="00307A06" w:rsidP="00B07B79">
      <w:pPr>
        <w:widowControl w:val="0"/>
        <w:numPr>
          <w:ilvl w:val="0"/>
          <w:numId w:val="53"/>
        </w:numPr>
        <w:shd w:val="clear" w:color="auto" w:fill="FFFFFF"/>
        <w:tabs>
          <w:tab w:val="left" w:pos="907"/>
        </w:tabs>
        <w:autoSpaceDE w:val="0"/>
        <w:autoSpaceDN w:val="0"/>
        <w:adjustRightInd w:val="0"/>
        <w:spacing w:after="0" w:line="360" w:lineRule="auto"/>
        <w:ind w:firstLine="567"/>
        <w:contextualSpacing/>
        <w:jc w:val="both"/>
        <w:rPr>
          <w:rFonts w:ascii="Times New Roman" w:hAnsi="Times New Roman" w:cs="Times New Roman"/>
          <w:spacing w:val="-6"/>
          <w:sz w:val="28"/>
          <w:szCs w:val="28"/>
        </w:rPr>
      </w:pPr>
      <w:r w:rsidRPr="00E37001">
        <w:rPr>
          <w:rFonts w:ascii="Times New Roman" w:hAnsi="Times New Roman" w:cs="Times New Roman"/>
          <w:sz w:val="28"/>
          <w:szCs w:val="28"/>
        </w:rPr>
        <w:t>існує тенденція до суттєвого зростання показника частки кредитів комерційних банків у ВВП;</w:t>
      </w:r>
    </w:p>
    <w:p w:rsidR="00307A06" w:rsidRPr="00E37001" w:rsidRDefault="00307A06" w:rsidP="00B07B79">
      <w:pPr>
        <w:widowControl w:val="0"/>
        <w:numPr>
          <w:ilvl w:val="0"/>
          <w:numId w:val="53"/>
        </w:numPr>
        <w:shd w:val="clear" w:color="auto" w:fill="FFFFFF"/>
        <w:tabs>
          <w:tab w:val="left" w:pos="907"/>
        </w:tabs>
        <w:autoSpaceDE w:val="0"/>
        <w:autoSpaceDN w:val="0"/>
        <w:adjustRightInd w:val="0"/>
        <w:spacing w:after="0" w:line="360" w:lineRule="auto"/>
        <w:ind w:firstLine="567"/>
        <w:contextualSpacing/>
        <w:jc w:val="both"/>
        <w:rPr>
          <w:rFonts w:ascii="Times New Roman" w:hAnsi="Times New Roman" w:cs="Times New Roman"/>
          <w:spacing w:val="-11"/>
          <w:sz w:val="28"/>
          <w:szCs w:val="28"/>
        </w:rPr>
      </w:pPr>
      <w:r w:rsidRPr="00E37001">
        <w:rPr>
          <w:rFonts w:ascii="Times New Roman" w:hAnsi="Times New Roman" w:cs="Times New Roman"/>
          <w:sz w:val="28"/>
          <w:szCs w:val="28"/>
        </w:rPr>
        <w:t>якщо розглянути структуру кредитного портфелю комерційних банків України, то можна зробити наступний висновок: перше місце посідають кредити суб'єктам господарювання, друге - кредити фізичним особам, третє -</w:t>
      </w:r>
      <w:r w:rsidR="00621722">
        <w:rPr>
          <w:rFonts w:ascii="Times New Roman" w:hAnsi="Times New Roman" w:cs="Times New Roman"/>
          <w:sz w:val="28"/>
          <w:szCs w:val="28"/>
        </w:rPr>
        <w:t xml:space="preserve"> </w:t>
      </w:r>
      <w:r w:rsidRPr="00E37001">
        <w:rPr>
          <w:rFonts w:ascii="Times New Roman" w:hAnsi="Times New Roman" w:cs="Times New Roman"/>
          <w:sz w:val="28"/>
          <w:szCs w:val="28"/>
        </w:rPr>
        <w:t>кредити, надані іншим банкам та НБУ.</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В процесі управління кредитними операціями комерційних банків велика увага приділяється аналізу кредитоспроможності позичальників, котрий доцільно проводити із застосуванням комплексно-рейтингової оцінки </w:t>
      </w:r>
      <w:r w:rsidRPr="00E37001">
        <w:rPr>
          <w:rFonts w:ascii="Times New Roman" w:hAnsi="Times New Roman" w:cs="Times New Roman"/>
          <w:spacing w:val="-1"/>
          <w:sz w:val="28"/>
          <w:szCs w:val="28"/>
        </w:rPr>
        <w:t xml:space="preserve">кредитоспроможності позичальника, що передбачає наступні елементи: оцінку </w:t>
      </w:r>
      <w:r w:rsidRPr="00E37001">
        <w:rPr>
          <w:rFonts w:ascii="Times New Roman" w:hAnsi="Times New Roman" w:cs="Times New Roman"/>
          <w:sz w:val="28"/>
          <w:szCs w:val="28"/>
        </w:rPr>
        <w:t>репутації позичальника; оцінку фінансового стану на основі фінансових показників; аналіз грошових потоків підприємства; оцінку ділового ризику. Аналіз кредитоспроможності позичальників в ПАТ «Міжнародний</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Інвестиційний Банк»</w:t>
      </w:r>
      <w:r w:rsidR="00621722">
        <w:rPr>
          <w:rFonts w:ascii="Times New Roman" w:hAnsi="Times New Roman" w:cs="Times New Roman"/>
          <w:sz w:val="28"/>
          <w:szCs w:val="28"/>
        </w:rPr>
        <w:t xml:space="preserve"> </w:t>
      </w:r>
      <w:r w:rsidRPr="00E37001">
        <w:rPr>
          <w:rFonts w:ascii="Times New Roman" w:hAnsi="Times New Roman" w:cs="Times New Roman"/>
          <w:sz w:val="28"/>
          <w:szCs w:val="28"/>
        </w:rPr>
        <w:t xml:space="preserve">здійснюється на </w:t>
      </w:r>
      <w:r w:rsidRPr="00E37001">
        <w:rPr>
          <w:rFonts w:ascii="Times New Roman" w:hAnsi="Times New Roman" w:cs="Times New Roman"/>
          <w:spacing w:val="-2"/>
          <w:sz w:val="28"/>
          <w:szCs w:val="28"/>
        </w:rPr>
        <w:t>основі визначення кількісних та якісних характеристик позичальника.</w:t>
      </w:r>
    </w:p>
    <w:p w:rsidR="00307A06" w:rsidRPr="00E37001"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Для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підвищення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ефективності</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управління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кредитною</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діяльністю комерційних банків необхідно виконати такі пріоритетні завдання:</w:t>
      </w:r>
    </w:p>
    <w:p w:rsidR="00307A06" w:rsidRPr="00E37001" w:rsidRDefault="00307A06" w:rsidP="00B07B79">
      <w:pPr>
        <w:widowControl w:val="0"/>
        <w:numPr>
          <w:ilvl w:val="0"/>
          <w:numId w:val="32"/>
        </w:numPr>
        <w:shd w:val="clear" w:color="auto" w:fill="FFFFFF"/>
        <w:tabs>
          <w:tab w:val="left" w:pos="74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pacing w:val="-1"/>
          <w:sz w:val="28"/>
          <w:szCs w:val="28"/>
        </w:rPr>
        <w:t>Підвищити рівень капіталізації банків;</w:t>
      </w:r>
    </w:p>
    <w:p w:rsidR="00307A06" w:rsidRPr="00E37001" w:rsidRDefault="00307A06" w:rsidP="00B07B79">
      <w:pPr>
        <w:widowControl w:val="0"/>
        <w:numPr>
          <w:ilvl w:val="0"/>
          <w:numId w:val="54"/>
        </w:numPr>
        <w:shd w:val="clear" w:color="auto" w:fill="FFFFFF"/>
        <w:tabs>
          <w:tab w:val="left" w:pos="74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lastRenderedPageBreak/>
        <w:t>Підвищити якість корпоративного управління в банках;</w:t>
      </w:r>
    </w:p>
    <w:p w:rsidR="00307A06" w:rsidRPr="00E37001" w:rsidRDefault="00307A06" w:rsidP="00B07B79">
      <w:pPr>
        <w:widowControl w:val="0"/>
        <w:numPr>
          <w:ilvl w:val="0"/>
          <w:numId w:val="54"/>
        </w:numPr>
        <w:shd w:val="clear" w:color="auto" w:fill="FFFFFF"/>
        <w:tabs>
          <w:tab w:val="left" w:pos="744"/>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Удосконалити систему управління ризиками та внутрішнього контролю;</w:t>
      </w:r>
    </w:p>
    <w:p w:rsidR="00307A06" w:rsidRPr="00E37001" w:rsidRDefault="00307A06" w:rsidP="00B07B79">
      <w:pPr>
        <w:widowControl w:val="0"/>
        <w:numPr>
          <w:ilvl w:val="0"/>
          <w:numId w:val="54"/>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Удосконалити практику регулювання та нагляду за банківською діяльністю;</w:t>
      </w:r>
    </w:p>
    <w:p w:rsidR="00307A06" w:rsidRPr="00E37001" w:rsidRDefault="00307A06" w:rsidP="00B07B79">
      <w:pPr>
        <w:widowControl w:val="0"/>
        <w:numPr>
          <w:ilvl w:val="0"/>
          <w:numId w:val="55"/>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Забезпечити прозорість функціонування банківської системи;</w:t>
      </w:r>
    </w:p>
    <w:p w:rsidR="00307A06" w:rsidRPr="00E37001" w:rsidRDefault="00307A06" w:rsidP="00B07B79">
      <w:pPr>
        <w:widowControl w:val="0"/>
        <w:numPr>
          <w:ilvl w:val="0"/>
          <w:numId w:val="41"/>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Законодавче</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забезпечити</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захист</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прав</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кредиторів,</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вкладників</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та позичальників;</w:t>
      </w:r>
    </w:p>
    <w:p w:rsidR="00307A06" w:rsidRPr="00E37001" w:rsidRDefault="00307A06" w:rsidP="00B07B79">
      <w:pPr>
        <w:widowControl w:val="0"/>
        <w:numPr>
          <w:ilvl w:val="0"/>
          <w:numId w:val="41"/>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pacing w:val="-2"/>
          <w:sz w:val="28"/>
          <w:szCs w:val="28"/>
        </w:rPr>
        <w:t xml:space="preserve">Розширити спектр та збільшити обсяг продуктів та послуг на банківському </w:t>
      </w:r>
      <w:r w:rsidRPr="00E37001">
        <w:rPr>
          <w:rFonts w:ascii="Times New Roman" w:hAnsi="Times New Roman" w:cs="Times New Roman"/>
          <w:sz w:val="28"/>
          <w:szCs w:val="28"/>
        </w:rPr>
        <w:t>та фінансових ринках;</w:t>
      </w:r>
    </w:p>
    <w:p w:rsidR="00307A06" w:rsidRPr="00E37001" w:rsidRDefault="00307A06" w:rsidP="00B07B79">
      <w:pPr>
        <w:widowControl w:val="0"/>
        <w:numPr>
          <w:ilvl w:val="0"/>
          <w:numId w:val="41"/>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Запобігати</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та</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протидіяти</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легалізації</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коштів,</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отриманих злочинним шляхом, та фінансуванню тероризму;</w:t>
      </w:r>
    </w:p>
    <w:p w:rsidR="00307A06" w:rsidRPr="00E37001" w:rsidRDefault="00307A06" w:rsidP="00B07B79">
      <w:pPr>
        <w:widowControl w:val="0"/>
        <w:numPr>
          <w:ilvl w:val="0"/>
          <w:numId w:val="41"/>
        </w:numPr>
        <w:shd w:val="clear" w:color="auto" w:fill="FFFFFF"/>
        <w:tabs>
          <w:tab w:val="left" w:pos="70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Запровадити</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систему</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розкриття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інформації</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про виконання позичальниками</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зобов'язань</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перед</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банками;</w:t>
      </w:r>
    </w:p>
    <w:p w:rsidR="00307A06" w:rsidRPr="00E37001" w:rsidRDefault="00307A06" w:rsidP="00B07B79">
      <w:pPr>
        <w:shd w:val="clear" w:color="auto" w:fill="FFFFFF"/>
        <w:tabs>
          <w:tab w:val="left" w:pos="878"/>
        </w:tabs>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w:t>
      </w:r>
      <w:r w:rsidRPr="00E37001">
        <w:rPr>
          <w:rFonts w:ascii="Times New Roman" w:hAnsi="Times New Roman" w:cs="Times New Roman"/>
          <w:sz w:val="28"/>
          <w:szCs w:val="28"/>
        </w:rPr>
        <w:tab/>
        <w:t>Забезпечувати</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систематичне</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здійснення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аналізу</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ризиків</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з</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метою ідентифікації, контролю, моніторингу і оцінки величини всіх ризиків тощо.</w:t>
      </w:r>
    </w:p>
    <w:p w:rsidR="00B63CA8" w:rsidRDefault="00307A06" w:rsidP="00B07B79">
      <w:pPr>
        <w:shd w:val="clear" w:color="auto" w:fill="FFFFFF"/>
        <w:spacing w:line="360" w:lineRule="auto"/>
        <w:ind w:firstLine="567"/>
        <w:contextualSpacing/>
        <w:jc w:val="both"/>
        <w:rPr>
          <w:rFonts w:ascii="Times New Roman" w:hAnsi="Times New Roman" w:cs="Times New Roman"/>
          <w:sz w:val="28"/>
          <w:szCs w:val="28"/>
        </w:rPr>
      </w:pPr>
      <w:r w:rsidRPr="00E37001">
        <w:rPr>
          <w:rFonts w:ascii="Times New Roman" w:hAnsi="Times New Roman" w:cs="Times New Roman"/>
          <w:spacing w:val="-1"/>
          <w:sz w:val="28"/>
          <w:szCs w:val="28"/>
        </w:rPr>
        <w:t xml:space="preserve">Отже, у стабільній політичній ситуації в умовах економічного зростання в </w:t>
      </w:r>
      <w:r w:rsidRPr="00E37001">
        <w:rPr>
          <w:rFonts w:ascii="Times New Roman" w:hAnsi="Times New Roman" w:cs="Times New Roman"/>
          <w:sz w:val="28"/>
          <w:szCs w:val="28"/>
        </w:rPr>
        <w:t xml:space="preserve">Україні структура банківських активів і пасивів безумовно, стане здоровішою і більш збалансованою. Терміни залучення і розміщення ресурсів зростатимуть; частка активно-пасивних операцій у національній валюті поступово збільшуватиметься на тлі скорочення обсягів валютних угод; зростатиме </w:t>
      </w:r>
      <w:r w:rsidRPr="00E37001">
        <w:rPr>
          <w:rFonts w:ascii="Times New Roman" w:hAnsi="Times New Roman" w:cs="Times New Roman"/>
          <w:spacing w:val="-1"/>
          <w:sz w:val="28"/>
          <w:szCs w:val="28"/>
        </w:rPr>
        <w:t xml:space="preserve">питома вага інвестиційних кредитів та позичок у виробничі сектори економіки; </w:t>
      </w:r>
      <w:r w:rsidRPr="00E37001">
        <w:rPr>
          <w:rFonts w:ascii="Times New Roman" w:hAnsi="Times New Roman" w:cs="Times New Roman"/>
          <w:sz w:val="28"/>
          <w:szCs w:val="28"/>
        </w:rPr>
        <w:t>розширюватиметься коло фізичних осіб - вкладників і позичальників; збільшуватимуться відносні частки кредитів і депозитів населення у структурі кредитного портфеля та залучених коштів комерційних банків; регіональні диспропорції у розподілі активів і пасивів поступово вирівнюватимуться. А процентні ставки повільно, але неухильно можуть знижуватися.</w:t>
      </w:r>
    </w:p>
    <w:p w:rsidR="00B63CA8" w:rsidRDefault="00B63CA8" w:rsidP="00B07B79">
      <w:pPr>
        <w:shd w:val="clear" w:color="auto" w:fill="FFFFFF"/>
        <w:spacing w:line="360" w:lineRule="auto"/>
        <w:ind w:firstLine="567"/>
        <w:contextualSpacing/>
        <w:jc w:val="both"/>
        <w:rPr>
          <w:rFonts w:ascii="Times New Roman" w:hAnsi="Times New Roman" w:cs="Times New Roman"/>
          <w:sz w:val="28"/>
          <w:szCs w:val="28"/>
        </w:rPr>
        <w:sectPr w:rsidR="00B63CA8" w:rsidSect="00B63CA8">
          <w:footerReference w:type="default" r:id="rId18"/>
          <w:pgSz w:w="11909" w:h="16834" w:code="9"/>
          <w:pgMar w:top="1134" w:right="850" w:bottom="1134" w:left="1701" w:header="708" w:footer="708" w:gutter="0"/>
          <w:cols w:space="708"/>
          <w:docGrid w:linePitch="360"/>
        </w:sectPr>
      </w:pPr>
    </w:p>
    <w:p w:rsidR="00307A06" w:rsidRPr="00621722" w:rsidRDefault="00307A06" w:rsidP="00621722">
      <w:pPr>
        <w:pStyle w:val="Style1"/>
        <w:widowControl/>
        <w:spacing w:before="235" w:line="360" w:lineRule="auto"/>
        <w:ind w:firstLine="567"/>
        <w:contextualSpacing/>
        <w:jc w:val="center"/>
        <w:outlineLvl w:val="0"/>
        <w:rPr>
          <w:rStyle w:val="FontStyle11"/>
          <w:b/>
          <w:sz w:val="28"/>
          <w:szCs w:val="28"/>
          <w:lang w:eastAsia="uk-UA"/>
        </w:rPr>
      </w:pPr>
      <w:bookmarkStart w:id="15" w:name="_Toc293306713"/>
      <w:r w:rsidRPr="00621722">
        <w:rPr>
          <w:rStyle w:val="FontStyle11"/>
          <w:b/>
          <w:sz w:val="28"/>
          <w:szCs w:val="28"/>
          <w:lang w:eastAsia="uk-UA"/>
        </w:rPr>
        <w:lastRenderedPageBreak/>
        <w:t>СПИСОК ВИКОРИСТАНИХ ДЖЕРЕЛ</w:t>
      </w:r>
      <w:bookmarkEnd w:id="15"/>
    </w:p>
    <w:p w:rsidR="00307A06" w:rsidRPr="00621722" w:rsidRDefault="00307A06" w:rsidP="00621722">
      <w:pPr>
        <w:pStyle w:val="a3"/>
        <w:numPr>
          <w:ilvl w:val="0"/>
          <w:numId w:val="56"/>
        </w:numPr>
        <w:ind w:left="0" w:firstLine="567"/>
        <w:jc w:val="both"/>
        <w:rPr>
          <w:rFonts w:ascii="Times New Roman" w:hAnsi="Times New Roman" w:cs="Times New Roman"/>
          <w:sz w:val="28"/>
          <w:szCs w:val="28"/>
        </w:rPr>
      </w:pPr>
      <w:r w:rsidRPr="00621722">
        <w:rPr>
          <w:rFonts w:ascii="Times New Roman" w:hAnsi="Times New Roman" w:cs="Times New Roman"/>
          <w:sz w:val="28"/>
          <w:szCs w:val="28"/>
        </w:rPr>
        <w:t xml:space="preserve">Закон України </w:t>
      </w:r>
      <w:proofErr w:type="spellStart"/>
      <w:r w:rsidRPr="00621722">
        <w:rPr>
          <w:rFonts w:ascii="Times New Roman" w:hAnsi="Times New Roman" w:cs="Times New Roman"/>
          <w:sz w:val="28"/>
          <w:szCs w:val="28"/>
        </w:rPr>
        <w:t>„Про</w:t>
      </w:r>
      <w:proofErr w:type="spellEnd"/>
      <w:r w:rsidRPr="00621722">
        <w:rPr>
          <w:rFonts w:ascii="Times New Roman" w:hAnsi="Times New Roman" w:cs="Times New Roman"/>
          <w:sz w:val="28"/>
          <w:szCs w:val="28"/>
        </w:rPr>
        <w:t xml:space="preserve"> банки та банківську діяльність" /ВВР. - 2002р. </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Методичні вказівки з інспектування банків «Система оцінки ризиків»,затверджена Постановою Правління НБУ від 15.03.2004 №104.</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Методичні рекомендації щодо застосування комерційними банками Закону України “Про банкрутство”, лист НБУ 20.06.97., № 06-03/ 101.</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Методичні рекомендації щодо застосування комерційними банками Закону України “Про заставу”. </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Положення про порядок формування і використання резерву для відшкодування можливих втрат за кредитними операціями банків// постанова Правління Національного банку України від 12.12.2002 № 505. </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Положення про проведення кредитної політики і фінансування капітальних вкладень в установах УСБ, затверджене Правлінням банку 16.06.95р.</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Постанова</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правління НБУ №270 «Про затвердження Положення про порядок отримання резидентами кредитів, позик в іноземній валюті від нерезидентів і надання резидентами позик в іноземній валюті нерезидентам» від 17 червня 2004 р.</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Постанова</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правління НБУ №363 «Про встановлення процентних ставок за зовнішніми запозиченнями резидентів» від 3 серпня 2004р.</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Про внесення змін до Спеціального порядку здійснення заходів щодо фінансового оздоровлення банків: Постанова Правління НБУ від 16 квітня 2009 р. № 225.</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Про кредитування. Положення НБУ, затверджене Постановою Правління НБУ №246 від 28.09.95р. // Банківська справа. – 1996. – 2. – с.58-61.</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Про окремі питання діяльності банків // постанова Правління Національного банку України від 04.12.2008 № 413. </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lastRenderedPageBreak/>
        <w:t>Про окремі питання діяльності банків: Постанова Правління НБУ від 05 лютого 2009 р. № 49.</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Про порядок регулювання та аналіз діяльності комерційних банків. Інструкція НБУ, затверджена Постановою Правління НБУ №141 від 14.04.98р.</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Про порядок формування і використання резерву для відшкодування можливих втрат за кредитними операціями комерційних банків. Положення НБУ, затверджене постановою Правління НБУ №122 від 27.03.98р.</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Про порядок формування і використання резерву на відшкодування можливих втрат за кредитними операціями комерційних банків: Положення, затверджене Постановою Правління НБУ від 06.07.2000р. №279 зі змінами і доповненнями</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Про стимулювання кредитування економіки України: Постанова Правління НБУ від 03.11.2009 р. № 650.</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Style w:val="FontStyle12"/>
          <w:b w:val="0"/>
          <w:iCs/>
          <w:sz w:val="28"/>
          <w:szCs w:val="28"/>
        </w:rPr>
      </w:pPr>
      <w:r w:rsidRPr="00E37001">
        <w:rPr>
          <w:rStyle w:val="FontStyle12"/>
          <w:b w:val="0"/>
          <w:sz w:val="28"/>
          <w:szCs w:val="28"/>
        </w:rPr>
        <w:t xml:space="preserve">Аналіз банківської діяльності: Підручник / A.M. Герасимович, М.Д. </w:t>
      </w:r>
      <w:proofErr w:type="spellStart"/>
      <w:r w:rsidRPr="00E37001">
        <w:rPr>
          <w:rStyle w:val="FontStyle12"/>
          <w:b w:val="0"/>
          <w:sz w:val="28"/>
          <w:szCs w:val="28"/>
        </w:rPr>
        <w:t>Алексеєнко</w:t>
      </w:r>
      <w:proofErr w:type="spellEnd"/>
      <w:r w:rsidRPr="00E37001">
        <w:rPr>
          <w:rStyle w:val="FontStyle12"/>
          <w:b w:val="0"/>
          <w:sz w:val="28"/>
          <w:szCs w:val="28"/>
        </w:rPr>
        <w:t xml:space="preserve">, І.М. </w:t>
      </w:r>
      <w:proofErr w:type="spellStart"/>
      <w:r w:rsidRPr="00E37001">
        <w:rPr>
          <w:rStyle w:val="FontStyle12"/>
          <w:b w:val="0"/>
          <w:sz w:val="28"/>
          <w:szCs w:val="28"/>
        </w:rPr>
        <w:t>Парасій-Вергуненко</w:t>
      </w:r>
      <w:proofErr w:type="spellEnd"/>
      <w:r w:rsidRPr="00E37001">
        <w:rPr>
          <w:rStyle w:val="FontStyle12"/>
          <w:b w:val="0"/>
          <w:sz w:val="28"/>
          <w:szCs w:val="28"/>
        </w:rPr>
        <w:t>; За ред. A.M. Герасимовича. — К.: КНЕУ, 2004. — 600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 xml:space="preserve">Аналіз діяльності комерційних банків. / За ред. Проф. Ф. Ф. </w:t>
      </w:r>
      <w:proofErr w:type="spellStart"/>
      <w:r w:rsidRPr="00E37001">
        <w:rPr>
          <w:b w:val="0"/>
          <w:spacing w:val="0"/>
          <w:szCs w:val="28"/>
        </w:rPr>
        <w:t>Бутинця</w:t>
      </w:r>
      <w:proofErr w:type="spellEnd"/>
      <w:r w:rsidRPr="00E37001">
        <w:rPr>
          <w:b w:val="0"/>
          <w:spacing w:val="0"/>
          <w:szCs w:val="28"/>
        </w:rPr>
        <w:t xml:space="preserve"> та проф. А. М. Герасимовича. – Житомир: ПП “Рута”, 2001. – 384 с.</w:t>
      </w:r>
    </w:p>
    <w:p w:rsidR="00307A06" w:rsidRPr="00E37001" w:rsidRDefault="00307A06" w:rsidP="00E37001">
      <w:pPr>
        <w:numPr>
          <w:ilvl w:val="0"/>
          <w:numId w:val="56"/>
        </w:numPr>
        <w:autoSpaceDN w:val="0"/>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sz w:val="28"/>
          <w:szCs w:val="28"/>
        </w:rPr>
        <w:t>Банківська енциклопедія. / Під ред. А. М.Мороза – К. : Ельтон, 1993. – 328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 xml:space="preserve">Банківська справа: </w:t>
      </w:r>
      <w:proofErr w:type="spellStart"/>
      <w:r w:rsidRPr="00E37001">
        <w:rPr>
          <w:b w:val="0"/>
          <w:spacing w:val="0"/>
          <w:szCs w:val="28"/>
        </w:rPr>
        <w:t>Навч</w:t>
      </w:r>
      <w:proofErr w:type="spellEnd"/>
      <w:r w:rsidRPr="00E37001">
        <w:rPr>
          <w:b w:val="0"/>
          <w:spacing w:val="0"/>
          <w:szCs w:val="28"/>
        </w:rPr>
        <w:t xml:space="preserve">. </w:t>
      </w:r>
      <w:proofErr w:type="spellStart"/>
      <w:r w:rsidRPr="00E37001">
        <w:rPr>
          <w:b w:val="0"/>
          <w:spacing w:val="0"/>
          <w:szCs w:val="28"/>
        </w:rPr>
        <w:t>Посіб</w:t>
      </w:r>
      <w:proofErr w:type="spellEnd"/>
      <w:r w:rsidRPr="00E37001">
        <w:rPr>
          <w:b w:val="0"/>
          <w:spacing w:val="0"/>
          <w:szCs w:val="28"/>
        </w:rPr>
        <w:t>. / За ред. проф. Р. І. Тиркала. – Тернопіль: Карт-бланш, 2001. – 314 с.</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 xml:space="preserve">Банківське право /За ред. </w:t>
      </w:r>
      <w:proofErr w:type="spellStart"/>
      <w:r w:rsidRPr="00E37001">
        <w:rPr>
          <w:rFonts w:ascii="Times New Roman" w:hAnsi="Times New Roman" w:cs="Times New Roman"/>
          <w:color w:val="000000"/>
          <w:sz w:val="28"/>
          <w:szCs w:val="28"/>
        </w:rPr>
        <w:t>Кучерявенко</w:t>
      </w:r>
      <w:proofErr w:type="spellEnd"/>
      <w:r w:rsidRPr="00E37001">
        <w:rPr>
          <w:rFonts w:ascii="Times New Roman" w:hAnsi="Times New Roman" w:cs="Times New Roman"/>
          <w:color w:val="000000"/>
          <w:sz w:val="28"/>
          <w:szCs w:val="28"/>
        </w:rPr>
        <w:t xml:space="preserve"> М.П. – Харків: </w:t>
      </w:r>
      <w:proofErr w:type="spellStart"/>
      <w:r w:rsidRPr="00E37001">
        <w:rPr>
          <w:rFonts w:ascii="Times New Roman" w:hAnsi="Times New Roman" w:cs="Times New Roman"/>
          <w:color w:val="000000"/>
          <w:sz w:val="28"/>
          <w:szCs w:val="28"/>
        </w:rPr>
        <w:t>Торсінг</w:t>
      </w:r>
      <w:proofErr w:type="spellEnd"/>
      <w:r w:rsidRPr="00E37001">
        <w:rPr>
          <w:rFonts w:ascii="Times New Roman" w:hAnsi="Times New Roman" w:cs="Times New Roman"/>
          <w:color w:val="000000"/>
          <w:sz w:val="28"/>
          <w:szCs w:val="28"/>
        </w:rPr>
        <w:t>, 1999, 982 с.</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r w:rsidRPr="00E37001">
        <w:rPr>
          <w:rFonts w:ascii="Times New Roman" w:hAnsi="Times New Roman" w:cs="Times New Roman"/>
          <w:sz w:val="28"/>
          <w:szCs w:val="28"/>
        </w:rPr>
        <w:t xml:space="preserve">Банківський менеджмент: Конспект лекцій / Укладачі: В.М.Олійник, С.М. </w:t>
      </w:r>
      <w:proofErr w:type="spellStart"/>
      <w:r w:rsidRPr="00E37001">
        <w:rPr>
          <w:rFonts w:ascii="Times New Roman" w:hAnsi="Times New Roman" w:cs="Times New Roman"/>
          <w:sz w:val="28"/>
          <w:szCs w:val="28"/>
        </w:rPr>
        <w:t>Фролов</w:t>
      </w:r>
      <w:proofErr w:type="spellEnd"/>
      <w:r w:rsidRPr="00E37001">
        <w:rPr>
          <w:rFonts w:ascii="Times New Roman" w:hAnsi="Times New Roman" w:cs="Times New Roman"/>
          <w:sz w:val="28"/>
          <w:szCs w:val="28"/>
        </w:rPr>
        <w:t xml:space="preserve">, М.А. Деркач. – Суми: Вид-во </w:t>
      </w:r>
      <w:proofErr w:type="spellStart"/>
      <w:r w:rsidRPr="00E37001">
        <w:rPr>
          <w:rFonts w:ascii="Times New Roman" w:hAnsi="Times New Roman" w:cs="Times New Roman"/>
          <w:sz w:val="28"/>
          <w:szCs w:val="28"/>
        </w:rPr>
        <w:t>СумДУ</w:t>
      </w:r>
      <w:proofErr w:type="spellEnd"/>
      <w:r w:rsidRPr="00E37001">
        <w:rPr>
          <w:rFonts w:ascii="Times New Roman" w:hAnsi="Times New Roman" w:cs="Times New Roman"/>
          <w:sz w:val="28"/>
          <w:szCs w:val="28"/>
        </w:rPr>
        <w:t xml:space="preserve">, 2009.– Ч.1.162 с. </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r w:rsidRPr="00E37001">
        <w:rPr>
          <w:rFonts w:ascii="Times New Roman" w:hAnsi="Times New Roman" w:cs="Times New Roman"/>
          <w:sz w:val="28"/>
          <w:szCs w:val="28"/>
        </w:rPr>
        <w:t xml:space="preserve">Банківський менеджмент: </w:t>
      </w:r>
      <w:proofErr w:type="spellStart"/>
      <w:r w:rsidRPr="00E37001">
        <w:rPr>
          <w:rFonts w:ascii="Times New Roman" w:hAnsi="Times New Roman" w:cs="Times New Roman"/>
          <w:sz w:val="28"/>
          <w:szCs w:val="28"/>
        </w:rPr>
        <w:t>Навч</w:t>
      </w:r>
      <w:proofErr w:type="spellEnd"/>
      <w:r w:rsidRPr="00E37001">
        <w:rPr>
          <w:rFonts w:ascii="Times New Roman" w:hAnsi="Times New Roman" w:cs="Times New Roman"/>
          <w:sz w:val="28"/>
          <w:szCs w:val="28"/>
        </w:rPr>
        <w:t xml:space="preserve">. </w:t>
      </w:r>
      <w:proofErr w:type="spellStart"/>
      <w:r w:rsidRPr="00E37001">
        <w:rPr>
          <w:rFonts w:ascii="Times New Roman" w:hAnsi="Times New Roman" w:cs="Times New Roman"/>
          <w:sz w:val="28"/>
          <w:szCs w:val="28"/>
        </w:rPr>
        <w:t>посіб</w:t>
      </w:r>
      <w:proofErr w:type="spellEnd"/>
      <w:r w:rsidRPr="00E37001">
        <w:rPr>
          <w:rFonts w:ascii="Times New Roman" w:hAnsi="Times New Roman" w:cs="Times New Roman"/>
          <w:sz w:val="28"/>
          <w:szCs w:val="28"/>
        </w:rPr>
        <w:t xml:space="preserve">. для </w:t>
      </w:r>
      <w:proofErr w:type="spellStart"/>
      <w:r w:rsidRPr="00E37001">
        <w:rPr>
          <w:rFonts w:ascii="Times New Roman" w:hAnsi="Times New Roman" w:cs="Times New Roman"/>
          <w:sz w:val="28"/>
          <w:szCs w:val="28"/>
        </w:rPr>
        <w:t>вищ</w:t>
      </w:r>
      <w:proofErr w:type="spellEnd"/>
      <w:r w:rsidRPr="00E37001">
        <w:rPr>
          <w:rFonts w:ascii="Times New Roman" w:hAnsi="Times New Roman" w:cs="Times New Roman"/>
          <w:sz w:val="28"/>
          <w:szCs w:val="28"/>
        </w:rPr>
        <w:t xml:space="preserve">. </w:t>
      </w:r>
      <w:proofErr w:type="spellStart"/>
      <w:r w:rsidRPr="00E37001">
        <w:rPr>
          <w:rFonts w:ascii="Times New Roman" w:hAnsi="Times New Roman" w:cs="Times New Roman"/>
          <w:sz w:val="28"/>
          <w:szCs w:val="28"/>
        </w:rPr>
        <w:t>навч</w:t>
      </w:r>
      <w:proofErr w:type="spellEnd"/>
      <w:r w:rsidRPr="00E37001">
        <w:rPr>
          <w:rFonts w:ascii="Times New Roman" w:hAnsi="Times New Roman" w:cs="Times New Roman"/>
          <w:sz w:val="28"/>
          <w:szCs w:val="28"/>
        </w:rPr>
        <w:t xml:space="preserve">. </w:t>
      </w:r>
      <w:proofErr w:type="spellStart"/>
      <w:r w:rsidRPr="00E37001">
        <w:rPr>
          <w:rFonts w:ascii="Times New Roman" w:hAnsi="Times New Roman" w:cs="Times New Roman"/>
          <w:sz w:val="28"/>
          <w:szCs w:val="28"/>
        </w:rPr>
        <w:t>закл</w:t>
      </w:r>
      <w:proofErr w:type="spellEnd"/>
      <w:r w:rsidRPr="00E37001">
        <w:rPr>
          <w:rFonts w:ascii="Times New Roman" w:hAnsi="Times New Roman" w:cs="Times New Roman"/>
          <w:sz w:val="28"/>
          <w:szCs w:val="28"/>
        </w:rPr>
        <w:t xml:space="preserve">. /О. </w:t>
      </w:r>
      <w:r w:rsidRPr="00E37001">
        <w:rPr>
          <w:rFonts w:ascii="Times New Roman" w:hAnsi="Times New Roman" w:cs="Times New Roman"/>
          <w:sz w:val="28"/>
          <w:szCs w:val="28"/>
        </w:rPr>
        <w:lastRenderedPageBreak/>
        <w:t xml:space="preserve">Кириченко, І. </w:t>
      </w:r>
      <w:proofErr w:type="spellStart"/>
      <w:r w:rsidRPr="00E37001">
        <w:rPr>
          <w:rFonts w:ascii="Times New Roman" w:hAnsi="Times New Roman" w:cs="Times New Roman"/>
          <w:sz w:val="28"/>
          <w:szCs w:val="28"/>
        </w:rPr>
        <w:t>Пленко</w:t>
      </w:r>
      <w:proofErr w:type="spellEnd"/>
      <w:r w:rsidRPr="00E37001">
        <w:rPr>
          <w:rFonts w:ascii="Times New Roman" w:hAnsi="Times New Roman" w:cs="Times New Roman"/>
          <w:sz w:val="28"/>
          <w:szCs w:val="28"/>
        </w:rPr>
        <w:t xml:space="preserve">, А. </w:t>
      </w:r>
      <w:proofErr w:type="spellStart"/>
      <w:r w:rsidRPr="00E37001">
        <w:rPr>
          <w:rFonts w:ascii="Times New Roman" w:hAnsi="Times New Roman" w:cs="Times New Roman"/>
          <w:sz w:val="28"/>
          <w:szCs w:val="28"/>
        </w:rPr>
        <w:t>Ятченко</w:t>
      </w:r>
      <w:proofErr w:type="spellEnd"/>
      <w:r w:rsidRPr="00E37001">
        <w:rPr>
          <w:rFonts w:ascii="Times New Roman" w:hAnsi="Times New Roman" w:cs="Times New Roman"/>
          <w:sz w:val="28"/>
          <w:szCs w:val="28"/>
        </w:rPr>
        <w:t>. - К.:Основи, 2009.-671с.</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r w:rsidRPr="00E37001">
        <w:rPr>
          <w:rFonts w:ascii="Times New Roman" w:eastAsia="Times New Roman" w:hAnsi="Times New Roman" w:cs="Times New Roman"/>
          <w:sz w:val="28"/>
          <w:szCs w:val="28"/>
        </w:rPr>
        <w:t xml:space="preserve">Банківський менеджмент: </w:t>
      </w:r>
      <w:proofErr w:type="spellStart"/>
      <w:r w:rsidRPr="00E37001">
        <w:rPr>
          <w:rFonts w:ascii="Times New Roman" w:eastAsia="Times New Roman" w:hAnsi="Times New Roman" w:cs="Times New Roman"/>
          <w:sz w:val="28"/>
          <w:szCs w:val="28"/>
        </w:rPr>
        <w:t>Навч</w:t>
      </w:r>
      <w:proofErr w:type="spellEnd"/>
      <w:r w:rsidRPr="00E37001">
        <w:rPr>
          <w:rFonts w:ascii="Times New Roman" w:eastAsia="Times New Roman" w:hAnsi="Times New Roman" w:cs="Times New Roman"/>
          <w:sz w:val="28"/>
          <w:szCs w:val="28"/>
        </w:rPr>
        <w:t xml:space="preserve">. посібник / За ред. О.А. Кириченка. – К.: Знання-Прес, 2002. – 438 с. </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r w:rsidRPr="00E37001">
        <w:rPr>
          <w:rFonts w:ascii="Times New Roman" w:hAnsi="Times New Roman" w:cs="Times New Roman"/>
          <w:sz w:val="28"/>
          <w:szCs w:val="28"/>
        </w:rPr>
        <w:t>Банківські операції: Підручник / За ред. А.М. Мороза. – К.: КНЕУ, 2008. – 384 с.</w:t>
      </w:r>
    </w:p>
    <w:p w:rsidR="00307A06" w:rsidRPr="00E37001" w:rsidRDefault="00307A06" w:rsidP="00E37001">
      <w:pPr>
        <w:pStyle w:val="a4"/>
        <w:numPr>
          <w:ilvl w:val="0"/>
          <w:numId w:val="56"/>
        </w:numPr>
        <w:shd w:val="clear" w:color="auto" w:fill="FFFFFF"/>
        <w:autoSpaceDE w:val="0"/>
        <w:autoSpaceDN w:val="0"/>
        <w:adjustRightInd w:val="0"/>
        <w:spacing w:before="0" w:line="360" w:lineRule="auto"/>
        <w:ind w:left="0" w:firstLine="567"/>
        <w:contextualSpacing/>
        <w:jc w:val="both"/>
        <w:rPr>
          <w:color w:val="000000"/>
        </w:rPr>
      </w:pPr>
      <w:proofErr w:type="spellStart"/>
      <w:r w:rsidRPr="00E37001">
        <w:rPr>
          <w:color w:val="000000"/>
        </w:rPr>
        <w:t>Білобловський</w:t>
      </w:r>
      <w:proofErr w:type="spellEnd"/>
      <w:r w:rsidRPr="00E37001">
        <w:rPr>
          <w:color w:val="000000"/>
        </w:rPr>
        <w:t xml:space="preserve"> С. Окремі аспекти системи оцінки кредитного ризику банками. // Економіка. Фінанси. Право. – 2002 – № 3 – с. 30.</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Борщ Л.М. Банківська система України в інвестиційній діяльності // Фінанси України. — 2003.- № 5.-C. 5-12.</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Бугель Ю. Основні методологічні шляхи вдосконалення сучасних методів оцінки кредитоспроможності позичальника/ Ю. Бугель // Банківська справа. – 2007. – №4. – С. 54-59.</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t>Бушуєва</w:t>
      </w:r>
      <w:proofErr w:type="spellEnd"/>
      <w:r w:rsidRPr="00E37001">
        <w:rPr>
          <w:rFonts w:ascii="Times New Roman" w:hAnsi="Times New Roman" w:cs="Times New Roman"/>
          <w:color w:val="000000"/>
          <w:sz w:val="28"/>
          <w:szCs w:val="28"/>
        </w:rPr>
        <w:t xml:space="preserve"> І., Дем’яненко В. Алгоритм диверсифікації кредитів комерційних банків // Банківська справа. – 2000. –№6. – с.20</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Бюлетень Національного банку України. – 2010. - №1. – С.45,51.</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Васюренко</w:t>
      </w:r>
      <w:proofErr w:type="spellEnd"/>
      <w:r w:rsidRPr="00E37001">
        <w:rPr>
          <w:b w:val="0"/>
          <w:spacing w:val="0"/>
          <w:szCs w:val="28"/>
        </w:rPr>
        <w:t xml:space="preserve"> О. В. Банківські операції: </w:t>
      </w:r>
      <w:proofErr w:type="spellStart"/>
      <w:r w:rsidRPr="00E37001">
        <w:rPr>
          <w:b w:val="0"/>
          <w:spacing w:val="0"/>
          <w:szCs w:val="28"/>
        </w:rPr>
        <w:t>Навч</w:t>
      </w:r>
      <w:proofErr w:type="spellEnd"/>
      <w:r w:rsidRPr="00E37001">
        <w:rPr>
          <w:b w:val="0"/>
          <w:spacing w:val="0"/>
          <w:szCs w:val="28"/>
        </w:rPr>
        <w:t xml:space="preserve">. </w:t>
      </w:r>
      <w:proofErr w:type="spellStart"/>
      <w:r w:rsidRPr="00E37001">
        <w:rPr>
          <w:b w:val="0"/>
          <w:spacing w:val="0"/>
          <w:szCs w:val="28"/>
        </w:rPr>
        <w:t>посіб</w:t>
      </w:r>
      <w:proofErr w:type="spellEnd"/>
      <w:r w:rsidRPr="00E37001">
        <w:rPr>
          <w:b w:val="0"/>
          <w:spacing w:val="0"/>
          <w:szCs w:val="28"/>
        </w:rPr>
        <w:t>. – К.: Т-во “Знання”, КОО, - 2000. – 243 с.</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proofErr w:type="spellStart"/>
      <w:r w:rsidRPr="00E37001">
        <w:rPr>
          <w:rFonts w:ascii="Times New Roman" w:hAnsi="Times New Roman" w:cs="Times New Roman"/>
          <w:sz w:val="28"/>
          <w:szCs w:val="28"/>
        </w:rPr>
        <w:t>Васюренко</w:t>
      </w:r>
      <w:proofErr w:type="spellEnd"/>
      <w:r w:rsidRPr="00E37001">
        <w:rPr>
          <w:rFonts w:ascii="Times New Roman" w:hAnsi="Times New Roman" w:cs="Times New Roman"/>
          <w:sz w:val="28"/>
          <w:szCs w:val="28"/>
        </w:rPr>
        <w:t xml:space="preserve"> О.В. Банківський менеджмент. – К.: Видавничий центр «Академія», 2007.-320с.</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proofErr w:type="spellStart"/>
      <w:r w:rsidRPr="00E37001">
        <w:rPr>
          <w:rFonts w:ascii="Times New Roman" w:hAnsi="Times New Roman" w:cs="Times New Roman"/>
          <w:sz w:val="28"/>
          <w:szCs w:val="28"/>
        </w:rPr>
        <w:t>Васюренко</w:t>
      </w:r>
      <w:proofErr w:type="spellEnd"/>
      <w:r w:rsidRPr="00E37001">
        <w:rPr>
          <w:rFonts w:ascii="Times New Roman" w:hAnsi="Times New Roman" w:cs="Times New Roman"/>
          <w:sz w:val="28"/>
          <w:szCs w:val="28"/>
        </w:rPr>
        <w:t xml:space="preserve"> О.В., Волохата К.О. Економічний аналіз діяльності комерційних банків: </w:t>
      </w:r>
      <w:proofErr w:type="spellStart"/>
      <w:r w:rsidRPr="00E37001">
        <w:rPr>
          <w:rFonts w:ascii="Times New Roman" w:hAnsi="Times New Roman" w:cs="Times New Roman"/>
          <w:sz w:val="28"/>
          <w:szCs w:val="28"/>
        </w:rPr>
        <w:t>Навч</w:t>
      </w:r>
      <w:proofErr w:type="spellEnd"/>
      <w:r w:rsidRPr="00E37001">
        <w:rPr>
          <w:rFonts w:ascii="Times New Roman" w:hAnsi="Times New Roman" w:cs="Times New Roman"/>
          <w:sz w:val="28"/>
          <w:szCs w:val="28"/>
        </w:rPr>
        <w:t xml:space="preserve">. </w:t>
      </w:r>
      <w:proofErr w:type="spellStart"/>
      <w:r w:rsidRPr="00E37001">
        <w:rPr>
          <w:rFonts w:ascii="Times New Roman" w:hAnsi="Times New Roman" w:cs="Times New Roman"/>
          <w:sz w:val="28"/>
          <w:szCs w:val="28"/>
        </w:rPr>
        <w:t>посіб.-К</w:t>
      </w:r>
      <w:proofErr w:type="spellEnd"/>
      <w:r w:rsidRPr="00E37001">
        <w:rPr>
          <w:rFonts w:ascii="Times New Roman" w:hAnsi="Times New Roman" w:cs="Times New Roman"/>
          <w:sz w:val="28"/>
          <w:szCs w:val="28"/>
        </w:rPr>
        <w:t xml:space="preserve">.: Знання, 2006.-463с. </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proofErr w:type="spellStart"/>
      <w:r w:rsidRPr="00E37001">
        <w:rPr>
          <w:rFonts w:ascii="Times New Roman" w:eastAsia="Times New Roman" w:hAnsi="Times New Roman" w:cs="Times New Roman"/>
          <w:sz w:val="28"/>
          <w:szCs w:val="28"/>
        </w:rPr>
        <w:t>Веселовський</w:t>
      </w:r>
      <w:proofErr w:type="spellEnd"/>
      <w:r w:rsidRPr="00E37001">
        <w:rPr>
          <w:rFonts w:ascii="Times New Roman" w:eastAsia="Times New Roman" w:hAnsi="Times New Roman" w:cs="Times New Roman"/>
          <w:sz w:val="28"/>
          <w:szCs w:val="28"/>
        </w:rPr>
        <w:t xml:space="preserve"> А. "Удосконалення нагляду за діяльністю комерційних банків": Вісник НБУ, лютий 1997 р.</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Вітлінський</w:t>
      </w:r>
      <w:proofErr w:type="spellEnd"/>
      <w:r w:rsidRPr="00E37001">
        <w:rPr>
          <w:b w:val="0"/>
          <w:spacing w:val="0"/>
          <w:szCs w:val="28"/>
        </w:rPr>
        <w:t xml:space="preserve"> В. Концепція стратегії кредитного ризику // Банківська справа. – 2000. – №1. – С. 13.</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t>Вітлінський</w:t>
      </w:r>
      <w:proofErr w:type="spellEnd"/>
      <w:r w:rsidRPr="00E37001">
        <w:rPr>
          <w:rFonts w:ascii="Times New Roman" w:hAnsi="Times New Roman" w:cs="Times New Roman"/>
          <w:color w:val="000000"/>
          <w:sz w:val="28"/>
          <w:szCs w:val="28"/>
        </w:rPr>
        <w:t xml:space="preserve"> В.В., Наконечний С.І. Ризик у менеджменті. – К.: Борисфен – М, 1996. – 226с.</w:t>
      </w:r>
    </w:p>
    <w:p w:rsidR="00307A06" w:rsidRPr="00E37001" w:rsidRDefault="00307A06" w:rsidP="00E37001">
      <w:pPr>
        <w:pStyle w:val="a4"/>
        <w:numPr>
          <w:ilvl w:val="0"/>
          <w:numId w:val="56"/>
        </w:numPr>
        <w:shd w:val="clear" w:color="auto" w:fill="FFFFFF"/>
        <w:autoSpaceDE w:val="0"/>
        <w:autoSpaceDN w:val="0"/>
        <w:adjustRightInd w:val="0"/>
        <w:spacing w:before="0" w:line="360" w:lineRule="auto"/>
        <w:ind w:left="0" w:firstLine="567"/>
        <w:contextualSpacing/>
        <w:jc w:val="both"/>
        <w:rPr>
          <w:color w:val="000000"/>
        </w:rPr>
      </w:pPr>
      <w:r w:rsidRPr="00E37001">
        <w:rPr>
          <w:color w:val="000000"/>
        </w:rPr>
        <w:t xml:space="preserve">Вовк В.Я., </w:t>
      </w:r>
      <w:proofErr w:type="spellStart"/>
      <w:r w:rsidRPr="00E37001">
        <w:rPr>
          <w:color w:val="000000"/>
        </w:rPr>
        <w:t>Хмеленко</w:t>
      </w:r>
      <w:proofErr w:type="spellEnd"/>
      <w:r w:rsidRPr="00E37001">
        <w:rPr>
          <w:color w:val="000000"/>
        </w:rPr>
        <w:t xml:space="preserve"> О.В. Кредитування і контроль: </w:t>
      </w:r>
      <w:proofErr w:type="spellStart"/>
      <w:r w:rsidRPr="00E37001">
        <w:rPr>
          <w:color w:val="000000"/>
        </w:rPr>
        <w:t>Навч</w:t>
      </w:r>
      <w:proofErr w:type="spellEnd"/>
      <w:r w:rsidRPr="00E37001">
        <w:rPr>
          <w:color w:val="000000"/>
        </w:rPr>
        <w:t xml:space="preserve">. </w:t>
      </w:r>
      <w:proofErr w:type="spellStart"/>
      <w:r w:rsidRPr="00E37001">
        <w:rPr>
          <w:color w:val="000000"/>
        </w:rPr>
        <w:t>Посіб</w:t>
      </w:r>
      <w:proofErr w:type="spellEnd"/>
      <w:r w:rsidRPr="00E37001">
        <w:rPr>
          <w:color w:val="000000"/>
        </w:rPr>
        <w:t>. – К.: Знання, 2008. – 463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 xml:space="preserve">Вовчак О. Д. Банківська справа в Україні: стан, проблеми та </w:t>
      </w:r>
      <w:r w:rsidRPr="00E37001">
        <w:rPr>
          <w:b w:val="0"/>
          <w:spacing w:val="0"/>
          <w:szCs w:val="28"/>
        </w:rPr>
        <w:lastRenderedPageBreak/>
        <w:t>перспективи розвитку // Фінанси України. - 2003. - № 10. - С. 118 – 125.</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Вожжов</w:t>
      </w:r>
      <w:proofErr w:type="spellEnd"/>
      <w:r w:rsidRPr="00E37001">
        <w:rPr>
          <w:b w:val="0"/>
          <w:spacing w:val="0"/>
          <w:szCs w:val="28"/>
        </w:rPr>
        <w:t xml:space="preserve"> А. П. Формування ресурсів комерційного банку // Фінанси України. 2003. - № 1. - С. 116 – 129.</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Вожжов</w:t>
      </w:r>
      <w:proofErr w:type="spellEnd"/>
      <w:r w:rsidRPr="00E37001">
        <w:rPr>
          <w:b w:val="0"/>
          <w:spacing w:val="0"/>
          <w:szCs w:val="28"/>
        </w:rPr>
        <w:t xml:space="preserve"> А., Клименко О. Капітал банку як складова ресурсів банківської системи // Банківська справа. - 2003. - № 4 - С. 83 – 95.</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Волошин І. Консервативний підхід до формування резервів для малих кредитних портфелів // Вісник НБУ. –2000. –№7. – с. 13</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Волошин І.В. Визначення лімітів у операціях кредитування за допомогою коефіцієнтного аналізу і повної моделі випадкового функціонуючого банку // Банківська справа. – 2000. – №4. – с. 36</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Волошин І.В. Вимірювання концептуальних ризиків за допомогою теорії портфелів // Вісник НБУ. – 1999. – №4. –с. 23</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Волошин І.В. Розрахунок резервів відшкодування можливих втрат за кредитними операціями за допомогою коефіцієнтного аналізу і повної моделі банку // Вісник НБУ. –1999. –№9. – с. 61</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Голуб В. Концептуальні підходи до управління проблемними кредитами в комерційних банках // Вісник НБУ. – 2000. –№2. –с. 56</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Голуб В. Методичні аспекти ціноутворення на кредитні послуги банку // Вісник НБУ. – №7. – 2002. –с.48</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Гроші та кредит : Підручник / За ред. професора Б.С. </w:t>
      </w:r>
      <w:proofErr w:type="spellStart"/>
      <w:r w:rsidRPr="00E37001">
        <w:rPr>
          <w:sz w:val="28"/>
          <w:szCs w:val="28"/>
        </w:rPr>
        <w:t>Івасіва</w:t>
      </w:r>
      <w:proofErr w:type="spellEnd"/>
      <w:r w:rsidRPr="00E37001">
        <w:rPr>
          <w:sz w:val="28"/>
          <w:szCs w:val="28"/>
        </w:rPr>
        <w:t xml:space="preserve">. - Тернопіль: Карт-бланш, 2000. - 510 с. </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Дзюблюк</w:t>
      </w:r>
      <w:proofErr w:type="spellEnd"/>
      <w:r w:rsidRPr="00E37001">
        <w:rPr>
          <w:b w:val="0"/>
          <w:spacing w:val="0"/>
          <w:szCs w:val="28"/>
        </w:rPr>
        <w:t xml:space="preserve"> О. Проблеми підвищення ефективності кредитних операцій комерційних банків // Фінанси </w:t>
      </w:r>
      <w:proofErr w:type="spellStart"/>
      <w:r w:rsidRPr="00E37001">
        <w:rPr>
          <w:b w:val="0"/>
          <w:spacing w:val="0"/>
          <w:szCs w:val="28"/>
        </w:rPr>
        <w:t>України.-</w:t>
      </w:r>
      <w:proofErr w:type="spellEnd"/>
      <w:r w:rsidRPr="00E37001">
        <w:rPr>
          <w:b w:val="0"/>
          <w:spacing w:val="0"/>
          <w:szCs w:val="28"/>
        </w:rPr>
        <w:t xml:space="preserve"> 2000. - №9. – С. 55.</w:t>
      </w:r>
    </w:p>
    <w:p w:rsidR="00307A06" w:rsidRPr="00E37001" w:rsidRDefault="00307A06" w:rsidP="00E37001">
      <w:pPr>
        <w:pStyle w:val="a9"/>
        <w:numPr>
          <w:ilvl w:val="0"/>
          <w:numId w:val="56"/>
        </w:numPr>
        <w:spacing w:line="360" w:lineRule="auto"/>
        <w:ind w:left="0" w:firstLine="567"/>
        <w:contextualSpacing/>
        <w:jc w:val="both"/>
        <w:rPr>
          <w:sz w:val="28"/>
          <w:szCs w:val="28"/>
        </w:rPr>
      </w:pPr>
      <w:proofErr w:type="spellStart"/>
      <w:r w:rsidRPr="00E37001">
        <w:rPr>
          <w:sz w:val="28"/>
          <w:szCs w:val="28"/>
        </w:rPr>
        <w:t>Дзюблюк</w:t>
      </w:r>
      <w:proofErr w:type="spellEnd"/>
      <w:r w:rsidRPr="00E37001">
        <w:rPr>
          <w:sz w:val="28"/>
          <w:szCs w:val="28"/>
        </w:rPr>
        <w:t xml:space="preserve"> О.В. Оцінка ефективності кредитних вкладень комерційних банків // Фінанси </w:t>
      </w:r>
      <w:proofErr w:type="spellStart"/>
      <w:r w:rsidRPr="00E37001">
        <w:rPr>
          <w:sz w:val="28"/>
          <w:szCs w:val="28"/>
        </w:rPr>
        <w:t>України.-</w:t>
      </w:r>
      <w:proofErr w:type="spellEnd"/>
      <w:r w:rsidRPr="00E37001">
        <w:rPr>
          <w:sz w:val="28"/>
          <w:szCs w:val="28"/>
        </w:rPr>
        <w:t xml:space="preserve"> 2000. - № 9. - С.149-155 </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Дьомкіна</w:t>
      </w:r>
      <w:proofErr w:type="spellEnd"/>
      <w:r w:rsidRPr="00E37001">
        <w:rPr>
          <w:b w:val="0"/>
          <w:spacing w:val="0"/>
          <w:szCs w:val="28"/>
        </w:rPr>
        <w:t xml:space="preserve"> А. Інвестування економіки України через систему комерційних банків // Банківська справа. – 1999. - №5. </w:t>
      </w:r>
      <w:r w:rsidRPr="00E37001">
        <w:rPr>
          <w:b w:val="0"/>
          <w:bCs/>
          <w:spacing w:val="0"/>
          <w:szCs w:val="28"/>
        </w:rPr>
        <w:t>–C</w:t>
      </w:r>
      <w:r w:rsidRPr="00E37001">
        <w:rPr>
          <w:b w:val="0"/>
          <w:spacing w:val="0"/>
          <w:szCs w:val="28"/>
        </w:rPr>
        <w:t>.48-52.</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Єрмоленко Г.Г., Кортикова Т.В. Аналіз кредитних операцій банків // Фінанси України. - 2001. - № 3. - С.121-130 с. </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proofErr w:type="spellStart"/>
      <w:r w:rsidRPr="00E37001">
        <w:rPr>
          <w:rFonts w:ascii="Times New Roman" w:hAnsi="Times New Roman" w:cs="Times New Roman"/>
          <w:sz w:val="28"/>
          <w:szCs w:val="28"/>
        </w:rPr>
        <w:lastRenderedPageBreak/>
        <w:t>Заржицький</w:t>
      </w:r>
      <w:proofErr w:type="spellEnd"/>
      <w:r w:rsidRPr="00E37001">
        <w:rPr>
          <w:rFonts w:ascii="Times New Roman" w:hAnsi="Times New Roman" w:cs="Times New Roman"/>
          <w:sz w:val="28"/>
          <w:szCs w:val="28"/>
        </w:rPr>
        <w:t xml:space="preserve"> О., </w:t>
      </w:r>
      <w:proofErr w:type="spellStart"/>
      <w:r w:rsidRPr="00E37001">
        <w:rPr>
          <w:rFonts w:ascii="Times New Roman" w:hAnsi="Times New Roman" w:cs="Times New Roman"/>
          <w:sz w:val="28"/>
          <w:szCs w:val="28"/>
        </w:rPr>
        <w:t>Левченко</w:t>
      </w:r>
      <w:proofErr w:type="spellEnd"/>
      <w:r w:rsidRPr="00E37001">
        <w:rPr>
          <w:rFonts w:ascii="Times New Roman" w:hAnsi="Times New Roman" w:cs="Times New Roman"/>
          <w:sz w:val="28"/>
          <w:szCs w:val="28"/>
        </w:rPr>
        <w:t xml:space="preserve"> А. Застава як засіб забезпечення виконання зобов’язань. //Право України. – 1996. – 7. – с.35-36.</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Заруба</w:t>
      </w:r>
      <w:proofErr w:type="spellEnd"/>
      <w:r w:rsidRPr="00E37001">
        <w:rPr>
          <w:b w:val="0"/>
          <w:spacing w:val="0"/>
          <w:szCs w:val="28"/>
        </w:rPr>
        <w:t xml:space="preserve"> О. Д. Банківський менеджмент та аудит. – К.: “Вид-во </w:t>
      </w:r>
      <w:proofErr w:type="spellStart"/>
      <w:r w:rsidRPr="00E37001">
        <w:rPr>
          <w:b w:val="0"/>
          <w:spacing w:val="0"/>
          <w:szCs w:val="28"/>
        </w:rPr>
        <w:t>Лібра</w:t>
      </w:r>
      <w:proofErr w:type="spellEnd"/>
      <w:r w:rsidRPr="00E37001">
        <w:rPr>
          <w:b w:val="0"/>
          <w:spacing w:val="0"/>
          <w:szCs w:val="28"/>
        </w:rPr>
        <w:t>” ТОВ, 1996. – 224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Заруба</w:t>
      </w:r>
      <w:proofErr w:type="spellEnd"/>
      <w:r w:rsidRPr="00E37001">
        <w:rPr>
          <w:b w:val="0"/>
          <w:spacing w:val="0"/>
          <w:szCs w:val="28"/>
        </w:rPr>
        <w:t xml:space="preserve"> О. Д. Фінансовий менеджмент у банках. – К.: Товариство “Знання”, КОО, 1997. – 172 с.</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Івасів Б., </w:t>
      </w:r>
      <w:proofErr w:type="spellStart"/>
      <w:r w:rsidRPr="00E37001">
        <w:rPr>
          <w:rFonts w:ascii="Times New Roman" w:hAnsi="Times New Roman" w:cs="Times New Roman"/>
          <w:sz w:val="28"/>
          <w:szCs w:val="28"/>
        </w:rPr>
        <w:t>Клапків</w:t>
      </w:r>
      <w:proofErr w:type="spellEnd"/>
      <w:r w:rsidRPr="00E37001">
        <w:rPr>
          <w:rFonts w:ascii="Times New Roman" w:hAnsi="Times New Roman" w:cs="Times New Roman"/>
          <w:sz w:val="28"/>
          <w:szCs w:val="28"/>
        </w:rPr>
        <w:t xml:space="preserve"> М. Економічний зміст та форми страхування кредитів. //Вісник НБУ. – 1998. – 5. – с.41-47.</w:t>
      </w:r>
    </w:p>
    <w:p w:rsidR="00307A06" w:rsidRPr="00E37001" w:rsidRDefault="00307A06" w:rsidP="00E37001">
      <w:pPr>
        <w:pStyle w:val="a4"/>
        <w:numPr>
          <w:ilvl w:val="0"/>
          <w:numId w:val="56"/>
        </w:numPr>
        <w:shd w:val="clear" w:color="auto" w:fill="FFFFFF"/>
        <w:autoSpaceDE w:val="0"/>
        <w:autoSpaceDN w:val="0"/>
        <w:adjustRightInd w:val="0"/>
        <w:spacing w:before="0" w:line="360" w:lineRule="auto"/>
        <w:ind w:left="0" w:firstLine="567"/>
        <w:contextualSpacing/>
        <w:jc w:val="both"/>
        <w:rPr>
          <w:color w:val="000000"/>
        </w:rPr>
      </w:pPr>
      <w:r w:rsidRPr="00E37001">
        <w:rPr>
          <w:color w:val="000000"/>
        </w:rPr>
        <w:t>Інструкція про регулювання діяльності банків в Україні: Постанова Правління НБУ № 368 від 28.08.2001.</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Карагодова</w:t>
      </w:r>
      <w:proofErr w:type="spellEnd"/>
      <w:r w:rsidRPr="00E37001">
        <w:rPr>
          <w:b w:val="0"/>
          <w:spacing w:val="0"/>
          <w:szCs w:val="28"/>
        </w:rPr>
        <w:t xml:space="preserve"> О., </w:t>
      </w:r>
      <w:proofErr w:type="spellStart"/>
      <w:r w:rsidRPr="00E37001">
        <w:rPr>
          <w:b w:val="0"/>
          <w:spacing w:val="0"/>
          <w:szCs w:val="28"/>
        </w:rPr>
        <w:t>Распутна</w:t>
      </w:r>
      <w:proofErr w:type="spellEnd"/>
      <w:r w:rsidRPr="00E37001">
        <w:rPr>
          <w:b w:val="0"/>
          <w:spacing w:val="0"/>
          <w:szCs w:val="28"/>
        </w:rPr>
        <w:t xml:space="preserve"> Л. Проблеми оптимізації кредитного портфеля комерційного банку // Банківська справа. - 2000. - № 2. - С. 40 – 42.</w:t>
      </w:r>
    </w:p>
    <w:p w:rsidR="00307A06" w:rsidRPr="00E37001" w:rsidRDefault="00307A06" w:rsidP="00E37001">
      <w:pPr>
        <w:pStyle w:val="a9"/>
        <w:numPr>
          <w:ilvl w:val="0"/>
          <w:numId w:val="56"/>
        </w:numPr>
        <w:spacing w:line="360" w:lineRule="auto"/>
        <w:ind w:left="0" w:firstLine="567"/>
        <w:contextualSpacing/>
        <w:jc w:val="both"/>
        <w:rPr>
          <w:sz w:val="28"/>
          <w:szCs w:val="28"/>
        </w:rPr>
      </w:pPr>
      <w:proofErr w:type="spellStart"/>
      <w:r w:rsidRPr="00E37001">
        <w:rPr>
          <w:sz w:val="28"/>
          <w:szCs w:val="28"/>
        </w:rPr>
        <w:t>Карманов</w:t>
      </w:r>
      <w:proofErr w:type="spellEnd"/>
      <w:r w:rsidRPr="00E37001">
        <w:rPr>
          <w:sz w:val="28"/>
          <w:szCs w:val="28"/>
        </w:rPr>
        <w:t xml:space="preserve"> Є.В. Банківське право України: </w:t>
      </w:r>
      <w:proofErr w:type="spellStart"/>
      <w:r w:rsidRPr="00E37001">
        <w:rPr>
          <w:sz w:val="28"/>
          <w:szCs w:val="28"/>
        </w:rPr>
        <w:t>Навч</w:t>
      </w:r>
      <w:proofErr w:type="spellEnd"/>
      <w:r w:rsidRPr="00E37001">
        <w:rPr>
          <w:sz w:val="28"/>
          <w:szCs w:val="28"/>
        </w:rPr>
        <w:t>. посібник/ Є.В.</w:t>
      </w:r>
      <w:proofErr w:type="spellStart"/>
      <w:r w:rsidRPr="00E37001">
        <w:rPr>
          <w:sz w:val="28"/>
          <w:szCs w:val="28"/>
        </w:rPr>
        <w:t>Карманов</w:t>
      </w:r>
      <w:proofErr w:type="spellEnd"/>
      <w:r w:rsidRPr="00E37001">
        <w:rPr>
          <w:sz w:val="28"/>
          <w:szCs w:val="28"/>
        </w:rPr>
        <w:t xml:space="preserve">. </w:t>
      </w:r>
      <w:proofErr w:type="spellStart"/>
      <w:r w:rsidRPr="00E37001">
        <w:rPr>
          <w:sz w:val="28"/>
          <w:szCs w:val="28"/>
        </w:rPr>
        <w:t>-Харків</w:t>
      </w:r>
      <w:proofErr w:type="spellEnd"/>
      <w:r w:rsidRPr="00E37001">
        <w:rPr>
          <w:sz w:val="28"/>
          <w:szCs w:val="28"/>
        </w:rPr>
        <w:t xml:space="preserve">: </w:t>
      </w:r>
      <w:proofErr w:type="spellStart"/>
      <w:r w:rsidRPr="00E37001">
        <w:rPr>
          <w:sz w:val="28"/>
          <w:szCs w:val="28"/>
        </w:rPr>
        <w:t>Консум</w:t>
      </w:r>
      <w:proofErr w:type="spellEnd"/>
      <w:r w:rsidRPr="00E37001">
        <w:rPr>
          <w:sz w:val="28"/>
          <w:szCs w:val="28"/>
        </w:rPr>
        <w:t xml:space="preserve">, 2000. -464 с. </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t>Кіндрацька</w:t>
      </w:r>
      <w:proofErr w:type="spellEnd"/>
      <w:r w:rsidRPr="00E37001">
        <w:rPr>
          <w:rFonts w:ascii="Times New Roman" w:hAnsi="Times New Roman" w:cs="Times New Roman"/>
          <w:color w:val="000000"/>
          <w:sz w:val="28"/>
          <w:szCs w:val="28"/>
        </w:rPr>
        <w:t xml:space="preserve"> Л.М. Бухгалтерський облік і прийняття рішень в банках: Навчальний посібник для самостійного вивчення дисципліни – К.: КНЕУ, 2000. – 636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Клименко Т. Кредитна діяльність комерційних банків України // Економіка України. – 2000. - №3. – С. 34.</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Коваленко В.В. Особливості кредитування підприємств і організацій в сучасних умовах // Фінанси України. – 1998. – 10. – с.27 – 30.</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Ковбасюк М.Р. Економічний аналіз діяльності комерційних банків і підприємств: Навчальний посібник. - К.: Скарби, 2001. - 336 с. </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Козьменко</w:t>
      </w:r>
      <w:proofErr w:type="spellEnd"/>
      <w:r w:rsidRPr="00E37001">
        <w:rPr>
          <w:b w:val="0"/>
          <w:spacing w:val="0"/>
          <w:szCs w:val="28"/>
        </w:rPr>
        <w:t xml:space="preserve"> С. М., Шпиг Ф. І., Волошко І. В. Стратегічний менеджмент банку. – Суми: ВТД “Університетська книга”, 2003. – 734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Корнієнко Т. В. Стратегічне планування діяльності банку. // Фінанси України. – 2003. - №4. – С. 110 – 114.</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Корнієнко Т. В. Управління ризиками як складова управління активами і пасивами // Вісник Національного Банку України. - 2003. - № 6. - С. 28 – 31.</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lastRenderedPageBreak/>
        <w:t>Корнієнко Т. Методика визначення класу позичальника для розрахунку розміру резерву відшкодування втрат за кредитними операціями // Вісник НБУ. –2000. – №3. – с. 35</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proofErr w:type="spellStart"/>
      <w:r w:rsidRPr="00E37001">
        <w:rPr>
          <w:rFonts w:ascii="Times New Roman" w:hAnsi="Times New Roman" w:cs="Times New Roman"/>
          <w:sz w:val="28"/>
          <w:szCs w:val="28"/>
        </w:rPr>
        <w:t>Костюченко</w:t>
      </w:r>
      <w:proofErr w:type="spellEnd"/>
      <w:r w:rsidRPr="00E37001">
        <w:rPr>
          <w:rFonts w:ascii="Times New Roman" w:hAnsi="Times New Roman" w:cs="Times New Roman"/>
          <w:sz w:val="28"/>
          <w:szCs w:val="28"/>
        </w:rPr>
        <w:t xml:space="preserve"> В. Формування резервів для покриття кредитних ризиків.//Вісник НБУ. – 1999. – 2. – с.43-46.</w:t>
      </w:r>
    </w:p>
    <w:p w:rsidR="00307A06" w:rsidRPr="00E37001" w:rsidRDefault="00307A06" w:rsidP="00E37001">
      <w:pPr>
        <w:pStyle w:val="a9"/>
        <w:numPr>
          <w:ilvl w:val="0"/>
          <w:numId w:val="56"/>
        </w:numPr>
        <w:spacing w:line="360" w:lineRule="auto"/>
        <w:ind w:left="0" w:firstLine="567"/>
        <w:contextualSpacing/>
        <w:jc w:val="both"/>
        <w:rPr>
          <w:sz w:val="28"/>
          <w:szCs w:val="28"/>
        </w:rPr>
      </w:pPr>
      <w:proofErr w:type="spellStart"/>
      <w:r w:rsidRPr="00E37001">
        <w:rPr>
          <w:sz w:val="28"/>
          <w:szCs w:val="28"/>
        </w:rPr>
        <w:t>Кочетков</w:t>
      </w:r>
      <w:proofErr w:type="spellEnd"/>
      <w:r w:rsidRPr="00E37001">
        <w:rPr>
          <w:sz w:val="28"/>
          <w:szCs w:val="28"/>
        </w:rPr>
        <w:t xml:space="preserve"> В.М., Омельченко О.В., Основи аналізу діяльності комерційного банку: Навчальний посібник. - 2-е вид - К.: Вид-во Європейського </w:t>
      </w:r>
      <w:proofErr w:type="spellStart"/>
      <w:r w:rsidRPr="00E37001">
        <w:rPr>
          <w:sz w:val="28"/>
          <w:szCs w:val="28"/>
        </w:rPr>
        <w:t>ун-ту</w:t>
      </w:r>
      <w:proofErr w:type="spellEnd"/>
      <w:r w:rsidRPr="00E37001">
        <w:rPr>
          <w:sz w:val="28"/>
          <w:szCs w:val="28"/>
        </w:rPr>
        <w:t xml:space="preserve">, 2003.-96 с. </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Кредитна система України і банківські технології: Навчальний посібник:У 3 кн./ B.C. Стельмах, А.В. </w:t>
      </w:r>
      <w:proofErr w:type="spellStart"/>
      <w:r w:rsidRPr="00E37001">
        <w:rPr>
          <w:sz w:val="28"/>
          <w:szCs w:val="28"/>
        </w:rPr>
        <w:t>Шаповалов</w:t>
      </w:r>
      <w:proofErr w:type="spellEnd"/>
      <w:r w:rsidRPr="00E37001">
        <w:rPr>
          <w:sz w:val="28"/>
          <w:szCs w:val="28"/>
        </w:rPr>
        <w:t xml:space="preserve">, В.Л. </w:t>
      </w:r>
      <w:proofErr w:type="spellStart"/>
      <w:r w:rsidRPr="00E37001">
        <w:rPr>
          <w:sz w:val="28"/>
          <w:szCs w:val="28"/>
        </w:rPr>
        <w:t>Кротюк</w:t>
      </w:r>
      <w:proofErr w:type="spellEnd"/>
      <w:r w:rsidRPr="00E37001">
        <w:rPr>
          <w:sz w:val="28"/>
          <w:szCs w:val="28"/>
        </w:rPr>
        <w:t xml:space="preserve"> та ін.; За </w:t>
      </w:r>
      <w:proofErr w:type="spellStart"/>
      <w:r w:rsidRPr="00E37001">
        <w:rPr>
          <w:sz w:val="28"/>
          <w:szCs w:val="28"/>
        </w:rPr>
        <w:t>заг</w:t>
      </w:r>
      <w:proofErr w:type="spellEnd"/>
      <w:r w:rsidRPr="00E37001">
        <w:rPr>
          <w:sz w:val="28"/>
          <w:szCs w:val="28"/>
        </w:rPr>
        <w:t xml:space="preserve">. ред. д-ра </w:t>
      </w:r>
      <w:proofErr w:type="spellStart"/>
      <w:r w:rsidRPr="00E37001">
        <w:rPr>
          <w:sz w:val="28"/>
          <w:szCs w:val="28"/>
        </w:rPr>
        <w:t>екон.наук</w:t>
      </w:r>
      <w:proofErr w:type="spellEnd"/>
      <w:r w:rsidRPr="00E37001">
        <w:rPr>
          <w:sz w:val="28"/>
          <w:szCs w:val="28"/>
        </w:rPr>
        <w:t xml:space="preserve">, проф. І.В. Сала. - Львів: ЛБІНБУ, 2002. </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bookmarkStart w:id="16" w:name="_Toc293224189"/>
      <w:r w:rsidRPr="00E37001">
        <w:rPr>
          <w:rFonts w:ascii="Times New Roman" w:hAnsi="Times New Roman" w:cs="Times New Roman"/>
          <w:sz w:val="28"/>
          <w:szCs w:val="28"/>
        </w:rPr>
        <w:t xml:space="preserve">Кредитний ризик комерційного банку: </w:t>
      </w:r>
      <w:proofErr w:type="spellStart"/>
      <w:r w:rsidRPr="00E37001">
        <w:rPr>
          <w:rFonts w:ascii="Times New Roman" w:hAnsi="Times New Roman" w:cs="Times New Roman"/>
          <w:sz w:val="28"/>
          <w:szCs w:val="28"/>
        </w:rPr>
        <w:t>Навч</w:t>
      </w:r>
      <w:proofErr w:type="spellEnd"/>
      <w:r w:rsidRPr="00E37001">
        <w:rPr>
          <w:rFonts w:ascii="Times New Roman" w:hAnsi="Times New Roman" w:cs="Times New Roman"/>
          <w:sz w:val="28"/>
          <w:szCs w:val="28"/>
        </w:rPr>
        <w:t xml:space="preserve">. </w:t>
      </w:r>
      <w:proofErr w:type="spellStart"/>
      <w:r w:rsidRPr="00E37001">
        <w:rPr>
          <w:rFonts w:ascii="Times New Roman" w:hAnsi="Times New Roman" w:cs="Times New Roman"/>
          <w:sz w:val="28"/>
          <w:szCs w:val="28"/>
        </w:rPr>
        <w:t>посіб</w:t>
      </w:r>
      <w:proofErr w:type="spellEnd"/>
      <w:r w:rsidRPr="00E37001">
        <w:rPr>
          <w:rFonts w:ascii="Times New Roman" w:hAnsi="Times New Roman" w:cs="Times New Roman"/>
          <w:sz w:val="28"/>
          <w:szCs w:val="28"/>
        </w:rPr>
        <w:t xml:space="preserve">. / В.В. </w:t>
      </w:r>
      <w:proofErr w:type="spellStart"/>
      <w:r w:rsidRPr="00E37001">
        <w:rPr>
          <w:rFonts w:ascii="Times New Roman" w:hAnsi="Times New Roman" w:cs="Times New Roman"/>
          <w:sz w:val="28"/>
          <w:szCs w:val="28"/>
        </w:rPr>
        <w:t>Вітлінський</w:t>
      </w:r>
      <w:proofErr w:type="spellEnd"/>
      <w:r w:rsidRPr="00E37001">
        <w:rPr>
          <w:rFonts w:ascii="Times New Roman" w:hAnsi="Times New Roman" w:cs="Times New Roman"/>
          <w:sz w:val="28"/>
          <w:szCs w:val="28"/>
        </w:rPr>
        <w:t xml:space="preserve">, О.В. </w:t>
      </w:r>
      <w:proofErr w:type="spellStart"/>
      <w:r w:rsidRPr="00E37001">
        <w:rPr>
          <w:rFonts w:ascii="Times New Roman" w:hAnsi="Times New Roman" w:cs="Times New Roman"/>
          <w:sz w:val="28"/>
          <w:szCs w:val="28"/>
        </w:rPr>
        <w:t>Пернарівський</w:t>
      </w:r>
      <w:proofErr w:type="spellEnd"/>
      <w:r w:rsidRPr="00E37001">
        <w:rPr>
          <w:rFonts w:ascii="Times New Roman" w:hAnsi="Times New Roman" w:cs="Times New Roman"/>
          <w:sz w:val="28"/>
          <w:szCs w:val="28"/>
        </w:rPr>
        <w:t xml:space="preserve">, Я.С. Наконечний, Г.І. </w:t>
      </w:r>
      <w:proofErr w:type="spellStart"/>
      <w:r w:rsidRPr="00E37001">
        <w:rPr>
          <w:rFonts w:ascii="Times New Roman" w:hAnsi="Times New Roman" w:cs="Times New Roman"/>
          <w:sz w:val="28"/>
          <w:szCs w:val="28"/>
        </w:rPr>
        <w:t>Великоіваненко</w:t>
      </w:r>
      <w:proofErr w:type="spellEnd"/>
      <w:r w:rsidRPr="00E37001">
        <w:rPr>
          <w:rFonts w:ascii="Times New Roman" w:hAnsi="Times New Roman" w:cs="Times New Roman"/>
          <w:sz w:val="28"/>
          <w:szCs w:val="28"/>
        </w:rPr>
        <w:t xml:space="preserve">; За ред. В.В. </w:t>
      </w:r>
      <w:proofErr w:type="spellStart"/>
      <w:r w:rsidRPr="00E37001">
        <w:rPr>
          <w:rFonts w:ascii="Times New Roman" w:hAnsi="Times New Roman" w:cs="Times New Roman"/>
          <w:sz w:val="28"/>
          <w:szCs w:val="28"/>
        </w:rPr>
        <w:t>Вітлінського</w:t>
      </w:r>
      <w:proofErr w:type="spellEnd"/>
      <w:r w:rsidRPr="00E37001">
        <w:rPr>
          <w:rFonts w:ascii="Times New Roman" w:hAnsi="Times New Roman" w:cs="Times New Roman"/>
          <w:sz w:val="28"/>
          <w:szCs w:val="28"/>
        </w:rPr>
        <w:t>. - К.: Т-во «Знання», КОО, 2000. - 251 с.</w:t>
      </w:r>
      <w:bookmarkEnd w:id="16"/>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t>Кротюк</w:t>
      </w:r>
      <w:proofErr w:type="spellEnd"/>
      <w:r w:rsidRPr="00E37001">
        <w:rPr>
          <w:rFonts w:ascii="Times New Roman" w:hAnsi="Times New Roman" w:cs="Times New Roman"/>
          <w:color w:val="000000"/>
          <w:sz w:val="28"/>
          <w:szCs w:val="28"/>
        </w:rPr>
        <w:t xml:space="preserve"> В. Банківська система України в 2001 році // Вісник НБУ. – 2002. – №3. – с.2.</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Кузнєцова А.Я. Роль комерційного банку у фінансуванні інноваційних проектів підприємницького сектора економіки України // Регіональна економіка . — Львів, ІРД НАН Ук</w:t>
      </w:r>
      <w:r w:rsidRPr="00E37001">
        <w:rPr>
          <w:b w:val="0"/>
          <w:spacing w:val="0"/>
          <w:szCs w:val="28"/>
        </w:rPr>
        <w:softHyphen/>
        <w:t>раїни, 2002. - № 4. - C. 213-214.</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Куценко О. Резерви комерційного банку // Банківська справа . – 1998. – 4-5. – с.36-39.</w:t>
      </w:r>
    </w:p>
    <w:p w:rsidR="00307A06" w:rsidRPr="00E37001" w:rsidRDefault="00307A06" w:rsidP="00E37001">
      <w:pPr>
        <w:pStyle w:val="a9"/>
        <w:numPr>
          <w:ilvl w:val="0"/>
          <w:numId w:val="56"/>
        </w:numPr>
        <w:spacing w:line="360" w:lineRule="auto"/>
        <w:ind w:left="0" w:firstLine="567"/>
        <w:contextualSpacing/>
        <w:jc w:val="both"/>
        <w:rPr>
          <w:sz w:val="28"/>
          <w:szCs w:val="28"/>
        </w:rPr>
      </w:pPr>
      <w:proofErr w:type="spellStart"/>
      <w:r w:rsidRPr="00E37001">
        <w:rPr>
          <w:sz w:val="28"/>
          <w:szCs w:val="28"/>
        </w:rPr>
        <w:t>Лагутін</w:t>
      </w:r>
      <w:proofErr w:type="spellEnd"/>
      <w:r w:rsidRPr="00E37001">
        <w:rPr>
          <w:sz w:val="28"/>
          <w:szCs w:val="28"/>
        </w:rPr>
        <w:t xml:space="preserve"> В.Д. Кредитування: теорія і практика: </w:t>
      </w:r>
      <w:proofErr w:type="spellStart"/>
      <w:r w:rsidRPr="00E37001">
        <w:rPr>
          <w:sz w:val="28"/>
          <w:szCs w:val="28"/>
        </w:rPr>
        <w:t>Навч</w:t>
      </w:r>
      <w:proofErr w:type="spellEnd"/>
      <w:r w:rsidRPr="00E37001">
        <w:rPr>
          <w:sz w:val="28"/>
          <w:szCs w:val="28"/>
        </w:rPr>
        <w:t>. посібник/В.Д.</w:t>
      </w:r>
      <w:proofErr w:type="spellStart"/>
      <w:r w:rsidRPr="00E37001">
        <w:rPr>
          <w:sz w:val="28"/>
          <w:szCs w:val="28"/>
        </w:rPr>
        <w:t>Лагутін</w:t>
      </w:r>
      <w:proofErr w:type="spellEnd"/>
      <w:r w:rsidRPr="00E37001">
        <w:rPr>
          <w:sz w:val="28"/>
          <w:szCs w:val="28"/>
        </w:rPr>
        <w:t xml:space="preserve">. - К.: Т-во "Знання", КОО, 2000. - 215 с. </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proofErr w:type="spellStart"/>
      <w:r w:rsidRPr="00E37001">
        <w:rPr>
          <w:rFonts w:ascii="Times New Roman" w:hAnsi="Times New Roman" w:cs="Times New Roman"/>
          <w:sz w:val="28"/>
          <w:szCs w:val="28"/>
        </w:rPr>
        <w:t>Любунь</w:t>
      </w:r>
      <w:proofErr w:type="spellEnd"/>
      <w:r w:rsidRPr="00E37001">
        <w:rPr>
          <w:rFonts w:ascii="Times New Roman" w:hAnsi="Times New Roman" w:cs="Times New Roman"/>
          <w:sz w:val="28"/>
          <w:szCs w:val="28"/>
        </w:rPr>
        <w:t xml:space="preserve"> О.С., </w:t>
      </w:r>
      <w:proofErr w:type="spellStart"/>
      <w:r w:rsidRPr="00E37001">
        <w:rPr>
          <w:rFonts w:ascii="Times New Roman" w:hAnsi="Times New Roman" w:cs="Times New Roman"/>
          <w:sz w:val="28"/>
          <w:szCs w:val="28"/>
        </w:rPr>
        <w:t>Грушко</w:t>
      </w:r>
      <w:proofErr w:type="spellEnd"/>
      <w:r w:rsidRPr="00E37001">
        <w:rPr>
          <w:rFonts w:ascii="Times New Roman" w:hAnsi="Times New Roman" w:cs="Times New Roman"/>
          <w:sz w:val="28"/>
          <w:szCs w:val="28"/>
        </w:rPr>
        <w:t xml:space="preserve"> В.І. Фінансовий менеджмент у банку: Навчальний посібник для студентів вищих навчальних закладів. – К.: Видавничий Дім </w:t>
      </w:r>
      <w:proofErr w:type="spellStart"/>
      <w:r w:rsidRPr="00E37001">
        <w:rPr>
          <w:rFonts w:ascii="Times New Roman" w:hAnsi="Times New Roman" w:cs="Times New Roman"/>
          <w:sz w:val="28"/>
          <w:szCs w:val="28"/>
        </w:rPr>
        <w:t>„Слово</w:t>
      </w:r>
      <w:proofErr w:type="spellEnd"/>
      <w:r w:rsidRPr="00E37001">
        <w:rPr>
          <w:rFonts w:ascii="Times New Roman" w:hAnsi="Times New Roman" w:cs="Times New Roman"/>
          <w:sz w:val="28"/>
          <w:szCs w:val="28"/>
        </w:rPr>
        <w:t>”, 2004. – 296 с.</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Лютий О.І. Грошово-кредитна політика в умовах перехідної економіки: Монографія/ О.І.Лютий. -К.: </w:t>
      </w:r>
      <w:proofErr w:type="spellStart"/>
      <w:r w:rsidRPr="00E37001">
        <w:rPr>
          <w:sz w:val="28"/>
          <w:szCs w:val="28"/>
        </w:rPr>
        <w:t>Атіка</w:t>
      </w:r>
      <w:proofErr w:type="spellEnd"/>
      <w:r w:rsidRPr="00E37001">
        <w:rPr>
          <w:sz w:val="28"/>
          <w:szCs w:val="28"/>
        </w:rPr>
        <w:t xml:space="preserve">, 2000. - 240 с. </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Олексієнко</w:t>
      </w:r>
      <w:proofErr w:type="spellEnd"/>
      <w:r w:rsidRPr="00E37001">
        <w:rPr>
          <w:b w:val="0"/>
          <w:spacing w:val="0"/>
          <w:szCs w:val="28"/>
        </w:rPr>
        <w:t xml:space="preserve"> С. Управління ризиками в системі банківського менеджменту // Банківська справа. – 1998. - №2. – С.24.</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lastRenderedPageBreak/>
        <w:t xml:space="preserve">Операції комерційних банків. / За ред. В. Т. </w:t>
      </w:r>
      <w:proofErr w:type="spellStart"/>
      <w:r w:rsidRPr="00E37001">
        <w:rPr>
          <w:b w:val="0"/>
          <w:spacing w:val="0"/>
          <w:szCs w:val="28"/>
        </w:rPr>
        <w:t>Коцовської</w:t>
      </w:r>
      <w:proofErr w:type="spellEnd"/>
      <w:r w:rsidRPr="00E37001">
        <w:rPr>
          <w:b w:val="0"/>
          <w:spacing w:val="0"/>
          <w:szCs w:val="28"/>
        </w:rPr>
        <w:t xml:space="preserve">, Т. Р. </w:t>
      </w:r>
      <w:proofErr w:type="spellStart"/>
      <w:r w:rsidRPr="00E37001">
        <w:rPr>
          <w:b w:val="0"/>
          <w:spacing w:val="0"/>
          <w:szCs w:val="28"/>
        </w:rPr>
        <w:t>Ричаківської</w:t>
      </w:r>
      <w:proofErr w:type="spellEnd"/>
      <w:r w:rsidRPr="00E37001">
        <w:rPr>
          <w:b w:val="0"/>
          <w:spacing w:val="0"/>
          <w:szCs w:val="28"/>
        </w:rPr>
        <w:t xml:space="preserve">. – Львів: Центр </w:t>
      </w:r>
      <w:proofErr w:type="spellStart"/>
      <w:r w:rsidRPr="00E37001">
        <w:rPr>
          <w:b w:val="0"/>
          <w:spacing w:val="0"/>
          <w:szCs w:val="28"/>
        </w:rPr>
        <w:t>Европи</w:t>
      </w:r>
      <w:proofErr w:type="spellEnd"/>
      <w:r w:rsidRPr="00E37001">
        <w:rPr>
          <w:b w:val="0"/>
          <w:spacing w:val="0"/>
          <w:szCs w:val="28"/>
        </w:rPr>
        <w:t>, 1997. – 280 с.</w:t>
      </w:r>
    </w:p>
    <w:p w:rsidR="00307A06" w:rsidRPr="00E37001" w:rsidRDefault="00307A06" w:rsidP="00E37001">
      <w:pPr>
        <w:pStyle w:val="a9"/>
        <w:numPr>
          <w:ilvl w:val="0"/>
          <w:numId w:val="56"/>
        </w:numPr>
        <w:spacing w:line="360" w:lineRule="auto"/>
        <w:ind w:left="0" w:firstLine="567"/>
        <w:contextualSpacing/>
        <w:jc w:val="both"/>
        <w:rPr>
          <w:sz w:val="28"/>
          <w:szCs w:val="28"/>
        </w:rPr>
      </w:pPr>
      <w:proofErr w:type="spellStart"/>
      <w:r w:rsidRPr="00E37001">
        <w:rPr>
          <w:sz w:val="28"/>
          <w:szCs w:val="28"/>
        </w:rPr>
        <w:t>Парасій-Вергуненко</w:t>
      </w:r>
      <w:proofErr w:type="spellEnd"/>
      <w:r w:rsidRPr="00E37001">
        <w:rPr>
          <w:sz w:val="28"/>
          <w:szCs w:val="28"/>
        </w:rPr>
        <w:t xml:space="preserve"> І.М. Аналіз банківської діяльності: Навчально-методичний посібник. - К.: КНЕУ, 2003. - 347 с. </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Патрикац</w:t>
      </w:r>
      <w:proofErr w:type="spellEnd"/>
      <w:r w:rsidRPr="00E37001">
        <w:rPr>
          <w:b w:val="0"/>
          <w:spacing w:val="0"/>
          <w:szCs w:val="28"/>
        </w:rPr>
        <w:t xml:space="preserve"> Л., Компанієць. Проблеми та перспективи розвитку банківської системи України //Вісник НБУ, 2002. - №12. – С.20-22.</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t>Попуша</w:t>
      </w:r>
      <w:proofErr w:type="spellEnd"/>
      <w:r w:rsidRPr="00E37001">
        <w:rPr>
          <w:rFonts w:ascii="Times New Roman" w:hAnsi="Times New Roman" w:cs="Times New Roman"/>
          <w:color w:val="000000"/>
          <w:sz w:val="28"/>
          <w:szCs w:val="28"/>
        </w:rPr>
        <w:t xml:space="preserve"> А. Правова основа банківського кредитування // Вісник НБУ. –2000. –№12. – с. 45</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Примостка Л. Методичні аспекти аналізу ефективності управління портфелями комерційних банків. // Банківська справа. – 2000. –№1. – с. 27</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Примостка Л. О. Управління активами і пасивами комерційного банку // Вісник НБУ. – 2003. - № 2. – С. 39 – 43.</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 xml:space="preserve">Примостка Л. О. Фінансовий менеджмент банку: </w:t>
      </w:r>
      <w:proofErr w:type="spellStart"/>
      <w:r w:rsidRPr="00E37001">
        <w:rPr>
          <w:b w:val="0"/>
          <w:spacing w:val="0"/>
          <w:szCs w:val="28"/>
        </w:rPr>
        <w:t>Навч</w:t>
      </w:r>
      <w:proofErr w:type="spellEnd"/>
      <w:r w:rsidRPr="00E37001">
        <w:rPr>
          <w:b w:val="0"/>
          <w:spacing w:val="0"/>
          <w:szCs w:val="28"/>
        </w:rPr>
        <w:t xml:space="preserve">. </w:t>
      </w:r>
      <w:proofErr w:type="spellStart"/>
      <w:r w:rsidRPr="00E37001">
        <w:rPr>
          <w:b w:val="0"/>
          <w:spacing w:val="0"/>
          <w:szCs w:val="28"/>
        </w:rPr>
        <w:t>посіб</w:t>
      </w:r>
      <w:proofErr w:type="spellEnd"/>
      <w:r w:rsidRPr="00E37001">
        <w:rPr>
          <w:b w:val="0"/>
          <w:spacing w:val="0"/>
          <w:szCs w:val="28"/>
        </w:rPr>
        <w:t>. – К.: КНЕУ, 1999. – 280 с.</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r w:rsidRPr="00E37001">
        <w:rPr>
          <w:rFonts w:ascii="Times New Roman" w:hAnsi="Times New Roman" w:cs="Times New Roman"/>
          <w:sz w:val="28"/>
          <w:szCs w:val="28"/>
        </w:rPr>
        <w:t>Примостка Л.О. Фінансовий менеджмент у банку: Підручник. – К.: КНЕУ, 2004. – 468 с.</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Примостка О. О. Аналіз ефективності діяльності комерційних банків // Фінанси України. – 2003. - № 4. – С. 97 – 101.</w:t>
      </w:r>
    </w:p>
    <w:p w:rsidR="00307A06" w:rsidRPr="00E37001" w:rsidRDefault="00307A06" w:rsidP="00E37001">
      <w:pPr>
        <w:pStyle w:val="HTML"/>
        <w:numPr>
          <w:ilvl w:val="0"/>
          <w:numId w:val="56"/>
        </w:numPr>
        <w:spacing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Пшик Б. І. Модель управління активами і пасивами банку // Фінанси активами і пасивами банку // Фінанси України. - 2003. - № 5. - С. 115 – 120.</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proofErr w:type="spellStart"/>
      <w:r w:rsidRPr="00E37001">
        <w:rPr>
          <w:b w:val="0"/>
          <w:spacing w:val="0"/>
          <w:szCs w:val="28"/>
        </w:rPr>
        <w:t>Распутна</w:t>
      </w:r>
      <w:proofErr w:type="spellEnd"/>
      <w:r w:rsidRPr="00E37001">
        <w:rPr>
          <w:b w:val="0"/>
          <w:spacing w:val="0"/>
          <w:szCs w:val="28"/>
        </w:rPr>
        <w:t xml:space="preserve"> Л. Комерційні банки у сфері фінансових послуг України // Банківська справа. – 2000. - № 5. – С. 43 – 45.</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t>Распутна</w:t>
      </w:r>
      <w:proofErr w:type="spellEnd"/>
      <w:r w:rsidRPr="00E37001">
        <w:rPr>
          <w:rFonts w:ascii="Times New Roman" w:hAnsi="Times New Roman" w:cs="Times New Roman"/>
          <w:color w:val="000000"/>
          <w:sz w:val="28"/>
          <w:szCs w:val="28"/>
        </w:rPr>
        <w:t xml:space="preserve"> Л. Формування кредитного портфеля комерційного банку з урахуванням ризику // Банківська справа. – 1999. – №4. –с. 50</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Ревун В.М. Проблеми функціонування комерційних банків // Вісник НБУ. – 1997. – 7. – с. 28-32.</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 xml:space="preserve">Романенко О. Управління активами і пасивами у </w:t>
      </w:r>
      <w:proofErr w:type="spellStart"/>
      <w:r w:rsidRPr="00E37001">
        <w:rPr>
          <w:b w:val="0"/>
          <w:spacing w:val="0"/>
          <w:szCs w:val="28"/>
        </w:rPr>
        <w:t>прцесі</w:t>
      </w:r>
      <w:proofErr w:type="spellEnd"/>
      <w:r w:rsidRPr="00E37001">
        <w:rPr>
          <w:b w:val="0"/>
          <w:spacing w:val="0"/>
          <w:szCs w:val="28"/>
        </w:rPr>
        <w:t xml:space="preserve"> </w:t>
      </w:r>
      <w:proofErr w:type="spellStart"/>
      <w:r w:rsidRPr="00E37001">
        <w:rPr>
          <w:b w:val="0"/>
          <w:spacing w:val="0"/>
          <w:szCs w:val="28"/>
        </w:rPr>
        <w:t>керівницва</w:t>
      </w:r>
      <w:proofErr w:type="spellEnd"/>
      <w:r w:rsidRPr="00E37001">
        <w:rPr>
          <w:b w:val="0"/>
          <w:spacing w:val="0"/>
          <w:szCs w:val="28"/>
        </w:rPr>
        <w:t xml:space="preserve"> комерційним банком // Вісник НБУ. – 2000. - №8. – С. 26.</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proofErr w:type="spellStart"/>
      <w:r w:rsidRPr="00E37001">
        <w:rPr>
          <w:rFonts w:ascii="Times New Roman" w:hAnsi="Times New Roman" w:cs="Times New Roman"/>
          <w:color w:val="000000"/>
          <w:sz w:val="28"/>
          <w:szCs w:val="28"/>
        </w:rPr>
        <w:lastRenderedPageBreak/>
        <w:t>Рябініна</w:t>
      </w:r>
      <w:proofErr w:type="spellEnd"/>
      <w:r w:rsidRPr="00E37001">
        <w:rPr>
          <w:rFonts w:ascii="Times New Roman" w:hAnsi="Times New Roman" w:cs="Times New Roman"/>
          <w:color w:val="000000"/>
          <w:sz w:val="28"/>
          <w:szCs w:val="28"/>
        </w:rPr>
        <w:t xml:space="preserve"> Л. Теорія і практика кредитних відносин в Україні // Вісник НБУ. –2002. – №1. – с. 26</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proofErr w:type="spellStart"/>
      <w:r w:rsidRPr="00E37001">
        <w:rPr>
          <w:rFonts w:ascii="Times New Roman" w:hAnsi="Times New Roman" w:cs="Times New Roman"/>
          <w:sz w:val="28"/>
          <w:szCs w:val="28"/>
        </w:rPr>
        <w:t>Савлук</w:t>
      </w:r>
      <w:proofErr w:type="spellEnd"/>
      <w:r w:rsidRPr="00E37001">
        <w:rPr>
          <w:rFonts w:ascii="Times New Roman" w:hAnsi="Times New Roman" w:cs="Times New Roman"/>
          <w:sz w:val="28"/>
          <w:szCs w:val="28"/>
        </w:rPr>
        <w:t xml:space="preserve"> М.І. Вступ до банківської справи. - К.: </w:t>
      </w:r>
      <w:proofErr w:type="spellStart"/>
      <w:r w:rsidRPr="00E37001">
        <w:rPr>
          <w:rFonts w:ascii="Times New Roman" w:hAnsi="Times New Roman" w:cs="Times New Roman"/>
          <w:sz w:val="28"/>
          <w:szCs w:val="28"/>
        </w:rPr>
        <w:t>Лібра</w:t>
      </w:r>
      <w:proofErr w:type="spellEnd"/>
      <w:r w:rsidRPr="00E37001">
        <w:rPr>
          <w:rFonts w:ascii="Times New Roman" w:hAnsi="Times New Roman" w:cs="Times New Roman"/>
          <w:sz w:val="28"/>
          <w:szCs w:val="28"/>
        </w:rPr>
        <w:t>, 1998. – 344с.</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r w:rsidRPr="00E37001">
        <w:rPr>
          <w:rFonts w:ascii="Times New Roman" w:hAnsi="Times New Roman" w:cs="Times New Roman"/>
          <w:sz w:val="28"/>
          <w:szCs w:val="28"/>
        </w:rPr>
        <w:t xml:space="preserve">Сало В.І., </w:t>
      </w:r>
      <w:proofErr w:type="spellStart"/>
      <w:r w:rsidRPr="00E37001">
        <w:rPr>
          <w:rFonts w:ascii="Times New Roman" w:hAnsi="Times New Roman" w:cs="Times New Roman"/>
          <w:sz w:val="28"/>
          <w:szCs w:val="28"/>
        </w:rPr>
        <w:t>Криклій</w:t>
      </w:r>
      <w:proofErr w:type="spellEnd"/>
      <w:r w:rsidRPr="00E37001">
        <w:rPr>
          <w:rFonts w:ascii="Times New Roman" w:hAnsi="Times New Roman" w:cs="Times New Roman"/>
          <w:sz w:val="28"/>
          <w:szCs w:val="28"/>
        </w:rPr>
        <w:t xml:space="preserve"> О.А. Фінансовий менеджмент банку: Навчальний посібник. – Суми: ВТД </w:t>
      </w:r>
      <w:proofErr w:type="spellStart"/>
      <w:r w:rsidRPr="00E37001">
        <w:rPr>
          <w:rFonts w:ascii="Times New Roman" w:hAnsi="Times New Roman" w:cs="Times New Roman"/>
          <w:sz w:val="28"/>
          <w:szCs w:val="28"/>
        </w:rPr>
        <w:t>„Університетська</w:t>
      </w:r>
      <w:proofErr w:type="spellEnd"/>
      <w:r w:rsidRPr="00E37001">
        <w:rPr>
          <w:rFonts w:ascii="Times New Roman" w:hAnsi="Times New Roman" w:cs="Times New Roman"/>
          <w:sz w:val="28"/>
          <w:szCs w:val="28"/>
        </w:rPr>
        <w:t xml:space="preserve"> книга”, 2007. – 314 с.</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Скакун Л. Неперервність процесу ризик-менеджменту кредитних операцій банку як основа їх беззбитковості // Банківська справа. - 2000. - № 5. - С.9-13 </w:t>
      </w:r>
    </w:p>
    <w:p w:rsidR="00307A06" w:rsidRPr="00E37001" w:rsidRDefault="00307A06" w:rsidP="00E37001">
      <w:pPr>
        <w:pStyle w:val="HTML"/>
        <w:numPr>
          <w:ilvl w:val="0"/>
          <w:numId w:val="56"/>
        </w:numPr>
        <w:spacing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Сундук А., Юрін Я.Банківське кредитування як чинник гарантування інвестиційної безпеки регіонів України //Вісник НБУ, 2005. - №2. – С.24-36.</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proofErr w:type="spellStart"/>
      <w:r w:rsidRPr="00E37001">
        <w:rPr>
          <w:rFonts w:ascii="Times New Roman" w:hAnsi="Times New Roman" w:cs="Times New Roman"/>
          <w:sz w:val="28"/>
          <w:szCs w:val="28"/>
        </w:rPr>
        <w:t>Таскі</w:t>
      </w:r>
      <w:proofErr w:type="spellEnd"/>
      <w:r w:rsidRPr="00E37001">
        <w:rPr>
          <w:rFonts w:ascii="Times New Roman" w:hAnsi="Times New Roman" w:cs="Times New Roman"/>
          <w:sz w:val="28"/>
          <w:szCs w:val="28"/>
        </w:rPr>
        <w:t xml:space="preserve"> Г. Резерви на покриття можливих втрат за позиками і витрати на створення таких резервів : міжнародні аспекти // Вісник НБУ . – 1997. – 8. – с.17-19.</w:t>
      </w:r>
    </w:p>
    <w:p w:rsidR="00307A06" w:rsidRPr="00E37001" w:rsidRDefault="00307A06" w:rsidP="00E37001">
      <w:pPr>
        <w:pStyle w:val="af1"/>
        <w:widowControl w:val="0"/>
        <w:numPr>
          <w:ilvl w:val="0"/>
          <w:numId w:val="56"/>
        </w:numPr>
        <w:spacing w:line="360" w:lineRule="auto"/>
        <w:ind w:left="0" w:firstLine="567"/>
        <w:contextualSpacing/>
        <w:jc w:val="both"/>
        <w:rPr>
          <w:b w:val="0"/>
          <w:spacing w:val="0"/>
          <w:szCs w:val="28"/>
        </w:rPr>
      </w:pPr>
      <w:r w:rsidRPr="00E37001">
        <w:rPr>
          <w:b w:val="0"/>
          <w:spacing w:val="0"/>
          <w:szCs w:val="28"/>
        </w:rPr>
        <w:t xml:space="preserve">Тиркало Р. І., </w:t>
      </w:r>
      <w:proofErr w:type="spellStart"/>
      <w:r w:rsidRPr="00E37001">
        <w:rPr>
          <w:b w:val="0"/>
          <w:spacing w:val="0"/>
          <w:szCs w:val="28"/>
        </w:rPr>
        <w:t>Щибиволок</w:t>
      </w:r>
      <w:proofErr w:type="spellEnd"/>
      <w:r w:rsidRPr="00E37001">
        <w:rPr>
          <w:b w:val="0"/>
          <w:spacing w:val="0"/>
          <w:szCs w:val="28"/>
        </w:rPr>
        <w:t xml:space="preserve"> З. І. Фінансовий аналіз комерційного банку: основи теорії, експрес-діагностика, рейтинг: </w:t>
      </w:r>
      <w:proofErr w:type="spellStart"/>
      <w:r w:rsidRPr="00E37001">
        <w:rPr>
          <w:b w:val="0"/>
          <w:spacing w:val="0"/>
          <w:szCs w:val="28"/>
        </w:rPr>
        <w:t>Навч</w:t>
      </w:r>
      <w:proofErr w:type="spellEnd"/>
      <w:r w:rsidRPr="00E37001">
        <w:rPr>
          <w:b w:val="0"/>
          <w:spacing w:val="0"/>
          <w:szCs w:val="28"/>
        </w:rPr>
        <w:t xml:space="preserve">. </w:t>
      </w:r>
      <w:proofErr w:type="spellStart"/>
      <w:r w:rsidRPr="00E37001">
        <w:rPr>
          <w:b w:val="0"/>
          <w:spacing w:val="0"/>
          <w:szCs w:val="28"/>
        </w:rPr>
        <w:t>посіб</w:t>
      </w:r>
      <w:proofErr w:type="spellEnd"/>
      <w:r w:rsidRPr="00E37001">
        <w:rPr>
          <w:b w:val="0"/>
          <w:spacing w:val="0"/>
          <w:szCs w:val="28"/>
        </w:rPr>
        <w:t>. – К.: Слобожанщина, 1999. – 236 с.</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 xml:space="preserve">Ткаченко І., </w:t>
      </w:r>
      <w:proofErr w:type="spellStart"/>
      <w:r w:rsidRPr="00E37001">
        <w:rPr>
          <w:rFonts w:ascii="Times New Roman" w:hAnsi="Times New Roman" w:cs="Times New Roman"/>
          <w:color w:val="000000"/>
          <w:sz w:val="28"/>
          <w:szCs w:val="28"/>
        </w:rPr>
        <w:t>Луців</w:t>
      </w:r>
      <w:proofErr w:type="spellEnd"/>
      <w:r w:rsidRPr="00E37001">
        <w:rPr>
          <w:rFonts w:ascii="Times New Roman" w:hAnsi="Times New Roman" w:cs="Times New Roman"/>
          <w:color w:val="000000"/>
          <w:sz w:val="28"/>
          <w:szCs w:val="28"/>
        </w:rPr>
        <w:t xml:space="preserve"> Б. Моделювання управління динамікою кредитного портфеля // Вісник НБУ. – 2000. – №5. – с. 15</w:t>
      </w:r>
    </w:p>
    <w:p w:rsidR="00307A06" w:rsidRPr="00E37001" w:rsidRDefault="00307A06" w:rsidP="00E37001">
      <w:pPr>
        <w:pStyle w:val="a9"/>
        <w:numPr>
          <w:ilvl w:val="0"/>
          <w:numId w:val="56"/>
        </w:numPr>
        <w:spacing w:line="360" w:lineRule="auto"/>
        <w:ind w:left="0" w:firstLine="567"/>
        <w:contextualSpacing/>
        <w:jc w:val="both"/>
        <w:rPr>
          <w:sz w:val="28"/>
          <w:szCs w:val="28"/>
        </w:rPr>
      </w:pPr>
      <w:r w:rsidRPr="00E37001">
        <w:rPr>
          <w:sz w:val="28"/>
          <w:szCs w:val="28"/>
        </w:rPr>
        <w:t xml:space="preserve">Фінансово-кредитна система України - Росії (XVIII-XX ст.) - Суми. Видавництво "Слобожанщина". 2000. - 312. Під загальною редакцією професора І.В. Сала. </w:t>
      </w:r>
    </w:p>
    <w:p w:rsidR="00307A06" w:rsidRPr="00E37001" w:rsidRDefault="00307A06" w:rsidP="00E37001">
      <w:pPr>
        <w:widowControl w:val="0"/>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567"/>
        <w:contextualSpacing/>
        <w:jc w:val="both"/>
        <w:rPr>
          <w:rFonts w:ascii="Times New Roman" w:eastAsia="Times New Roman" w:hAnsi="Times New Roman" w:cs="Times New Roman"/>
          <w:sz w:val="28"/>
          <w:szCs w:val="28"/>
        </w:rPr>
      </w:pPr>
      <w:proofErr w:type="spellStart"/>
      <w:r w:rsidRPr="00E37001">
        <w:rPr>
          <w:rFonts w:ascii="Times New Roman" w:hAnsi="Times New Roman" w:cs="Times New Roman"/>
          <w:sz w:val="28"/>
          <w:szCs w:val="28"/>
        </w:rPr>
        <w:t>Фролов</w:t>
      </w:r>
      <w:proofErr w:type="spellEnd"/>
      <w:r w:rsidRPr="00E37001">
        <w:rPr>
          <w:rFonts w:ascii="Times New Roman" w:hAnsi="Times New Roman" w:cs="Times New Roman"/>
          <w:sz w:val="28"/>
          <w:szCs w:val="28"/>
        </w:rPr>
        <w:t xml:space="preserve"> С.М. Банківська справа та основи митного регулювання в Україні: теорія та практика: Навчальний посібник. – Суми: ВТД “Університетська книга”, 2008. – 368с.</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Чайка О.І. Шляхи зниження відсоткових ставок за банківським кредитами в Україні // Вісник НБУ. –1999. – №8. –с. 24</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t xml:space="preserve">Череп А.В., </w:t>
      </w:r>
      <w:proofErr w:type="spellStart"/>
      <w:r w:rsidRPr="00E37001">
        <w:rPr>
          <w:rFonts w:ascii="Times New Roman" w:hAnsi="Times New Roman" w:cs="Times New Roman"/>
          <w:sz w:val="28"/>
          <w:szCs w:val="28"/>
        </w:rPr>
        <w:t>Романченко</w:t>
      </w:r>
      <w:proofErr w:type="spellEnd"/>
      <w:r w:rsidRPr="00E37001">
        <w:rPr>
          <w:rFonts w:ascii="Times New Roman" w:hAnsi="Times New Roman" w:cs="Times New Roman"/>
          <w:sz w:val="28"/>
          <w:szCs w:val="28"/>
        </w:rPr>
        <w:t xml:space="preserve"> О.О. Проблеми управління кредитними ризиками у контексті стабільності функціонування банківської системи /А.В. Череп // Економічний простір. - 2009.- №24.- С. 221-228.</w:t>
      </w:r>
    </w:p>
    <w:p w:rsidR="00307A06" w:rsidRPr="00E37001" w:rsidRDefault="00307A06" w:rsidP="00E37001">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E37001">
        <w:rPr>
          <w:rFonts w:ascii="Times New Roman" w:hAnsi="Times New Roman" w:cs="Times New Roman"/>
          <w:sz w:val="28"/>
          <w:szCs w:val="28"/>
        </w:rPr>
        <w:lastRenderedPageBreak/>
        <w:t xml:space="preserve">Чорна О.Є., </w:t>
      </w:r>
      <w:proofErr w:type="spellStart"/>
      <w:r w:rsidRPr="00E37001">
        <w:rPr>
          <w:rFonts w:ascii="Times New Roman" w:hAnsi="Times New Roman" w:cs="Times New Roman"/>
          <w:sz w:val="28"/>
          <w:szCs w:val="28"/>
        </w:rPr>
        <w:t>Атаманцева</w:t>
      </w:r>
      <w:proofErr w:type="spellEnd"/>
      <w:r w:rsidRPr="00E37001">
        <w:rPr>
          <w:rFonts w:ascii="Times New Roman" w:hAnsi="Times New Roman" w:cs="Times New Roman"/>
          <w:sz w:val="28"/>
          <w:szCs w:val="28"/>
        </w:rPr>
        <w:t xml:space="preserve"> А.В. Капіталізація банківської системи як механізм підвищення темпів економічного зростання країни // Європейський вектор економічного розвитку. – 2010. – №1 (8).</w:t>
      </w:r>
    </w:p>
    <w:p w:rsidR="00307A06" w:rsidRPr="00E37001" w:rsidRDefault="00307A06" w:rsidP="00E37001">
      <w:pPr>
        <w:numPr>
          <w:ilvl w:val="0"/>
          <w:numId w:val="56"/>
        </w:numPr>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Чуб П. Теорія нетрадиційного управління кредитним портфелем комерційних банків //Вісник НБУ. –2002. – №1. – с. 20</w:t>
      </w:r>
    </w:p>
    <w:p w:rsidR="00307A06" w:rsidRPr="00E37001" w:rsidRDefault="00307A06" w:rsidP="00E37001">
      <w:pPr>
        <w:pStyle w:val="a4"/>
        <w:numPr>
          <w:ilvl w:val="0"/>
          <w:numId w:val="56"/>
        </w:numPr>
        <w:shd w:val="clear" w:color="auto" w:fill="FFFFFF"/>
        <w:autoSpaceDE w:val="0"/>
        <w:autoSpaceDN w:val="0"/>
        <w:adjustRightInd w:val="0"/>
        <w:spacing w:before="0" w:line="360" w:lineRule="auto"/>
        <w:ind w:left="0" w:firstLine="567"/>
        <w:contextualSpacing/>
        <w:jc w:val="both"/>
        <w:rPr>
          <w:color w:val="000000"/>
        </w:rPr>
      </w:pPr>
      <w:r w:rsidRPr="00E37001">
        <w:rPr>
          <w:color w:val="000000"/>
        </w:rPr>
        <w:t xml:space="preserve">Шевченко Р. І. Кредитування і контроль: </w:t>
      </w:r>
      <w:proofErr w:type="spellStart"/>
      <w:r w:rsidRPr="00E37001">
        <w:rPr>
          <w:color w:val="000000"/>
        </w:rPr>
        <w:t>Навч.-метод</w:t>
      </w:r>
      <w:proofErr w:type="spellEnd"/>
      <w:r w:rsidRPr="00E37001">
        <w:rPr>
          <w:color w:val="000000"/>
        </w:rPr>
        <w:t xml:space="preserve">. посібник для </w:t>
      </w:r>
      <w:proofErr w:type="spellStart"/>
      <w:r w:rsidRPr="00E37001">
        <w:rPr>
          <w:color w:val="000000"/>
        </w:rPr>
        <w:t>самост</w:t>
      </w:r>
      <w:proofErr w:type="spellEnd"/>
      <w:r w:rsidRPr="00E37001">
        <w:rPr>
          <w:color w:val="000000"/>
        </w:rPr>
        <w:t xml:space="preserve">. </w:t>
      </w:r>
      <w:proofErr w:type="spellStart"/>
      <w:r w:rsidRPr="00E37001">
        <w:rPr>
          <w:color w:val="000000"/>
        </w:rPr>
        <w:t>вивч</w:t>
      </w:r>
      <w:proofErr w:type="spellEnd"/>
      <w:r w:rsidRPr="00E37001">
        <w:rPr>
          <w:color w:val="000000"/>
        </w:rPr>
        <w:t xml:space="preserve">. </w:t>
      </w:r>
      <w:proofErr w:type="spellStart"/>
      <w:r w:rsidRPr="00E37001">
        <w:rPr>
          <w:color w:val="000000"/>
        </w:rPr>
        <w:t>дисц</w:t>
      </w:r>
      <w:proofErr w:type="spellEnd"/>
      <w:r w:rsidRPr="00E37001">
        <w:rPr>
          <w:color w:val="000000"/>
        </w:rPr>
        <w:t>. – К.: КНЕУ, 2002. – 183 с.</w:t>
      </w:r>
    </w:p>
    <w:p w:rsidR="00307A06" w:rsidRPr="00E37001" w:rsidRDefault="00307A06" w:rsidP="00E37001">
      <w:pPr>
        <w:numPr>
          <w:ilvl w:val="0"/>
          <w:numId w:val="56"/>
        </w:numPr>
        <w:suppressAutoHyphens/>
        <w:spacing w:after="0" w:line="360" w:lineRule="auto"/>
        <w:ind w:left="0" w:firstLine="567"/>
        <w:contextualSpacing/>
        <w:jc w:val="both"/>
        <w:rPr>
          <w:rFonts w:ascii="Times New Roman" w:hAnsi="Times New Roman" w:cs="Times New Roman"/>
          <w:sz w:val="28"/>
          <w:szCs w:val="28"/>
        </w:rPr>
      </w:pPr>
      <w:proofErr w:type="spellStart"/>
      <w:r w:rsidRPr="00E37001">
        <w:rPr>
          <w:rFonts w:ascii="Times New Roman" w:hAnsi="Times New Roman" w:cs="Times New Roman"/>
          <w:sz w:val="28"/>
          <w:szCs w:val="28"/>
        </w:rPr>
        <w:t>Шибалкіна</w:t>
      </w:r>
      <w:proofErr w:type="spellEnd"/>
      <w:r w:rsidRPr="00E37001">
        <w:rPr>
          <w:rFonts w:ascii="Times New Roman" w:hAnsi="Times New Roman" w:cs="Times New Roman"/>
          <w:sz w:val="28"/>
          <w:szCs w:val="28"/>
        </w:rPr>
        <w:t xml:space="preserve"> В. Оптимальні умови кредитування. // Банківська справа. – 1998 . – 4. – с.39-41.</w:t>
      </w:r>
    </w:p>
    <w:p w:rsidR="00307A06" w:rsidRPr="00E37001" w:rsidRDefault="00307A06" w:rsidP="00E37001">
      <w:pPr>
        <w:numPr>
          <w:ilvl w:val="0"/>
          <w:numId w:val="56"/>
        </w:numPr>
        <w:autoSpaceDN w:val="0"/>
        <w:spacing w:after="0" w:line="360" w:lineRule="auto"/>
        <w:ind w:left="0" w:firstLine="567"/>
        <w:contextualSpacing/>
        <w:jc w:val="both"/>
        <w:rPr>
          <w:rFonts w:ascii="Times New Roman" w:hAnsi="Times New Roman" w:cs="Times New Roman"/>
          <w:color w:val="000000"/>
          <w:sz w:val="28"/>
          <w:szCs w:val="28"/>
        </w:rPr>
      </w:pPr>
      <w:r w:rsidRPr="00E37001">
        <w:rPr>
          <w:rFonts w:ascii="Times New Roman" w:hAnsi="Times New Roman" w:cs="Times New Roman"/>
          <w:color w:val="000000"/>
          <w:sz w:val="28"/>
          <w:szCs w:val="28"/>
        </w:rPr>
        <w:t xml:space="preserve">Шлапак О., </w:t>
      </w:r>
      <w:proofErr w:type="spellStart"/>
      <w:r w:rsidRPr="00E37001">
        <w:rPr>
          <w:rFonts w:ascii="Times New Roman" w:hAnsi="Times New Roman" w:cs="Times New Roman"/>
          <w:color w:val="000000"/>
          <w:sz w:val="28"/>
          <w:szCs w:val="28"/>
        </w:rPr>
        <w:t>Пушкарьов</w:t>
      </w:r>
      <w:proofErr w:type="spellEnd"/>
      <w:r w:rsidRPr="00E37001">
        <w:rPr>
          <w:rFonts w:ascii="Times New Roman" w:hAnsi="Times New Roman" w:cs="Times New Roman"/>
          <w:color w:val="000000"/>
          <w:sz w:val="28"/>
          <w:szCs w:val="28"/>
        </w:rPr>
        <w:t xml:space="preserve"> В., </w:t>
      </w:r>
      <w:proofErr w:type="spellStart"/>
      <w:r w:rsidRPr="00E37001">
        <w:rPr>
          <w:rFonts w:ascii="Times New Roman" w:hAnsi="Times New Roman" w:cs="Times New Roman"/>
          <w:color w:val="000000"/>
          <w:sz w:val="28"/>
          <w:szCs w:val="28"/>
        </w:rPr>
        <w:t>Карчева</w:t>
      </w:r>
      <w:proofErr w:type="spellEnd"/>
      <w:r w:rsidRPr="00E37001">
        <w:rPr>
          <w:rFonts w:ascii="Times New Roman" w:hAnsi="Times New Roman" w:cs="Times New Roman"/>
          <w:color w:val="000000"/>
          <w:sz w:val="28"/>
          <w:szCs w:val="28"/>
        </w:rPr>
        <w:t xml:space="preserve"> Г. Фінансовий стан, тенденції та проблеми функціонування і розвитку банків у 2002 році // Вісник НБУ.- 2003. – №3. – с. 2.</w:t>
      </w:r>
    </w:p>
    <w:p w:rsidR="00307A06" w:rsidRPr="00E37001" w:rsidRDefault="00307A06" w:rsidP="00E37001">
      <w:pPr>
        <w:pStyle w:val="a9"/>
        <w:numPr>
          <w:ilvl w:val="0"/>
          <w:numId w:val="56"/>
        </w:numPr>
        <w:spacing w:line="360" w:lineRule="auto"/>
        <w:ind w:left="0" w:firstLine="567"/>
        <w:contextualSpacing/>
        <w:jc w:val="both"/>
        <w:rPr>
          <w:sz w:val="28"/>
          <w:szCs w:val="28"/>
        </w:rPr>
      </w:pPr>
      <w:proofErr w:type="spellStart"/>
      <w:r w:rsidRPr="00E37001">
        <w:rPr>
          <w:sz w:val="28"/>
          <w:szCs w:val="28"/>
        </w:rPr>
        <w:t>Щибиволок</w:t>
      </w:r>
      <w:proofErr w:type="spellEnd"/>
      <w:r w:rsidRPr="00E37001">
        <w:rPr>
          <w:sz w:val="28"/>
          <w:szCs w:val="28"/>
        </w:rPr>
        <w:t xml:space="preserve"> 3.1. Аналіз банківської діяльності: Навчальний посібник. — К.: Знання, 2006.-311 с. </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19" w:history="1">
        <w:r w:rsidR="004E130D" w:rsidRPr="00A06C1C">
          <w:rPr>
            <w:rStyle w:val="a8"/>
            <w:rFonts w:ascii="Times New Roman" w:hAnsi="Times New Roman"/>
            <w:sz w:val="28"/>
            <w:szCs w:val="28"/>
          </w:rPr>
          <w:t>http://banker.ua/</w:t>
        </w:r>
      </w:hyperlink>
      <w:r w:rsidR="004E130D" w:rsidRPr="00A06C1C">
        <w:rPr>
          <w:rFonts w:ascii="Times New Roman" w:hAnsi="Times New Roman" w:cs="Times New Roman"/>
          <w:sz w:val="28"/>
          <w:szCs w:val="28"/>
        </w:rPr>
        <w:t xml:space="preserve"> Український банківський портал</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0" w:history="1">
        <w:r w:rsidR="004E130D" w:rsidRPr="00A06C1C">
          <w:rPr>
            <w:rStyle w:val="a8"/>
            <w:rFonts w:ascii="Times New Roman" w:hAnsi="Times New Roman"/>
            <w:sz w:val="28"/>
            <w:szCs w:val="28"/>
          </w:rPr>
          <w:t>http://ii-bank.com.ua/</w:t>
        </w:r>
      </w:hyperlink>
      <w:r w:rsidR="004E130D" w:rsidRPr="00A06C1C">
        <w:rPr>
          <w:rFonts w:ascii="Times New Roman" w:hAnsi="Times New Roman" w:cs="Times New Roman"/>
          <w:sz w:val="28"/>
          <w:szCs w:val="28"/>
        </w:rPr>
        <w:t xml:space="preserve"> Міжнародний Інвестиційний Банк</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1" w:history="1">
        <w:r w:rsidR="004E130D" w:rsidRPr="00A06C1C">
          <w:rPr>
            <w:rStyle w:val="a8"/>
            <w:rFonts w:ascii="Times New Roman" w:hAnsi="Times New Roman"/>
            <w:sz w:val="28"/>
            <w:szCs w:val="28"/>
          </w:rPr>
          <w:t>http://investycii.org/</w:t>
        </w:r>
      </w:hyperlink>
      <w:r w:rsidR="004E130D" w:rsidRPr="00A06C1C">
        <w:rPr>
          <w:rFonts w:ascii="Times New Roman" w:hAnsi="Times New Roman" w:cs="Times New Roman"/>
          <w:sz w:val="28"/>
          <w:szCs w:val="28"/>
        </w:rPr>
        <w:t xml:space="preserve"> Портал про інвестиції</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2" w:history="1">
        <w:r w:rsidR="004E130D" w:rsidRPr="00A06C1C">
          <w:rPr>
            <w:rStyle w:val="a8"/>
            <w:rFonts w:ascii="Times New Roman" w:hAnsi="Times New Roman"/>
            <w:sz w:val="28"/>
            <w:szCs w:val="28"/>
          </w:rPr>
          <w:t>http://old.niss.gov.ua/</w:t>
        </w:r>
      </w:hyperlink>
      <w:r w:rsidR="004E130D" w:rsidRPr="00A06C1C">
        <w:rPr>
          <w:rFonts w:ascii="Times New Roman" w:hAnsi="Times New Roman" w:cs="Times New Roman"/>
          <w:sz w:val="28"/>
          <w:szCs w:val="28"/>
        </w:rPr>
        <w:t xml:space="preserve"> Національний інститут стратегічних досліджень</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3" w:history="1">
        <w:r w:rsidR="004E130D" w:rsidRPr="00A06C1C">
          <w:rPr>
            <w:rStyle w:val="a8"/>
            <w:rFonts w:ascii="Times New Roman" w:hAnsi="Times New Roman"/>
            <w:sz w:val="28"/>
            <w:szCs w:val="28"/>
          </w:rPr>
          <w:t>http://politikan.com.ua/</w:t>
        </w:r>
      </w:hyperlink>
      <w:r w:rsidR="004E130D" w:rsidRPr="00A06C1C">
        <w:rPr>
          <w:rFonts w:ascii="Times New Roman" w:hAnsi="Times New Roman" w:cs="Times New Roman"/>
          <w:sz w:val="28"/>
          <w:szCs w:val="28"/>
        </w:rPr>
        <w:t xml:space="preserve"> </w:t>
      </w:r>
      <w:proofErr w:type="spellStart"/>
      <w:r w:rsidR="004E130D" w:rsidRPr="00A06C1C">
        <w:rPr>
          <w:rFonts w:ascii="Times New Roman" w:hAnsi="Times New Roman" w:cs="Times New Roman"/>
          <w:sz w:val="28"/>
          <w:szCs w:val="28"/>
        </w:rPr>
        <w:t>Политикантроп</w:t>
      </w:r>
      <w:proofErr w:type="spellEnd"/>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4" w:history="1">
        <w:r w:rsidR="004E130D" w:rsidRPr="00A06C1C">
          <w:rPr>
            <w:rStyle w:val="a8"/>
            <w:rFonts w:ascii="Times New Roman" w:hAnsi="Times New Roman"/>
            <w:sz w:val="28"/>
            <w:szCs w:val="28"/>
          </w:rPr>
          <w:t>http://www.bank.gov.ua</w:t>
        </w:r>
      </w:hyperlink>
      <w:r w:rsidR="004E130D" w:rsidRPr="00A06C1C">
        <w:rPr>
          <w:rFonts w:ascii="Times New Roman" w:hAnsi="Times New Roman" w:cs="Times New Roman"/>
          <w:sz w:val="28"/>
          <w:szCs w:val="28"/>
        </w:rPr>
        <w:t xml:space="preserve"> Офіційний сайт Національного банку України </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5" w:history="1">
        <w:r w:rsidR="004E130D" w:rsidRPr="00A06C1C">
          <w:rPr>
            <w:rStyle w:val="a8"/>
            <w:rFonts w:ascii="Times New Roman" w:hAnsi="Times New Roman"/>
            <w:sz w:val="28"/>
            <w:szCs w:val="28"/>
          </w:rPr>
          <w:t>http://www.epravda.com.ua/</w:t>
        </w:r>
      </w:hyperlink>
      <w:r w:rsidR="004E130D" w:rsidRPr="00A06C1C">
        <w:rPr>
          <w:rFonts w:ascii="Times New Roman" w:hAnsi="Times New Roman" w:cs="Times New Roman"/>
          <w:sz w:val="28"/>
          <w:szCs w:val="28"/>
        </w:rPr>
        <w:t xml:space="preserve"> Українська правда</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6" w:history="1">
        <w:r w:rsidR="004E130D" w:rsidRPr="00A06C1C">
          <w:rPr>
            <w:rStyle w:val="a8"/>
            <w:rFonts w:ascii="Times New Roman" w:hAnsi="Times New Roman"/>
            <w:sz w:val="28"/>
            <w:szCs w:val="28"/>
          </w:rPr>
          <w:t>http://www.ukrstat.gov.ua/</w:t>
        </w:r>
      </w:hyperlink>
      <w:r w:rsidR="004E130D" w:rsidRPr="00A06C1C">
        <w:rPr>
          <w:rFonts w:ascii="Times New Roman" w:hAnsi="Times New Roman" w:cs="Times New Roman"/>
          <w:sz w:val="28"/>
          <w:szCs w:val="28"/>
        </w:rPr>
        <w:t xml:space="preserve"> Офіційний сайт державного комітету статистики України</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7" w:history="1">
        <w:proofErr w:type="spellStart"/>
        <w:r w:rsidR="004E130D" w:rsidRPr="00A06C1C">
          <w:rPr>
            <w:rStyle w:val="a8"/>
            <w:rFonts w:ascii="Times New Roman" w:hAnsi="Times New Roman"/>
            <w:sz w:val="28"/>
            <w:szCs w:val="28"/>
          </w:rPr>
          <w:t>nbuv.gov.ua</w:t>
        </w:r>
        <w:proofErr w:type="spellEnd"/>
      </w:hyperlink>
      <w:r w:rsidR="004E130D" w:rsidRPr="00A06C1C">
        <w:rPr>
          <w:rFonts w:ascii="Times New Roman" w:hAnsi="Times New Roman" w:cs="Times New Roman"/>
          <w:sz w:val="28"/>
          <w:szCs w:val="28"/>
        </w:rPr>
        <w:t xml:space="preserve"> Національна бібліотека України імені В.І.Вернадського</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8" w:history="1">
        <w:proofErr w:type="spellStart"/>
        <w:r w:rsidR="004E130D" w:rsidRPr="00A06C1C">
          <w:rPr>
            <w:rStyle w:val="a8"/>
            <w:rFonts w:ascii="Times New Roman" w:hAnsi="Times New Roman"/>
            <w:sz w:val="28"/>
            <w:szCs w:val="28"/>
          </w:rPr>
          <w:t>news.finance.ua</w:t>
        </w:r>
        <w:proofErr w:type="spellEnd"/>
      </w:hyperlink>
      <w:r w:rsidR="004E130D" w:rsidRPr="00A06C1C">
        <w:rPr>
          <w:rFonts w:ascii="Times New Roman" w:hAnsi="Times New Roman" w:cs="Times New Roman"/>
          <w:sz w:val="28"/>
          <w:szCs w:val="28"/>
        </w:rPr>
        <w:t xml:space="preserve"> Про гроші</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29" w:history="1">
        <w:r w:rsidR="004E130D" w:rsidRPr="00A06C1C">
          <w:rPr>
            <w:rStyle w:val="a8"/>
            <w:rFonts w:ascii="Times New Roman" w:hAnsi="Times New Roman"/>
            <w:sz w:val="28"/>
            <w:szCs w:val="28"/>
          </w:rPr>
          <w:t>www.federalreserve.gov</w:t>
        </w:r>
      </w:hyperlink>
      <w:r w:rsidR="004E130D" w:rsidRPr="00A06C1C">
        <w:rPr>
          <w:rFonts w:ascii="Times New Roman" w:hAnsi="Times New Roman" w:cs="Times New Roman"/>
          <w:sz w:val="28"/>
          <w:szCs w:val="28"/>
        </w:rPr>
        <w:t xml:space="preserve"> // Офіційний сайт </w:t>
      </w:r>
      <w:proofErr w:type="spellStart"/>
      <w:r w:rsidR="004E130D" w:rsidRPr="00A06C1C">
        <w:rPr>
          <w:rFonts w:ascii="Times New Roman" w:hAnsi="Times New Roman" w:cs="Times New Roman"/>
          <w:sz w:val="28"/>
          <w:szCs w:val="28"/>
        </w:rPr>
        <w:t>Федерельної</w:t>
      </w:r>
      <w:proofErr w:type="spellEnd"/>
      <w:r w:rsidR="004E130D" w:rsidRPr="00A06C1C">
        <w:rPr>
          <w:rFonts w:ascii="Times New Roman" w:hAnsi="Times New Roman" w:cs="Times New Roman"/>
          <w:sz w:val="28"/>
          <w:szCs w:val="28"/>
        </w:rPr>
        <w:t xml:space="preserve"> резервної системи Сполучених Штатів Америки </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0" w:history="1">
        <w:r w:rsidR="004E130D" w:rsidRPr="00A06C1C">
          <w:rPr>
            <w:rStyle w:val="a8"/>
            <w:rFonts w:ascii="Times New Roman" w:hAnsi="Times New Roman"/>
            <w:sz w:val="28"/>
            <w:szCs w:val="28"/>
          </w:rPr>
          <w:t>www.fitchratings.com</w:t>
        </w:r>
      </w:hyperlink>
      <w:r w:rsidR="004E130D" w:rsidRPr="00A06C1C">
        <w:rPr>
          <w:rFonts w:ascii="Times New Roman" w:hAnsi="Times New Roman" w:cs="Times New Roman"/>
          <w:sz w:val="28"/>
          <w:szCs w:val="28"/>
        </w:rPr>
        <w:t xml:space="preserve"> // Офіційний сайт рейтингового агентства </w:t>
      </w:r>
      <w:proofErr w:type="spellStart"/>
      <w:r w:rsidR="004E130D" w:rsidRPr="00A06C1C">
        <w:rPr>
          <w:rFonts w:ascii="Times New Roman" w:hAnsi="Times New Roman" w:cs="Times New Roman"/>
          <w:sz w:val="28"/>
          <w:szCs w:val="28"/>
        </w:rPr>
        <w:t>Fitch</w:t>
      </w:r>
      <w:proofErr w:type="spellEnd"/>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1" w:history="1">
        <w:r w:rsidR="004E130D" w:rsidRPr="00A06C1C">
          <w:rPr>
            <w:rStyle w:val="a8"/>
            <w:rFonts w:ascii="Times New Roman" w:hAnsi="Times New Roman"/>
            <w:sz w:val="28"/>
            <w:szCs w:val="28"/>
          </w:rPr>
          <w:t>www.interfax.kiev.ua</w:t>
        </w:r>
      </w:hyperlink>
      <w:r w:rsidR="004E130D" w:rsidRPr="00A06C1C">
        <w:rPr>
          <w:rFonts w:ascii="Times New Roman" w:hAnsi="Times New Roman" w:cs="Times New Roman"/>
          <w:sz w:val="28"/>
          <w:szCs w:val="28"/>
        </w:rPr>
        <w:t xml:space="preserve"> Офіційний сайт інформаційного агентства Інтерфакс Україна</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2" w:history="1">
        <w:r w:rsidR="004E130D" w:rsidRPr="00A06C1C">
          <w:rPr>
            <w:rStyle w:val="a8"/>
            <w:rFonts w:ascii="Times New Roman" w:hAnsi="Times New Roman"/>
            <w:sz w:val="28"/>
            <w:szCs w:val="28"/>
          </w:rPr>
          <w:t>www.kmu.gov.ua</w:t>
        </w:r>
      </w:hyperlink>
      <w:r w:rsidR="004E130D" w:rsidRPr="00A06C1C">
        <w:rPr>
          <w:rFonts w:ascii="Times New Roman" w:hAnsi="Times New Roman" w:cs="Times New Roman"/>
          <w:sz w:val="28"/>
          <w:szCs w:val="28"/>
        </w:rPr>
        <w:t xml:space="preserve"> Урядовий портал</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3" w:history="1">
        <w:r w:rsidR="004E130D" w:rsidRPr="00A06C1C">
          <w:rPr>
            <w:rStyle w:val="a8"/>
            <w:rFonts w:ascii="Times New Roman" w:hAnsi="Times New Roman"/>
            <w:sz w:val="28"/>
            <w:szCs w:val="28"/>
          </w:rPr>
          <w:t>www.me.gov.ua</w:t>
        </w:r>
      </w:hyperlink>
      <w:r w:rsidR="004E130D" w:rsidRPr="00A06C1C">
        <w:rPr>
          <w:rFonts w:ascii="Times New Roman" w:hAnsi="Times New Roman" w:cs="Times New Roman"/>
          <w:sz w:val="28"/>
          <w:szCs w:val="28"/>
        </w:rPr>
        <w:t xml:space="preserve"> Міністерство економічного розвитку і торгівлі України</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4" w:history="1">
        <w:r w:rsidR="004E130D" w:rsidRPr="00A06C1C">
          <w:rPr>
            <w:rStyle w:val="a8"/>
            <w:rFonts w:ascii="Times New Roman" w:hAnsi="Times New Roman"/>
            <w:sz w:val="28"/>
            <w:szCs w:val="28"/>
          </w:rPr>
          <w:t>www.rainbow.gov.ua</w:t>
        </w:r>
      </w:hyperlink>
      <w:r w:rsidR="004E130D" w:rsidRPr="00A06C1C">
        <w:rPr>
          <w:rFonts w:ascii="Times New Roman" w:hAnsi="Times New Roman" w:cs="Times New Roman"/>
          <w:sz w:val="28"/>
          <w:szCs w:val="28"/>
        </w:rPr>
        <w:t xml:space="preserve"> Рада національної безпеки і оборони України</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5" w:history="1">
        <w:r w:rsidR="004E130D" w:rsidRPr="00A06C1C">
          <w:rPr>
            <w:rStyle w:val="a8"/>
            <w:rFonts w:ascii="Times New Roman" w:hAnsi="Times New Roman"/>
            <w:sz w:val="28"/>
            <w:szCs w:val="28"/>
          </w:rPr>
          <w:t>www.ubr.ua</w:t>
        </w:r>
      </w:hyperlink>
      <w:r w:rsidR="004E130D" w:rsidRPr="00A06C1C">
        <w:rPr>
          <w:rFonts w:ascii="Times New Roman" w:hAnsi="Times New Roman" w:cs="Times New Roman"/>
          <w:sz w:val="28"/>
          <w:szCs w:val="28"/>
        </w:rPr>
        <w:t xml:space="preserve"> // Офіційний сайт Українського бізнес ресурсу </w:t>
      </w:r>
    </w:p>
    <w:p w:rsidR="004E130D" w:rsidRPr="00A06C1C" w:rsidRDefault="00406315" w:rsidP="00A06C1C">
      <w:pPr>
        <w:widowControl w:val="0"/>
        <w:numPr>
          <w:ilvl w:val="0"/>
          <w:numId w:val="56"/>
        </w:numPr>
        <w:autoSpaceDE w:val="0"/>
        <w:autoSpaceDN w:val="0"/>
        <w:adjustRightInd w:val="0"/>
        <w:spacing w:after="0" w:line="360" w:lineRule="auto"/>
        <w:ind w:left="0" w:firstLine="567"/>
        <w:contextualSpacing/>
        <w:jc w:val="both"/>
        <w:rPr>
          <w:rFonts w:ascii="Times New Roman" w:hAnsi="Times New Roman" w:cs="Times New Roman"/>
          <w:sz w:val="28"/>
          <w:szCs w:val="28"/>
        </w:rPr>
      </w:pPr>
      <w:hyperlink r:id="rId36" w:history="1">
        <w:r w:rsidR="004E130D" w:rsidRPr="00A06C1C">
          <w:rPr>
            <w:rStyle w:val="a8"/>
            <w:rFonts w:ascii="Times New Roman" w:hAnsi="Times New Roman"/>
            <w:sz w:val="28"/>
            <w:szCs w:val="28"/>
          </w:rPr>
          <w:t>www.wikipedia.org</w:t>
        </w:r>
      </w:hyperlink>
      <w:r w:rsidR="004E130D" w:rsidRPr="00A06C1C">
        <w:rPr>
          <w:rFonts w:ascii="Times New Roman" w:hAnsi="Times New Roman" w:cs="Times New Roman"/>
          <w:sz w:val="28"/>
          <w:szCs w:val="28"/>
        </w:rPr>
        <w:t xml:space="preserve"> // Відкрита енциклопедія </w:t>
      </w:r>
      <w:proofErr w:type="spellStart"/>
      <w:r w:rsidR="004E130D" w:rsidRPr="00A06C1C">
        <w:rPr>
          <w:rFonts w:ascii="Times New Roman" w:hAnsi="Times New Roman" w:cs="Times New Roman"/>
          <w:sz w:val="28"/>
          <w:szCs w:val="28"/>
        </w:rPr>
        <w:t>Wikipedia</w:t>
      </w:r>
      <w:proofErr w:type="spellEnd"/>
      <w:r w:rsidR="004E130D" w:rsidRPr="00A06C1C">
        <w:rPr>
          <w:rFonts w:ascii="Times New Roman" w:hAnsi="Times New Roman" w:cs="Times New Roman"/>
          <w:sz w:val="28"/>
          <w:szCs w:val="28"/>
        </w:rPr>
        <w:t xml:space="preserve"> </w:t>
      </w: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Default="00307A06" w:rsidP="00E37001">
      <w:pPr>
        <w:spacing w:line="360" w:lineRule="auto"/>
        <w:ind w:firstLine="567"/>
        <w:contextualSpacing/>
        <w:rPr>
          <w:rFonts w:ascii="Times New Roman" w:hAnsi="Times New Roman" w:cs="Times New Roman"/>
          <w:sz w:val="28"/>
          <w:szCs w:val="28"/>
        </w:rPr>
      </w:pPr>
    </w:p>
    <w:p w:rsidR="00B63CA8" w:rsidRDefault="00B63CA8" w:rsidP="00E37001">
      <w:pPr>
        <w:spacing w:line="360" w:lineRule="auto"/>
        <w:ind w:firstLine="567"/>
        <w:contextualSpacing/>
        <w:rPr>
          <w:rFonts w:ascii="Times New Roman" w:hAnsi="Times New Roman" w:cs="Times New Roman"/>
          <w:sz w:val="28"/>
          <w:szCs w:val="28"/>
        </w:rPr>
      </w:pPr>
    </w:p>
    <w:p w:rsidR="00B63CA8" w:rsidRPr="00E37001" w:rsidRDefault="00B63CA8"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Default="00307A06" w:rsidP="00E37001">
      <w:pPr>
        <w:spacing w:line="360" w:lineRule="auto"/>
        <w:ind w:firstLine="567"/>
        <w:contextualSpacing/>
        <w:rPr>
          <w:rFonts w:ascii="Times New Roman" w:hAnsi="Times New Roman" w:cs="Times New Roman"/>
          <w:sz w:val="28"/>
          <w:szCs w:val="28"/>
        </w:rPr>
      </w:pPr>
    </w:p>
    <w:p w:rsidR="00B63CA8" w:rsidRDefault="00B63CA8" w:rsidP="00E37001">
      <w:pPr>
        <w:spacing w:line="360" w:lineRule="auto"/>
        <w:ind w:firstLine="567"/>
        <w:contextualSpacing/>
        <w:rPr>
          <w:rFonts w:ascii="Times New Roman" w:hAnsi="Times New Roman" w:cs="Times New Roman"/>
          <w:sz w:val="28"/>
          <w:szCs w:val="28"/>
        </w:rPr>
        <w:sectPr w:rsidR="00B63CA8" w:rsidSect="00B63CA8">
          <w:pgSz w:w="11909" w:h="16834" w:code="9"/>
          <w:pgMar w:top="1134" w:right="850" w:bottom="1134" w:left="1701" w:header="708" w:footer="708" w:gutter="0"/>
          <w:cols w:space="708"/>
          <w:docGrid w:linePitch="360"/>
        </w:sectPr>
      </w:pPr>
    </w:p>
    <w:p w:rsidR="00621722" w:rsidRPr="00621722" w:rsidRDefault="00621722" w:rsidP="00621722">
      <w:pPr>
        <w:pStyle w:val="1"/>
        <w:jc w:val="right"/>
        <w:rPr>
          <w:rFonts w:ascii="Times New Roman" w:hAnsi="Times New Roman" w:cs="Times New Roman"/>
          <w:color w:val="auto"/>
        </w:rPr>
      </w:pPr>
      <w:bookmarkStart w:id="17" w:name="_Toc293306714"/>
      <w:r w:rsidRPr="00621722">
        <w:rPr>
          <w:rFonts w:ascii="Times New Roman" w:hAnsi="Times New Roman" w:cs="Times New Roman"/>
          <w:color w:val="auto"/>
        </w:rPr>
        <w:lastRenderedPageBreak/>
        <w:t>Додаток А</w:t>
      </w:r>
      <w:bookmarkEnd w:id="17"/>
    </w:p>
    <w:p w:rsidR="00621722" w:rsidRPr="00CF740B" w:rsidRDefault="00621722" w:rsidP="00621722">
      <w:pPr>
        <w:jc w:val="center"/>
        <w:rPr>
          <w:rFonts w:ascii="Times New Roman" w:hAnsi="Times New Roman" w:cs="Times New Roman"/>
          <w:sz w:val="28"/>
          <w:szCs w:val="28"/>
        </w:rPr>
      </w:pPr>
      <w:r w:rsidRPr="00CF740B">
        <w:rPr>
          <w:rFonts w:ascii="Times New Roman" w:hAnsi="Times New Roman" w:cs="Times New Roman"/>
          <w:sz w:val="28"/>
          <w:szCs w:val="28"/>
        </w:rPr>
        <w:t>Класифікація кредитів</w:t>
      </w:r>
    </w:p>
    <w:tbl>
      <w:tblPr>
        <w:tblStyle w:val="ae"/>
        <w:tblW w:w="0" w:type="auto"/>
        <w:tblLook w:val="04A0" w:firstRow="1" w:lastRow="0" w:firstColumn="1" w:lastColumn="0" w:noHBand="0" w:noVBand="1"/>
      </w:tblPr>
      <w:tblGrid>
        <w:gridCol w:w="3286"/>
        <w:gridCol w:w="6288"/>
      </w:tblGrid>
      <w:tr w:rsidR="00621722" w:rsidRPr="00621722" w:rsidTr="00AD74E3">
        <w:tc>
          <w:tcPr>
            <w:tcW w:w="3369" w:type="dxa"/>
          </w:tcPr>
          <w:p w:rsidR="00621722" w:rsidRPr="00621722" w:rsidRDefault="00621722" w:rsidP="00AD74E3">
            <w:pPr>
              <w:jc w:val="center"/>
              <w:rPr>
                <w:rFonts w:ascii="Times New Roman" w:hAnsi="Times New Roman" w:cs="Times New Roman"/>
                <w:sz w:val="25"/>
                <w:szCs w:val="25"/>
              </w:rPr>
            </w:pPr>
            <w:r w:rsidRPr="00621722">
              <w:rPr>
                <w:rFonts w:ascii="Times New Roman" w:hAnsi="Times New Roman" w:cs="Times New Roman"/>
                <w:sz w:val="25"/>
                <w:szCs w:val="25"/>
              </w:rPr>
              <w:t>Ознака класифікації</w:t>
            </w:r>
          </w:p>
        </w:tc>
        <w:tc>
          <w:tcPr>
            <w:tcW w:w="6486" w:type="dxa"/>
          </w:tcPr>
          <w:p w:rsidR="00621722" w:rsidRPr="00621722" w:rsidRDefault="00621722" w:rsidP="00AD74E3">
            <w:pPr>
              <w:jc w:val="center"/>
              <w:rPr>
                <w:rFonts w:ascii="Times New Roman" w:hAnsi="Times New Roman" w:cs="Times New Roman"/>
                <w:sz w:val="25"/>
                <w:szCs w:val="25"/>
              </w:rPr>
            </w:pPr>
            <w:r w:rsidRPr="00621722">
              <w:rPr>
                <w:rFonts w:ascii="Times New Roman" w:hAnsi="Times New Roman" w:cs="Times New Roman"/>
                <w:sz w:val="25"/>
                <w:szCs w:val="25"/>
              </w:rPr>
              <w:t>Види кредиту</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суб’єктами кредитних відносин</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комерційний кредит</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банківський кредит</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державний кредит</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міжнародний кредит</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роллю банку в наданні кредиту</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первинні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 xml:space="preserve">похідні </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В залежності від об’єкту кредитування</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товарний кредит</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грошовий кредит</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формою банківського кредиту</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 xml:space="preserve">прямі кредити (іпотечний кредит, відкриття кредитної лінії, </w:t>
            </w:r>
            <w:proofErr w:type="spellStart"/>
            <w:r w:rsidRPr="00621722">
              <w:rPr>
                <w:rFonts w:ascii="Times New Roman" w:hAnsi="Times New Roman" w:cs="Times New Roman"/>
                <w:sz w:val="25"/>
                <w:szCs w:val="25"/>
              </w:rPr>
              <w:t>овердрафтний</w:t>
            </w:r>
            <w:proofErr w:type="spellEnd"/>
            <w:r w:rsidRPr="00621722">
              <w:rPr>
                <w:rFonts w:ascii="Times New Roman" w:hAnsi="Times New Roman" w:cs="Times New Roman"/>
                <w:sz w:val="25"/>
                <w:szCs w:val="25"/>
              </w:rPr>
              <w:t xml:space="preserve"> кредит тощо)</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 xml:space="preserve">непрямі кредити (акцептний і </w:t>
            </w:r>
            <w:proofErr w:type="spellStart"/>
            <w:r w:rsidRPr="00621722">
              <w:rPr>
                <w:rFonts w:ascii="Times New Roman" w:hAnsi="Times New Roman" w:cs="Times New Roman"/>
                <w:sz w:val="25"/>
                <w:szCs w:val="25"/>
              </w:rPr>
              <w:t>авальний</w:t>
            </w:r>
            <w:proofErr w:type="spellEnd"/>
            <w:r w:rsidRPr="00621722">
              <w:rPr>
                <w:rFonts w:ascii="Times New Roman" w:hAnsi="Times New Roman" w:cs="Times New Roman"/>
                <w:sz w:val="25"/>
                <w:szCs w:val="25"/>
              </w:rPr>
              <w:t xml:space="preserve"> кредити)</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економічними суб’єктами–позичальниками</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органам державного правління</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суб’єктам господарювання</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фізичним особам</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валютою кредиту</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в національній валюті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в іноземній валюті</w:t>
            </w:r>
          </w:p>
          <w:p w:rsidR="00621722" w:rsidRPr="00621722" w:rsidRDefault="00621722" w:rsidP="00621722">
            <w:pPr>
              <w:pStyle w:val="a3"/>
              <w:numPr>
                <w:ilvl w:val="0"/>
                <w:numId w:val="57"/>
              </w:numPr>
              <w:rPr>
                <w:rFonts w:ascii="Times New Roman" w:hAnsi="Times New Roman" w:cs="Times New Roman"/>
                <w:sz w:val="25"/>
                <w:szCs w:val="25"/>
              </w:rPr>
            </w:pPr>
            <w:proofErr w:type="spellStart"/>
            <w:r w:rsidRPr="00621722">
              <w:rPr>
                <w:rFonts w:ascii="Times New Roman" w:hAnsi="Times New Roman" w:cs="Times New Roman"/>
                <w:sz w:val="25"/>
                <w:szCs w:val="25"/>
              </w:rPr>
              <w:t>мультивалютні</w:t>
            </w:r>
            <w:proofErr w:type="spellEnd"/>
            <w:r w:rsidRPr="00621722">
              <w:rPr>
                <w:rFonts w:ascii="Times New Roman" w:hAnsi="Times New Roman" w:cs="Times New Roman"/>
                <w:sz w:val="25"/>
                <w:szCs w:val="25"/>
              </w:rPr>
              <w:t xml:space="preserve"> кредити</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строками користування</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короткострокові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онкольні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довгострокові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середньострокові</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формою забезпечення</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забезпечені заставою</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гарантовані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з іншим забезпеченням</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незабезпечені</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методами надання</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разові кредити</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кредитна лінія</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револьверні кредити</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сезонні кредити</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контокорентні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овердрафт ний кредит</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гарантійний кредит</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ступенем ризику</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стандартні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нестандартні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сумнівні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небезпечні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безнадійні</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характером процентної ставки</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з фіксованою кредитною ставкою</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з плаваючою кредитною ставкою</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кількістю кредиторів</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кредити, які надаються одним банком</w:t>
            </w:r>
          </w:p>
          <w:p w:rsidR="00621722" w:rsidRPr="00621722" w:rsidRDefault="00621722" w:rsidP="00621722">
            <w:pPr>
              <w:pStyle w:val="a3"/>
              <w:numPr>
                <w:ilvl w:val="0"/>
                <w:numId w:val="57"/>
              </w:numPr>
              <w:rPr>
                <w:rFonts w:ascii="Times New Roman" w:hAnsi="Times New Roman" w:cs="Times New Roman"/>
                <w:sz w:val="25"/>
                <w:szCs w:val="25"/>
              </w:rPr>
            </w:pPr>
            <w:proofErr w:type="spellStart"/>
            <w:r w:rsidRPr="00621722">
              <w:rPr>
                <w:rFonts w:ascii="Times New Roman" w:hAnsi="Times New Roman" w:cs="Times New Roman"/>
                <w:sz w:val="25"/>
                <w:szCs w:val="25"/>
              </w:rPr>
              <w:t>консорціумні</w:t>
            </w:r>
            <w:proofErr w:type="spellEnd"/>
            <w:r w:rsidRPr="00621722">
              <w:rPr>
                <w:rFonts w:ascii="Times New Roman" w:hAnsi="Times New Roman" w:cs="Times New Roman"/>
                <w:sz w:val="25"/>
                <w:szCs w:val="25"/>
              </w:rPr>
              <w:t xml:space="preserve"> кредити</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двосторонні кредити</w:t>
            </w:r>
          </w:p>
        </w:tc>
      </w:tr>
      <w:tr w:rsidR="00621722" w:rsidRPr="00621722" w:rsidTr="00AD74E3">
        <w:tc>
          <w:tcPr>
            <w:tcW w:w="3369" w:type="dxa"/>
          </w:tcPr>
          <w:p w:rsidR="00621722" w:rsidRPr="00621722" w:rsidRDefault="00621722" w:rsidP="00AD74E3">
            <w:pPr>
              <w:rPr>
                <w:rFonts w:ascii="Times New Roman" w:hAnsi="Times New Roman" w:cs="Times New Roman"/>
                <w:sz w:val="25"/>
                <w:szCs w:val="25"/>
              </w:rPr>
            </w:pPr>
            <w:r w:rsidRPr="00621722">
              <w:rPr>
                <w:rFonts w:ascii="Times New Roman" w:hAnsi="Times New Roman" w:cs="Times New Roman"/>
                <w:sz w:val="25"/>
                <w:szCs w:val="25"/>
              </w:rPr>
              <w:t>За призначенням</w:t>
            </w:r>
          </w:p>
        </w:tc>
        <w:tc>
          <w:tcPr>
            <w:tcW w:w="6486" w:type="dxa"/>
          </w:tcPr>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на виробничі цілі</w:t>
            </w:r>
          </w:p>
          <w:p w:rsidR="00621722" w:rsidRPr="00621722" w:rsidRDefault="00621722" w:rsidP="00621722">
            <w:pPr>
              <w:pStyle w:val="a3"/>
              <w:numPr>
                <w:ilvl w:val="0"/>
                <w:numId w:val="57"/>
              </w:numPr>
              <w:rPr>
                <w:rFonts w:ascii="Times New Roman" w:hAnsi="Times New Roman" w:cs="Times New Roman"/>
                <w:sz w:val="25"/>
                <w:szCs w:val="25"/>
              </w:rPr>
            </w:pPr>
            <w:r w:rsidRPr="00621722">
              <w:rPr>
                <w:rFonts w:ascii="Times New Roman" w:hAnsi="Times New Roman" w:cs="Times New Roman"/>
                <w:sz w:val="25"/>
                <w:szCs w:val="25"/>
              </w:rPr>
              <w:t>споживчий кредит</w:t>
            </w:r>
          </w:p>
        </w:tc>
      </w:tr>
    </w:tbl>
    <w:p w:rsidR="00B63CA8" w:rsidRDefault="00B63CA8" w:rsidP="00621722">
      <w:pPr>
        <w:rPr>
          <w:rFonts w:ascii="Times New Roman" w:hAnsi="Times New Roman" w:cs="Times New Roman"/>
          <w:sz w:val="25"/>
          <w:szCs w:val="25"/>
        </w:rPr>
        <w:sectPr w:rsidR="00B63CA8" w:rsidSect="00B63CA8">
          <w:pgSz w:w="11909" w:h="16834" w:code="9"/>
          <w:pgMar w:top="1134" w:right="850" w:bottom="1134" w:left="1701" w:header="708" w:footer="708" w:gutter="0"/>
          <w:cols w:space="708"/>
          <w:docGrid w:linePitch="360"/>
        </w:sectPr>
      </w:pPr>
    </w:p>
    <w:p w:rsidR="00307A06" w:rsidRPr="00AD74E3" w:rsidRDefault="00776A19" w:rsidP="00AD74E3">
      <w:pPr>
        <w:pStyle w:val="1"/>
        <w:jc w:val="right"/>
        <w:rPr>
          <w:rFonts w:ascii="Times New Roman" w:hAnsi="Times New Roman" w:cs="Times New Roman"/>
          <w:color w:val="auto"/>
        </w:rPr>
      </w:pPr>
      <w:bookmarkStart w:id="18" w:name="_Toc293306715"/>
      <w:r>
        <w:rPr>
          <w:rFonts w:ascii="Times New Roman" w:hAnsi="Times New Roman" w:cs="Times New Roman"/>
          <w:noProof/>
          <w:color w:val="auto"/>
        </w:rPr>
        <w:lastRenderedPageBreak/>
        <mc:AlternateContent>
          <mc:Choice Requires="wpg">
            <w:drawing>
              <wp:anchor distT="0" distB="0" distL="114300" distR="114300" simplePos="0" relativeHeight="251669504" behindDoc="0" locked="0" layoutInCell="1" allowOverlap="1">
                <wp:simplePos x="0" y="0"/>
                <wp:positionH relativeFrom="column">
                  <wp:posOffset>-918210</wp:posOffset>
                </wp:positionH>
                <wp:positionV relativeFrom="paragraph">
                  <wp:posOffset>271145</wp:posOffset>
                </wp:positionV>
                <wp:extent cx="7277100" cy="7635240"/>
                <wp:effectExtent l="9525" t="10160" r="9525" b="12700"/>
                <wp:wrapNone/>
                <wp:docPr id="5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100" cy="7635240"/>
                          <a:chOff x="255" y="1140"/>
                          <a:chExt cx="11460" cy="12024"/>
                        </a:xfrm>
                      </wpg:grpSpPr>
                      <wps:wsp>
                        <wps:cNvPr id="52" name="AutoShape 122"/>
                        <wps:cNvCnPr>
                          <a:cxnSpLocks noChangeShapeType="1"/>
                        </wps:cNvCnPr>
                        <wps:spPr bwMode="auto">
                          <a:xfrm>
                            <a:off x="3975" y="6975"/>
                            <a:ext cx="57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123"/>
                        <wps:cNvSpPr>
                          <a:spLocks noChangeArrowheads="1"/>
                        </wps:cNvSpPr>
                        <wps:spPr bwMode="auto">
                          <a:xfrm>
                            <a:off x="2700" y="1140"/>
                            <a:ext cx="6405" cy="88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jc w:val="center"/>
                                <w:rPr>
                                  <w:rFonts w:ascii="Times New Roman" w:hAnsi="Times New Roman"/>
                                  <w:b/>
                                  <w:sz w:val="28"/>
                                  <w:szCs w:val="28"/>
                                </w:rPr>
                              </w:pPr>
                              <w:r w:rsidRPr="000B49AF">
                                <w:rPr>
                                  <w:rFonts w:ascii="Times New Roman" w:hAnsi="Times New Roman"/>
                                  <w:b/>
                                  <w:sz w:val="28"/>
                                  <w:szCs w:val="28"/>
                                </w:rPr>
                                <w:t>Методологічні аспекти управл</w:t>
                              </w:r>
                              <w:r>
                                <w:rPr>
                                  <w:rFonts w:ascii="Times New Roman" w:hAnsi="Times New Roman"/>
                                  <w:b/>
                                  <w:sz w:val="28"/>
                                  <w:szCs w:val="28"/>
                                </w:rPr>
                                <w:t>іння кредитною діяльністю</w:t>
                              </w:r>
                              <w:r w:rsidRPr="000B49AF">
                                <w:rPr>
                                  <w:rFonts w:ascii="Times New Roman" w:hAnsi="Times New Roman"/>
                                  <w:b/>
                                  <w:sz w:val="28"/>
                                  <w:szCs w:val="28"/>
                                </w:rPr>
                                <w:t xml:space="preserve"> комерційного банку</w:t>
                              </w:r>
                            </w:p>
                          </w:txbxContent>
                        </wps:txbx>
                        <wps:bodyPr rot="0" vert="horz" wrap="square" lIns="91440" tIns="45720" rIns="91440" bIns="45720" anchor="t" anchorCtr="0" upright="1">
                          <a:noAutofit/>
                        </wps:bodyPr>
                      </wps:wsp>
                      <wps:wsp>
                        <wps:cNvPr id="54" name="AutoShape 124"/>
                        <wps:cNvCnPr>
                          <a:cxnSpLocks noChangeShapeType="1"/>
                        </wps:cNvCnPr>
                        <wps:spPr bwMode="auto">
                          <a:xfrm rot="5400000">
                            <a:off x="1822" y="1703"/>
                            <a:ext cx="1005" cy="750"/>
                          </a:xfrm>
                          <a:prstGeom prst="bentConnector3">
                            <a:avLst>
                              <a:gd name="adj1" fmla="val 49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5" name="Rectangle 125"/>
                        <wps:cNvSpPr>
                          <a:spLocks noChangeArrowheads="1"/>
                        </wps:cNvSpPr>
                        <wps:spPr bwMode="auto">
                          <a:xfrm>
                            <a:off x="630" y="2580"/>
                            <a:ext cx="2865" cy="69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jc w:val="center"/>
                                <w:rPr>
                                  <w:rFonts w:ascii="Times New Roman" w:hAnsi="Times New Roman"/>
                                  <w:b/>
                                  <w:sz w:val="20"/>
                                  <w:szCs w:val="20"/>
                                </w:rPr>
                              </w:pPr>
                              <w:r w:rsidRPr="000B49AF">
                                <w:rPr>
                                  <w:rFonts w:ascii="Times New Roman" w:hAnsi="Times New Roman"/>
                                  <w:b/>
                                  <w:sz w:val="20"/>
                                  <w:szCs w:val="20"/>
                                </w:rPr>
                                <w:t>Основні задачі кредитного менеджменту</w:t>
                              </w:r>
                            </w:p>
                          </w:txbxContent>
                        </wps:txbx>
                        <wps:bodyPr rot="0" vert="horz" wrap="square" lIns="91440" tIns="45720" rIns="91440" bIns="45720" anchor="t" anchorCtr="0" upright="1">
                          <a:noAutofit/>
                        </wps:bodyPr>
                      </wps:wsp>
                      <wps:wsp>
                        <wps:cNvPr id="56" name="AutoShape 126"/>
                        <wps:cNvCnPr>
                          <a:cxnSpLocks noChangeShapeType="1"/>
                        </wps:cNvCnPr>
                        <wps:spPr bwMode="auto">
                          <a:xfrm>
                            <a:off x="5970" y="2025"/>
                            <a:ext cx="1"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Rectangle 127"/>
                        <wps:cNvSpPr>
                          <a:spLocks noChangeArrowheads="1"/>
                        </wps:cNvSpPr>
                        <wps:spPr bwMode="auto">
                          <a:xfrm>
                            <a:off x="4470" y="2580"/>
                            <a:ext cx="3195" cy="69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jc w:val="center"/>
                                <w:rPr>
                                  <w:rFonts w:ascii="Times New Roman" w:hAnsi="Times New Roman"/>
                                  <w:b/>
                                  <w:sz w:val="20"/>
                                  <w:szCs w:val="20"/>
                                </w:rPr>
                              </w:pPr>
                              <w:r w:rsidRPr="000B49AF">
                                <w:rPr>
                                  <w:rFonts w:ascii="Times New Roman" w:hAnsi="Times New Roman"/>
                                  <w:b/>
                                  <w:sz w:val="20"/>
                                  <w:szCs w:val="20"/>
                                </w:rPr>
                                <w:t>Основні елементи кредитного менеджменту</w:t>
                              </w:r>
                            </w:p>
                          </w:txbxContent>
                        </wps:txbx>
                        <wps:bodyPr rot="0" vert="horz" wrap="square" lIns="91440" tIns="45720" rIns="91440" bIns="45720" anchor="t" anchorCtr="0" upright="1">
                          <a:noAutofit/>
                        </wps:bodyPr>
                      </wps:wsp>
                      <wps:wsp>
                        <wps:cNvPr id="58" name="AutoShape 128"/>
                        <wps:cNvCnPr>
                          <a:cxnSpLocks noChangeShapeType="1"/>
                        </wps:cNvCnPr>
                        <wps:spPr bwMode="auto">
                          <a:xfrm>
                            <a:off x="255" y="2940"/>
                            <a:ext cx="0" cy="5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129"/>
                        <wps:cNvCnPr>
                          <a:cxnSpLocks noChangeShapeType="1"/>
                        </wps:cNvCnPr>
                        <wps:spPr bwMode="auto">
                          <a:xfrm>
                            <a:off x="255" y="3825"/>
                            <a:ext cx="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30"/>
                        <wps:cNvCnPr>
                          <a:cxnSpLocks noChangeShapeType="1"/>
                        </wps:cNvCnPr>
                        <wps:spPr bwMode="auto">
                          <a:xfrm>
                            <a:off x="255" y="4950"/>
                            <a:ext cx="37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31"/>
                        <wps:cNvCnPr>
                          <a:cxnSpLocks noChangeShapeType="1"/>
                        </wps:cNvCnPr>
                        <wps:spPr bwMode="auto">
                          <a:xfrm>
                            <a:off x="255" y="6015"/>
                            <a:ext cx="37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132"/>
                        <wps:cNvCnPr>
                          <a:cxnSpLocks noChangeShapeType="1"/>
                        </wps:cNvCnPr>
                        <wps:spPr bwMode="auto">
                          <a:xfrm>
                            <a:off x="255" y="7064"/>
                            <a:ext cx="37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133"/>
                        <wps:cNvCnPr>
                          <a:cxnSpLocks noChangeShapeType="1"/>
                        </wps:cNvCnPr>
                        <wps:spPr bwMode="auto">
                          <a:xfrm>
                            <a:off x="255" y="8400"/>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34"/>
                        <wps:cNvCnPr>
                          <a:cxnSpLocks noChangeShapeType="1"/>
                        </wps:cNvCnPr>
                        <wps:spPr bwMode="auto">
                          <a:xfrm>
                            <a:off x="255" y="9375"/>
                            <a:ext cx="46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Rectangle 135"/>
                        <wps:cNvSpPr>
                          <a:spLocks noChangeArrowheads="1"/>
                        </wps:cNvSpPr>
                        <wps:spPr bwMode="auto">
                          <a:xfrm>
                            <a:off x="630" y="3435"/>
                            <a:ext cx="2850" cy="81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Забезпечення основних принципів кредитування</w:t>
                              </w:r>
                            </w:p>
                          </w:txbxContent>
                        </wps:txbx>
                        <wps:bodyPr rot="0" vert="horz" wrap="square" lIns="91440" tIns="45720" rIns="91440" bIns="45720" anchor="t" anchorCtr="0" upright="1">
                          <a:noAutofit/>
                        </wps:bodyPr>
                      </wps:wsp>
                      <wps:wsp>
                        <wps:cNvPr id="66" name="Rectangle 136"/>
                        <wps:cNvSpPr>
                          <a:spLocks noChangeArrowheads="1"/>
                        </wps:cNvSpPr>
                        <wps:spPr bwMode="auto">
                          <a:xfrm>
                            <a:off x="630" y="4410"/>
                            <a:ext cx="2850" cy="109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Забезпечення високого рівня дохідності кредитних операцій</w:t>
                              </w:r>
                            </w:p>
                          </w:txbxContent>
                        </wps:txbx>
                        <wps:bodyPr rot="0" vert="horz" wrap="square" lIns="91440" tIns="45720" rIns="91440" bIns="45720" anchor="t" anchorCtr="0" upright="1">
                          <a:noAutofit/>
                        </wps:bodyPr>
                      </wps:wsp>
                      <wps:wsp>
                        <wps:cNvPr id="67" name="Rectangle 137"/>
                        <wps:cNvSpPr>
                          <a:spLocks noChangeArrowheads="1"/>
                        </wps:cNvSpPr>
                        <wps:spPr bwMode="auto">
                          <a:xfrm>
                            <a:off x="630" y="5670"/>
                            <a:ext cx="2850" cy="69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Зниження ризику кредитних операцій</w:t>
                              </w:r>
                            </w:p>
                          </w:txbxContent>
                        </wps:txbx>
                        <wps:bodyPr rot="0" vert="horz" wrap="square" lIns="91440" tIns="45720" rIns="91440" bIns="45720" anchor="t" anchorCtr="0" upright="1">
                          <a:noAutofit/>
                        </wps:bodyPr>
                      </wps:wsp>
                      <wps:wsp>
                        <wps:cNvPr id="68" name="Rectangle 138"/>
                        <wps:cNvSpPr>
                          <a:spLocks noChangeArrowheads="1"/>
                        </wps:cNvSpPr>
                        <wps:spPr bwMode="auto">
                          <a:xfrm>
                            <a:off x="630" y="6525"/>
                            <a:ext cx="2910" cy="100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Забезпечення високої якості обслуговування клієнтів банку</w:t>
                              </w:r>
                            </w:p>
                          </w:txbxContent>
                        </wps:txbx>
                        <wps:bodyPr rot="0" vert="horz" wrap="square" lIns="91440" tIns="45720" rIns="91440" bIns="45720" anchor="t" anchorCtr="0" upright="1">
                          <a:noAutofit/>
                        </wps:bodyPr>
                      </wps:wsp>
                      <wps:wsp>
                        <wps:cNvPr id="69" name="Rectangle 139"/>
                        <wps:cNvSpPr>
                          <a:spLocks noChangeArrowheads="1"/>
                        </wps:cNvSpPr>
                        <wps:spPr bwMode="auto">
                          <a:xfrm>
                            <a:off x="660" y="7695"/>
                            <a:ext cx="2880" cy="133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Реалізація принципів маркетингу у процесі здійснення кредитної діяльності</w:t>
                              </w:r>
                            </w:p>
                          </w:txbxContent>
                        </wps:txbx>
                        <wps:bodyPr rot="0" vert="horz" wrap="square" lIns="91440" tIns="45720" rIns="91440" bIns="45720" anchor="t" anchorCtr="0" upright="1">
                          <a:noAutofit/>
                        </wps:bodyPr>
                      </wps:wsp>
                      <wps:wsp>
                        <wps:cNvPr id="70" name="Rectangle 140"/>
                        <wps:cNvSpPr>
                          <a:spLocks noChangeArrowheads="1"/>
                        </wps:cNvSpPr>
                        <wps:spPr bwMode="auto">
                          <a:xfrm>
                            <a:off x="720" y="9135"/>
                            <a:ext cx="2820" cy="105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Зміцнення конкурентних позицій на кредитному ринку</w:t>
                              </w:r>
                            </w:p>
                          </w:txbxContent>
                        </wps:txbx>
                        <wps:bodyPr rot="0" vert="horz" wrap="square" lIns="91440" tIns="45720" rIns="91440" bIns="45720" anchor="t" anchorCtr="0" upright="1">
                          <a:noAutofit/>
                        </wps:bodyPr>
                      </wps:wsp>
                      <wps:wsp>
                        <wps:cNvPr id="71" name="AutoShape 141"/>
                        <wps:cNvCnPr>
                          <a:cxnSpLocks noChangeShapeType="1"/>
                        </wps:cNvCnPr>
                        <wps:spPr bwMode="auto">
                          <a:xfrm>
                            <a:off x="255" y="8925"/>
                            <a:ext cx="0"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142"/>
                        <wps:cNvCnPr>
                          <a:cxnSpLocks noChangeShapeType="1"/>
                        </wps:cNvCnPr>
                        <wps:spPr bwMode="auto">
                          <a:xfrm flipH="1">
                            <a:off x="3975" y="2940"/>
                            <a:ext cx="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143"/>
                        <wps:cNvCnPr>
                          <a:cxnSpLocks noChangeShapeType="1"/>
                        </wps:cNvCnPr>
                        <wps:spPr bwMode="auto">
                          <a:xfrm>
                            <a:off x="3975" y="2940"/>
                            <a:ext cx="0" cy="4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144"/>
                        <wps:cNvSpPr>
                          <a:spLocks noChangeArrowheads="1"/>
                        </wps:cNvSpPr>
                        <wps:spPr bwMode="auto">
                          <a:xfrm>
                            <a:off x="4470" y="3345"/>
                            <a:ext cx="3225" cy="686"/>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Проведення маркетингових досліджень</w:t>
                              </w:r>
                            </w:p>
                          </w:txbxContent>
                        </wps:txbx>
                        <wps:bodyPr rot="0" vert="horz" wrap="square" lIns="91440" tIns="45720" rIns="91440" bIns="45720" anchor="t" anchorCtr="0" upright="1">
                          <a:noAutofit/>
                        </wps:bodyPr>
                      </wps:wsp>
                      <wps:wsp>
                        <wps:cNvPr id="75" name="Rectangle 145"/>
                        <wps:cNvSpPr>
                          <a:spLocks noChangeArrowheads="1"/>
                        </wps:cNvSpPr>
                        <wps:spPr bwMode="auto">
                          <a:xfrm>
                            <a:off x="4545" y="4129"/>
                            <a:ext cx="3150" cy="784"/>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 xml:space="preserve">Дослідження кон’юнктури кредитного ринку </w:t>
                              </w:r>
                            </w:p>
                          </w:txbxContent>
                        </wps:txbx>
                        <wps:bodyPr rot="0" vert="horz" wrap="square" lIns="91440" tIns="45720" rIns="91440" bIns="45720" anchor="t" anchorCtr="0" upright="1">
                          <a:noAutofit/>
                        </wps:bodyPr>
                      </wps:wsp>
                      <wps:wsp>
                        <wps:cNvPr id="76" name="Rectangle 146"/>
                        <wps:cNvSpPr>
                          <a:spLocks noChangeArrowheads="1"/>
                        </wps:cNvSpPr>
                        <wps:spPr bwMode="auto">
                          <a:xfrm>
                            <a:off x="4515" y="4995"/>
                            <a:ext cx="3180" cy="67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Аналіз кредитної діяльності</w:t>
                              </w:r>
                            </w:p>
                          </w:txbxContent>
                        </wps:txbx>
                        <wps:bodyPr rot="0" vert="horz" wrap="square" lIns="91440" tIns="45720" rIns="91440" bIns="45720" anchor="t" anchorCtr="0" upright="1">
                          <a:noAutofit/>
                        </wps:bodyPr>
                      </wps:wsp>
                      <wps:wsp>
                        <wps:cNvPr id="77" name="Rectangle 147"/>
                        <wps:cNvSpPr>
                          <a:spLocks noChangeArrowheads="1"/>
                        </wps:cNvSpPr>
                        <wps:spPr bwMode="auto">
                          <a:xfrm>
                            <a:off x="4515" y="5819"/>
                            <a:ext cx="3180" cy="706"/>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Планування кредитної діяльності</w:t>
                              </w:r>
                            </w:p>
                          </w:txbxContent>
                        </wps:txbx>
                        <wps:bodyPr rot="0" vert="horz" wrap="square" lIns="91440" tIns="45720" rIns="91440" bIns="45720" anchor="t" anchorCtr="0" upright="1">
                          <a:noAutofit/>
                        </wps:bodyPr>
                      </wps:wsp>
                      <wps:wsp>
                        <wps:cNvPr id="78" name="Rectangle 148"/>
                        <wps:cNvSpPr>
                          <a:spLocks noChangeArrowheads="1"/>
                        </wps:cNvSpPr>
                        <wps:spPr bwMode="auto">
                          <a:xfrm>
                            <a:off x="4545" y="6735"/>
                            <a:ext cx="3105" cy="79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Здійснення постійного  моніторингу</w:t>
                              </w:r>
                            </w:p>
                          </w:txbxContent>
                        </wps:txbx>
                        <wps:bodyPr rot="0" vert="horz" wrap="square" lIns="91440" tIns="45720" rIns="91440" bIns="45720" anchor="t" anchorCtr="0" upright="1">
                          <a:noAutofit/>
                        </wps:bodyPr>
                      </wps:wsp>
                      <wps:wsp>
                        <wps:cNvPr id="79" name="Rectangle 149"/>
                        <wps:cNvSpPr>
                          <a:spLocks noChangeArrowheads="1"/>
                        </wps:cNvSpPr>
                        <wps:spPr bwMode="auto">
                          <a:xfrm>
                            <a:off x="4590" y="7809"/>
                            <a:ext cx="3105" cy="69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Перевірка ефективності кредитних угод</w:t>
                              </w:r>
                            </w:p>
                          </w:txbxContent>
                        </wps:txbx>
                        <wps:bodyPr rot="0" vert="horz" wrap="square" lIns="91440" tIns="45720" rIns="91440" bIns="45720" anchor="t" anchorCtr="0" upright="1">
                          <a:noAutofit/>
                        </wps:bodyPr>
                      </wps:wsp>
                      <wps:wsp>
                        <wps:cNvPr id="80" name="AutoShape 150"/>
                        <wps:cNvCnPr>
                          <a:cxnSpLocks noChangeShapeType="1"/>
                        </wps:cNvCnPr>
                        <wps:spPr bwMode="auto">
                          <a:xfrm>
                            <a:off x="3975" y="3705"/>
                            <a:ext cx="49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151"/>
                        <wps:cNvCnPr>
                          <a:cxnSpLocks noChangeShapeType="1"/>
                        </wps:cNvCnPr>
                        <wps:spPr bwMode="auto">
                          <a:xfrm>
                            <a:off x="3975" y="4515"/>
                            <a:ext cx="57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152"/>
                        <wps:cNvCnPr>
                          <a:cxnSpLocks noChangeShapeType="1"/>
                        </wps:cNvCnPr>
                        <wps:spPr bwMode="auto">
                          <a:xfrm>
                            <a:off x="3975" y="5325"/>
                            <a:ext cx="54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153"/>
                        <wps:cNvCnPr>
                          <a:cxnSpLocks noChangeShapeType="1"/>
                        </wps:cNvCnPr>
                        <wps:spPr bwMode="auto">
                          <a:xfrm>
                            <a:off x="3975" y="6195"/>
                            <a:ext cx="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154"/>
                        <wps:cNvCnPr>
                          <a:cxnSpLocks noChangeShapeType="1"/>
                        </wps:cNvCnPr>
                        <wps:spPr bwMode="auto">
                          <a:xfrm>
                            <a:off x="6086" y="7530"/>
                            <a:ext cx="0" cy="2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155"/>
                        <wps:cNvCnPr>
                          <a:cxnSpLocks noChangeShapeType="1"/>
                        </wps:cNvCnPr>
                        <wps:spPr bwMode="auto">
                          <a:xfrm>
                            <a:off x="3795" y="6360"/>
                            <a:ext cx="0" cy="3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156"/>
                        <wps:cNvSpPr>
                          <a:spLocks noChangeArrowheads="1"/>
                        </wps:cNvSpPr>
                        <wps:spPr bwMode="auto">
                          <a:xfrm>
                            <a:off x="1560" y="10719"/>
                            <a:ext cx="2670" cy="100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Система показників,що підлягають поточному кредитному плануванню</w:t>
                              </w:r>
                            </w:p>
                          </w:txbxContent>
                        </wps:txbx>
                        <wps:bodyPr rot="0" vert="horz" wrap="square" lIns="91440" tIns="45720" rIns="91440" bIns="45720" anchor="t" anchorCtr="0" upright="1">
                          <a:noAutofit/>
                        </wps:bodyPr>
                      </wps:wsp>
                      <wps:wsp>
                        <wps:cNvPr id="87" name="Rectangle 157"/>
                        <wps:cNvSpPr>
                          <a:spLocks noChangeArrowheads="1"/>
                        </wps:cNvSpPr>
                        <wps:spPr bwMode="auto">
                          <a:xfrm>
                            <a:off x="5280" y="9519"/>
                            <a:ext cx="2820" cy="109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Показники загального обсягу кредитної діяльності  банку</w:t>
                              </w:r>
                            </w:p>
                          </w:txbxContent>
                        </wps:txbx>
                        <wps:bodyPr rot="0" vert="horz" wrap="square" lIns="91440" tIns="45720" rIns="91440" bIns="45720" anchor="t" anchorCtr="0" upright="1">
                          <a:noAutofit/>
                        </wps:bodyPr>
                      </wps:wsp>
                      <wps:wsp>
                        <wps:cNvPr id="88" name="Rectangle 158"/>
                        <wps:cNvSpPr>
                          <a:spLocks noChangeArrowheads="1"/>
                        </wps:cNvSpPr>
                        <wps:spPr bwMode="auto">
                          <a:xfrm>
                            <a:off x="5280" y="10719"/>
                            <a:ext cx="2820" cy="100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Показники структури кредитів по формах і видах</w:t>
                              </w:r>
                            </w:p>
                          </w:txbxContent>
                        </wps:txbx>
                        <wps:bodyPr rot="0" vert="horz" wrap="square" lIns="91440" tIns="45720" rIns="91440" bIns="45720" anchor="t" anchorCtr="0" upright="1">
                          <a:noAutofit/>
                        </wps:bodyPr>
                      </wps:wsp>
                      <wps:wsp>
                        <wps:cNvPr id="89" name="Rectangle 159"/>
                        <wps:cNvSpPr>
                          <a:spLocks noChangeArrowheads="1"/>
                        </wps:cNvSpPr>
                        <wps:spPr bwMode="auto">
                          <a:xfrm>
                            <a:off x="5334" y="11844"/>
                            <a:ext cx="2766" cy="132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Показники,що характеризують фінансову діяльність комерційного банку</w:t>
                              </w:r>
                            </w:p>
                          </w:txbxContent>
                        </wps:txbx>
                        <wps:bodyPr rot="0" vert="horz" wrap="square" lIns="91440" tIns="45720" rIns="91440" bIns="45720" anchor="t" anchorCtr="0" upright="1">
                          <a:noAutofit/>
                        </wps:bodyPr>
                      </wps:wsp>
                      <wps:wsp>
                        <wps:cNvPr id="90" name="Rectangle 160"/>
                        <wps:cNvSpPr>
                          <a:spLocks noChangeArrowheads="1"/>
                        </wps:cNvSpPr>
                        <wps:spPr bwMode="auto">
                          <a:xfrm>
                            <a:off x="8970" y="2101"/>
                            <a:ext cx="2550" cy="644"/>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Аналіз структури кредитних ресурсів</w:t>
                              </w:r>
                            </w:p>
                          </w:txbxContent>
                        </wps:txbx>
                        <wps:bodyPr rot="0" vert="horz" wrap="square" lIns="91440" tIns="45720" rIns="91440" bIns="45720" anchor="t" anchorCtr="0" upright="1">
                          <a:noAutofit/>
                        </wps:bodyPr>
                      </wps:wsp>
                      <wps:wsp>
                        <wps:cNvPr id="91" name="Rectangle 161"/>
                        <wps:cNvSpPr>
                          <a:spLocks noChangeArrowheads="1"/>
                        </wps:cNvSpPr>
                        <wps:spPr bwMode="auto">
                          <a:xfrm>
                            <a:off x="8970" y="2881"/>
                            <a:ext cx="2550" cy="659"/>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Аналіз динаміки обсягу кредитної діяльності</w:t>
                              </w:r>
                            </w:p>
                          </w:txbxContent>
                        </wps:txbx>
                        <wps:bodyPr rot="0" vert="horz" wrap="square" lIns="91440" tIns="45720" rIns="91440" bIns="45720" anchor="t" anchorCtr="0" upright="1">
                          <a:noAutofit/>
                        </wps:bodyPr>
                      </wps:wsp>
                      <wps:wsp>
                        <wps:cNvPr id="92" name="Rectangle 162"/>
                        <wps:cNvSpPr>
                          <a:spLocks noChangeArrowheads="1"/>
                        </wps:cNvSpPr>
                        <wps:spPr bwMode="auto">
                          <a:xfrm>
                            <a:off x="9030" y="4785"/>
                            <a:ext cx="2565" cy="1228"/>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sz w:val="21"/>
                                  <w:szCs w:val="21"/>
                                </w:rPr>
                              </w:pPr>
                              <w:r w:rsidRPr="000B49AF">
                                <w:rPr>
                                  <w:rFonts w:ascii="Times New Roman" w:hAnsi="Times New Roman"/>
                                  <w:sz w:val="21"/>
                                  <w:szCs w:val="21"/>
                                </w:rPr>
                                <w:t>Аналіз причин відхилення від  встановлених  економічних нормативів</w:t>
                              </w:r>
                            </w:p>
                          </w:txbxContent>
                        </wps:txbx>
                        <wps:bodyPr rot="0" vert="horz" wrap="square" lIns="91440" tIns="45720" rIns="91440" bIns="45720" anchor="t" anchorCtr="0" upright="1">
                          <a:noAutofit/>
                        </wps:bodyPr>
                      </wps:wsp>
                      <wps:wsp>
                        <wps:cNvPr id="93" name="Rectangle 163"/>
                        <wps:cNvSpPr>
                          <a:spLocks noChangeArrowheads="1"/>
                        </wps:cNvSpPr>
                        <wps:spPr bwMode="auto">
                          <a:xfrm>
                            <a:off x="9030" y="3706"/>
                            <a:ext cx="2490" cy="94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Аналіз структури наданих кредитів за їх формами і видами</w:t>
                              </w:r>
                            </w:p>
                          </w:txbxContent>
                        </wps:txbx>
                        <wps:bodyPr rot="0" vert="horz" wrap="square" lIns="91440" tIns="45720" rIns="91440" bIns="45720" anchor="t" anchorCtr="0" upright="1">
                          <a:noAutofit/>
                        </wps:bodyPr>
                      </wps:wsp>
                      <wps:wsp>
                        <wps:cNvPr id="94" name="Rectangle 164"/>
                        <wps:cNvSpPr>
                          <a:spLocks noChangeArrowheads="1"/>
                        </wps:cNvSpPr>
                        <wps:spPr bwMode="auto">
                          <a:xfrm>
                            <a:off x="9270" y="8595"/>
                            <a:ext cx="2445" cy="103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Принципи побудови системи внутрішнього моніторингу</w:t>
                              </w:r>
                            </w:p>
                          </w:txbxContent>
                        </wps:txbx>
                        <wps:bodyPr rot="0" vert="horz" wrap="square" lIns="91440" tIns="45720" rIns="91440" bIns="45720" anchor="t" anchorCtr="0" upright="1">
                          <a:noAutofit/>
                        </wps:bodyPr>
                      </wps:wsp>
                      <wps:wsp>
                        <wps:cNvPr id="95" name="Rectangle 165"/>
                        <wps:cNvSpPr>
                          <a:spLocks noChangeArrowheads="1"/>
                        </wps:cNvSpPr>
                        <wps:spPr bwMode="auto">
                          <a:xfrm>
                            <a:off x="9195" y="7064"/>
                            <a:ext cx="2520" cy="1225"/>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Аналіз ефективної кредитної діяльності і факторів,що її обумовлюють</w:t>
                              </w:r>
                            </w:p>
                          </w:txbxContent>
                        </wps:txbx>
                        <wps:bodyPr rot="0" vert="horz" wrap="square" lIns="91440" tIns="45720" rIns="91440" bIns="45720" anchor="t" anchorCtr="0" upright="1">
                          <a:noAutofit/>
                        </wps:bodyPr>
                      </wps:wsp>
                      <wps:wsp>
                        <wps:cNvPr id="96" name="Rectangle 166"/>
                        <wps:cNvSpPr>
                          <a:spLocks noChangeArrowheads="1"/>
                        </wps:cNvSpPr>
                        <wps:spPr bwMode="auto">
                          <a:xfrm>
                            <a:off x="9345" y="10614"/>
                            <a:ext cx="2370" cy="540"/>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Поточний контроль</w:t>
                              </w:r>
                            </w:p>
                          </w:txbxContent>
                        </wps:txbx>
                        <wps:bodyPr rot="0" vert="horz" wrap="square" lIns="91440" tIns="45720" rIns="91440" bIns="45720" anchor="t" anchorCtr="0" upright="1">
                          <a:noAutofit/>
                        </wps:bodyPr>
                      </wps:wsp>
                      <wps:wsp>
                        <wps:cNvPr id="97" name="Rectangle 167"/>
                        <wps:cNvSpPr>
                          <a:spLocks noChangeArrowheads="1"/>
                        </wps:cNvSpPr>
                        <wps:spPr bwMode="auto">
                          <a:xfrm>
                            <a:off x="9030" y="6138"/>
                            <a:ext cx="2610" cy="717"/>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Аналіз кредитних ризиків</w:t>
                              </w:r>
                            </w:p>
                          </w:txbxContent>
                        </wps:txbx>
                        <wps:bodyPr rot="0" vert="horz" wrap="square" lIns="91440" tIns="45720" rIns="91440" bIns="45720" anchor="t" anchorCtr="0" upright="1">
                          <a:noAutofit/>
                        </wps:bodyPr>
                      </wps:wsp>
                      <wps:wsp>
                        <wps:cNvPr id="98" name="Rectangle 168"/>
                        <wps:cNvSpPr>
                          <a:spLocks noChangeArrowheads="1"/>
                        </wps:cNvSpPr>
                        <wps:spPr bwMode="auto">
                          <a:xfrm>
                            <a:off x="9270" y="9780"/>
                            <a:ext cx="2445" cy="714"/>
                          </a:xfrm>
                          <a:prstGeom prst="rect">
                            <a:avLst/>
                          </a:prstGeom>
                          <a:solidFill>
                            <a:srgbClr val="FFFFFF"/>
                          </a:solidFill>
                          <a:ln w="9525">
                            <a:solidFill>
                              <a:srgbClr val="000000"/>
                            </a:solidFill>
                            <a:miter lim="800000"/>
                            <a:headEnd/>
                            <a:tailEnd/>
                          </a:ln>
                        </wps:spPr>
                        <wps:txbx>
                          <w:txbxContent>
                            <w:p w:rsidR="00631A1C" w:rsidRPr="000B49AF" w:rsidRDefault="00631A1C" w:rsidP="00307A06">
                              <w:pPr>
                                <w:rPr>
                                  <w:rFonts w:ascii="Times New Roman" w:hAnsi="Times New Roman"/>
                                </w:rPr>
                              </w:pPr>
                              <w:r w:rsidRPr="000B49AF">
                                <w:rPr>
                                  <w:rFonts w:ascii="Times New Roman" w:hAnsi="Times New Roman"/>
                                </w:rPr>
                                <w:t>Система стандартів показників</w:t>
                              </w:r>
                            </w:p>
                          </w:txbxContent>
                        </wps:txbx>
                        <wps:bodyPr rot="0" vert="horz" wrap="square" lIns="91440" tIns="45720" rIns="91440" bIns="45720" anchor="t" anchorCtr="0" upright="1">
                          <a:noAutofit/>
                        </wps:bodyPr>
                      </wps:wsp>
                      <wps:wsp>
                        <wps:cNvPr id="99" name="AutoShape 169"/>
                        <wps:cNvCnPr>
                          <a:cxnSpLocks noChangeShapeType="1"/>
                        </wps:cNvCnPr>
                        <wps:spPr bwMode="auto">
                          <a:xfrm>
                            <a:off x="4215" y="11259"/>
                            <a:ext cx="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70"/>
                        <wps:cNvCnPr>
                          <a:cxnSpLocks noChangeShapeType="1"/>
                        </wps:cNvCnPr>
                        <wps:spPr bwMode="auto">
                          <a:xfrm>
                            <a:off x="4860" y="10134"/>
                            <a:ext cx="0" cy="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171"/>
                        <wps:cNvCnPr>
                          <a:cxnSpLocks noChangeShapeType="1"/>
                        </wps:cNvCnPr>
                        <wps:spPr bwMode="auto">
                          <a:xfrm flipV="1">
                            <a:off x="4860" y="10133"/>
                            <a:ext cx="42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AutoShape 172"/>
                        <wps:cNvCnPr>
                          <a:cxnSpLocks noChangeShapeType="1"/>
                        </wps:cNvCnPr>
                        <wps:spPr bwMode="auto">
                          <a:xfrm>
                            <a:off x="4860" y="11259"/>
                            <a:ext cx="4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AutoShape 173"/>
                        <wps:cNvCnPr>
                          <a:cxnSpLocks noChangeShapeType="1"/>
                        </wps:cNvCnPr>
                        <wps:spPr bwMode="auto">
                          <a:xfrm>
                            <a:off x="4860" y="12219"/>
                            <a:ext cx="4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174"/>
                        <wps:cNvCnPr>
                          <a:cxnSpLocks noChangeShapeType="1"/>
                        </wps:cNvCnPr>
                        <wps:spPr bwMode="auto">
                          <a:xfrm>
                            <a:off x="8851" y="8289"/>
                            <a:ext cx="0" cy="26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175"/>
                        <wps:cNvCnPr>
                          <a:cxnSpLocks noChangeShapeType="1"/>
                        </wps:cNvCnPr>
                        <wps:spPr bwMode="auto">
                          <a:xfrm>
                            <a:off x="8850" y="10922"/>
                            <a:ext cx="49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176"/>
                        <wps:cNvCnPr>
                          <a:cxnSpLocks noChangeShapeType="1"/>
                        </wps:cNvCnPr>
                        <wps:spPr bwMode="auto">
                          <a:xfrm>
                            <a:off x="8775" y="7441"/>
                            <a:ext cx="42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177"/>
                        <wps:cNvCnPr>
                          <a:cxnSpLocks noChangeShapeType="1"/>
                        </wps:cNvCnPr>
                        <wps:spPr bwMode="auto">
                          <a:xfrm>
                            <a:off x="8851" y="8790"/>
                            <a:ext cx="4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178"/>
                        <wps:cNvCnPr>
                          <a:cxnSpLocks noChangeShapeType="1"/>
                        </wps:cNvCnPr>
                        <wps:spPr bwMode="auto">
                          <a:xfrm>
                            <a:off x="7695" y="5153"/>
                            <a:ext cx="1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79"/>
                        <wps:cNvCnPr>
                          <a:cxnSpLocks noChangeShapeType="1"/>
                        </wps:cNvCnPr>
                        <wps:spPr bwMode="auto">
                          <a:xfrm>
                            <a:off x="8775" y="2368"/>
                            <a:ext cx="0" cy="50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180"/>
                        <wps:cNvCnPr>
                          <a:cxnSpLocks noChangeShapeType="1"/>
                        </wps:cNvCnPr>
                        <wps:spPr bwMode="auto">
                          <a:xfrm>
                            <a:off x="8775" y="3211"/>
                            <a:ext cx="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AutoShape 181"/>
                        <wps:cNvCnPr>
                          <a:cxnSpLocks noChangeShapeType="1"/>
                        </wps:cNvCnPr>
                        <wps:spPr bwMode="auto">
                          <a:xfrm>
                            <a:off x="8775" y="4129"/>
                            <a:ext cx="25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182"/>
                        <wps:cNvCnPr>
                          <a:cxnSpLocks noChangeShapeType="1"/>
                        </wps:cNvCnPr>
                        <wps:spPr bwMode="auto">
                          <a:xfrm>
                            <a:off x="8775" y="6523"/>
                            <a:ext cx="25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183"/>
                        <wps:cNvCnPr>
                          <a:cxnSpLocks noChangeShapeType="1"/>
                        </wps:cNvCnPr>
                        <wps:spPr bwMode="auto">
                          <a:xfrm>
                            <a:off x="8775" y="5415"/>
                            <a:ext cx="25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184"/>
                        <wps:cNvCnPr>
                          <a:cxnSpLocks noChangeShapeType="1"/>
                        </wps:cNvCnPr>
                        <wps:spPr bwMode="auto">
                          <a:xfrm>
                            <a:off x="8851" y="10133"/>
                            <a:ext cx="42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AutoShape 185"/>
                        <wps:cNvCnPr>
                          <a:cxnSpLocks noChangeShapeType="1"/>
                        </wps:cNvCnPr>
                        <wps:spPr bwMode="auto">
                          <a:xfrm rot="16200000" flipH="1">
                            <a:off x="7938" y="7587"/>
                            <a:ext cx="1059" cy="765"/>
                          </a:xfrm>
                          <a:prstGeom prst="bentConnector3">
                            <a:avLst>
                              <a:gd name="adj1" fmla="val 4995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16" name="AutoShape 186"/>
                        <wps:cNvCnPr>
                          <a:cxnSpLocks noChangeShapeType="1"/>
                        </wps:cNvCnPr>
                        <wps:spPr bwMode="auto">
                          <a:xfrm>
                            <a:off x="3795" y="9390"/>
                            <a:ext cx="0" cy="13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1" o:spid="_x0000_s1138" style="position:absolute;left:0;text-align:left;margin-left:-72.3pt;margin-top:21.35pt;width:573pt;height:601.2pt;z-index:251669504;mso-position-horizontal-relative:text;mso-position-vertical-relative:text" coordorigin="255,1140" coordsize="11460,1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">
                <v:shape id="AutoShape 122" o:spid="_x0000_s1139" type="#_x0000_t32" style="position:absolute;left:3975;top:6975;width:5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rect id="Rectangle 123" o:spid="_x0000_s1140" style="position:absolute;left:2700;top:1140;width:640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rsidR="00631A1C" w:rsidRPr="000B49AF" w:rsidRDefault="00631A1C" w:rsidP="00307A06">
                        <w:pPr>
                          <w:jc w:val="center"/>
                          <w:rPr>
                            <w:rFonts w:ascii="Times New Roman" w:hAnsi="Times New Roman"/>
                            <w:b/>
                            <w:sz w:val="28"/>
                            <w:szCs w:val="28"/>
                          </w:rPr>
                        </w:pPr>
                        <w:r w:rsidRPr="000B49AF">
                          <w:rPr>
                            <w:rFonts w:ascii="Times New Roman" w:hAnsi="Times New Roman"/>
                            <w:b/>
                            <w:sz w:val="28"/>
                            <w:szCs w:val="28"/>
                          </w:rPr>
                          <w:t>Методологічні аспекти управл</w:t>
                        </w:r>
                        <w:r>
                          <w:rPr>
                            <w:rFonts w:ascii="Times New Roman" w:hAnsi="Times New Roman"/>
                            <w:b/>
                            <w:sz w:val="28"/>
                            <w:szCs w:val="28"/>
                          </w:rPr>
                          <w:t>іння кредитною діяльністю</w:t>
                        </w:r>
                        <w:r w:rsidRPr="000B49AF">
                          <w:rPr>
                            <w:rFonts w:ascii="Times New Roman" w:hAnsi="Times New Roman"/>
                            <w:b/>
                            <w:sz w:val="28"/>
                            <w:szCs w:val="28"/>
                          </w:rPr>
                          <w:t xml:space="preserve"> комерційного банку</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4" o:spid="_x0000_s1141" type="#_x0000_t34" style="position:absolute;left:1822;top:1703;width:1005;height:75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mXJMQAAADbAAAADwAAAGRycy9kb3ducmV2LnhtbESP0WoCMRRE3wv+Q7iFvmm2WqtujSLS&#10;BR+E0q0fcNlcs0s3N2sSdduvbwShj8PMnGGW69624kI+NI4VPI8yEMSV0w0bBYevYjgHESKyxtYx&#10;KfihAOvV4GGJuXZX/qRLGY1IEA45Kqhj7HIpQ1WTxTByHXHyjs5bjEl6I7XHa4LbVo6z7FVabDgt&#10;1NjRtqbquzxbBdWEP2bjzBeG96eye//1pljMlHp67DdvICL18T98b++0gukL3L6kH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eZckxAAAANsAAAAPAAAAAAAAAAAA&#10;AAAAAKECAABkcnMvZG93bnJldi54bWxQSwUGAAAAAAQABAD5AAAAkgMAAAAA&#10;" adj="107">
                  <v:stroke endarrow="block"/>
                </v:shape>
                <v:rect id="Rectangle 125" o:spid="_x0000_s1142" style="position:absolute;left:630;top:2580;width:286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631A1C" w:rsidRPr="000B49AF" w:rsidRDefault="00631A1C" w:rsidP="00307A06">
                        <w:pPr>
                          <w:jc w:val="center"/>
                          <w:rPr>
                            <w:rFonts w:ascii="Times New Roman" w:hAnsi="Times New Roman"/>
                            <w:b/>
                            <w:sz w:val="20"/>
                            <w:szCs w:val="20"/>
                          </w:rPr>
                        </w:pPr>
                        <w:r w:rsidRPr="000B49AF">
                          <w:rPr>
                            <w:rFonts w:ascii="Times New Roman" w:hAnsi="Times New Roman"/>
                            <w:b/>
                            <w:sz w:val="20"/>
                            <w:szCs w:val="20"/>
                          </w:rPr>
                          <w:t>Основні задачі кредитного менеджменту</w:t>
                        </w:r>
                      </w:p>
                    </w:txbxContent>
                  </v:textbox>
                </v:rect>
                <v:shape id="AutoShape 126" o:spid="_x0000_s1143" type="#_x0000_t32" style="position:absolute;left:5970;top:2025;width:1;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rect id="Rectangle 127" o:spid="_x0000_s1144" style="position:absolute;left:4470;top:2580;width:31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631A1C" w:rsidRPr="000B49AF" w:rsidRDefault="00631A1C" w:rsidP="00307A06">
                        <w:pPr>
                          <w:jc w:val="center"/>
                          <w:rPr>
                            <w:rFonts w:ascii="Times New Roman" w:hAnsi="Times New Roman"/>
                            <w:b/>
                            <w:sz w:val="20"/>
                            <w:szCs w:val="20"/>
                          </w:rPr>
                        </w:pPr>
                        <w:r w:rsidRPr="000B49AF">
                          <w:rPr>
                            <w:rFonts w:ascii="Times New Roman" w:hAnsi="Times New Roman"/>
                            <w:b/>
                            <w:sz w:val="20"/>
                            <w:szCs w:val="20"/>
                          </w:rPr>
                          <w:t>Основні елементи кредитного менеджменту</w:t>
                        </w:r>
                      </w:p>
                    </w:txbxContent>
                  </v:textbox>
                </v:rect>
                <v:shape id="AutoShape 128" o:spid="_x0000_s1145" type="#_x0000_t32" style="position:absolute;left:255;top:2940;width:0;height:5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129" o:spid="_x0000_s1146" type="#_x0000_t32" style="position:absolute;left:255;top:3825;width: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130" o:spid="_x0000_s1147" type="#_x0000_t32" style="position:absolute;left:255;top:4950;width:37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131" o:spid="_x0000_s1148" type="#_x0000_t32" style="position:absolute;left:255;top:6015;width:37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132" o:spid="_x0000_s1149" type="#_x0000_t32" style="position:absolute;left:255;top:7064;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AutoShape 133" o:spid="_x0000_s1150" type="#_x0000_t32" style="position:absolute;left:255;top:8400;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134" o:spid="_x0000_s1151" type="#_x0000_t32" style="position:absolute;left:255;top:9375;width:46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rect id="Rectangle 135" o:spid="_x0000_s1152" style="position:absolute;left:630;top:3435;width:285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Забезпечення основних принципів кредитування</w:t>
                        </w:r>
                      </w:p>
                    </w:txbxContent>
                  </v:textbox>
                </v:rect>
                <v:rect id="Rectangle 136" o:spid="_x0000_s1153" style="position:absolute;left:630;top:4410;width:285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631A1C" w:rsidRPr="000B49AF" w:rsidRDefault="00631A1C" w:rsidP="00307A06">
                        <w:pPr>
                          <w:rPr>
                            <w:rFonts w:ascii="Times New Roman" w:hAnsi="Times New Roman"/>
                          </w:rPr>
                        </w:pPr>
                        <w:r w:rsidRPr="000B49AF">
                          <w:rPr>
                            <w:rFonts w:ascii="Times New Roman" w:hAnsi="Times New Roman"/>
                          </w:rPr>
                          <w:t>Забезпечення високого рівня дохідності кредитних операцій</w:t>
                        </w:r>
                      </w:p>
                    </w:txbxContent>
                  </v:textbox>
                </v:rect>
                <v:rect id="Rectangle 137" o:spid="_x0000_s1154" style="position:absolute;left:630;top:5670;width:285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631A1C" w:rsidRPr="000B49AF" w:rsidRDefault="00631A1C" w:rsidP="00307A06">
                        <w:pPr>
                          <w:rPr>
                            <w:rFonts w:ascii="Times New Roman" w:hAnsi="Times New Roman"/>
                          </w:rPr>
                        </w:pPr>
                        <w:r w:rsidRPr="000B49AF">
                          <w:rPr>
                            <w:rFonts w:ascii="Times New Roman" w:hAnsi="Times New Roman"/>
                          </w:rPr>
                          <w:t>Зниження ризику кредитних операцій</w:t>
                        </w:r>
                      </w:p>
                    </w:txbxContent>
                  </v:textbox>
                </v:rect>
                <v:rect id="Rectangle 138" o:spid="_x0000_s1155" style="position:absolute;left:630;top:6525;width:2910;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631A1C" w:rsidRPr="000B49AF" w:rsidRDefault="00631A1C" w:rsidP="00307A06">
                        <w:pPr>
                          <w:rPr>
                            <w:rFonts w:ascii="Times New Roman" w:hAnsi="Times New Roman"/>
                          </w:rPr>
                        </w:pPr>
                        <w:r w:rsidRPr="000B49AF">
                          <w:rPr>
                            <w:rFonts w:ascii="Times New Roman" w:hAnsi="Times New Roman"/>
                          </w:rPr>
                          <w:t>Забезпечення високої якості обслуговування клієнтів банку</w:t>
                        </w:r>
                      </w:p>
                    </w:txbxContent>
                  </v:textbox>
                </v:rect>
                <v:rect id="Rectangle 139" o:spid="_x0000_s1156" style="position:absolute;left:660;top:7695;width:2880;height:1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631A1C" w:rsidRPr="000B49AF" w:rsidRDefault="00631A1C" w:rsidP="00307A06">
                        <w:pPr>
                          <w:rPr>
                            <w:rFonts w:ascii="Times New Roman" w:hAnsi="Times New Roman"/>
                          </w:rPr>
                        </w:pPr>
                        <w:r w:rsidRPr="000B49AF">
                          <w:rPr>
                            <w:rFonts w:ascii="Times New Roman" w:hAnsi="Times New Roman"/>
                          </w:rPr>
                          <w:t>Реалізація принципів маркетингу у процесі здійснення кредитної діяльності</w:t>
                        </w:r>
                      </w:p>
                    </w:txbxContent>
                  </v:textbox>
                </v:rect>
                <v:rect id="Rectangle 140" o:spid="_x0000_s1157" style="position:absolute;left:720;top:9135;width:282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631A1C" w:rsidRPr="000B49AF" w:rsidRDefault="00631A1C" w:rsidP="00307A06">
                        <w:pPr>
                          <w:rPr>
                            <w:rFonts w:ascii="Times New Roman" w:hAnsi="Times New Roman"/>
                          </w:rPr>
                        </w:pPr>
                        <w:r w:rsidRPr="000B49AF">
                          <w:rPr>
                            <w:rFonts w:ascii="Times New Roman" w:hAnsi="Times New Roman"/>
                          </w:rPr>
                          <w:t>Зміцнення конкурентних позицій на кредитному ринку</w:t>
                        </w:r>
                      </w:p>
                    </w:txbxContent>
                  </v:textbox>
                </v:rect>
                <v:shape id="AutoShape 141" o:spid="_x0000_s1158" type="#_x0000_t32" style="position:absolute;left:255;top:8925;width:0;height: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AutoShape 142" o:spid="_x0000_s1159" type="#_x0000_t32" style="position:absolute;left:3975;top:2940;width:4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kGsMAAADbAAAADwAAAGRycy9kb3ducmV2LnhtbESPQYvCMBSE7wv+h/AEL8ua1sMqXaPI&#10;wsLiQVB78PhInm2xealJttZ/b4QFj8PMfMMs14NtRU8+NI4V5NMMBLF2puFKQXn8+ViACBHZYOuY&#10;FNwpwHo1eltiYdyN99QfYiUShEOBCuoYu0LKoGuyGKauI07e2XmLMUlfSePxluC2lbMs+5QWG04L&#10;NXb0XZO+HP6sgmZb7sr+/Rq9Xmzzk8/D8dRqpSbjYfMFItIQX+H/9q9RMJ/B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5BrDAAAA2wAAAA8AAAAAAAAAAAAA&#10;AAAAoQIAAGRycy9kb3ducmV2LnhtbFBLBQYAAAAABAAEAPkAAACRAwAAAAA=&#10;"/>
                <v:shape id="AutoShape 143" o:spid="_x0000_s1160" type="#_x0000_t32" style="position:absolute;left:3975;top:2940;width:0;height:40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rect id="Rectangle 144" o:spid="_x0000_s1161" style="position:absolute;left:4470;top:3345;width:3225;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631A1C" w:rsidRPr="000B49AF" w:rsidRDefault="00631A1C" w:rsidP="00307A06">
                        <w:pPr>
                          <w:rPr>
                            <w:rFonts w:ascii="Times New Roman" w:hAnsi="Times New Roman"/>
                          </w:rPr>
                        </w:pPr>
                        <w:r w:rsidRPr="000B49AF">
                          <w:rPr>
                            <w:rFonts w:ascii="Times New Roman" w:hAnsi="Times New Roman"/>
                          </w:rPr>
                          <w:t>Проведення маркетингових досліджень</w:t>
                        </w:r>
                      </w:p>
                    </w:txbxContent>
                  </v:textbox>
                </v:rect>
                <v:rect id="Rectangle 145" o:spid="_x0000_s1162" style="position:absolute;left:4545;top:4129;width:3150;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631A1C" w:rsidRPr="000B49AF" w:rsidRDefault="00631A1C" w:rsidP="00307A06">
                        <w:pPr>
                          <w:rPr>
                            <w:rFonts w:ascii="Times New Roman" w:hAnsi="Times New Roman"/>
                          </w:rPr>
                        </w:pPr>
                        <w:r w:rsidRPr="000B49AF">
                          <w:rPr>
                            <w:rFonts w:ascii="Times New Roman" w:hAnsi="Times New Roman"/>
                          </w:rPr>
                          <w:t xml:space="preserve">Дослідження кон’юнктури кредитного ринку </w:t>
                        </w:r>
                      </w:p>
                    </w:txbxContent>
                  </v:textbox>
                </v:rect>
                <v:rect id="Rectangle 146" o:spid="_x0000_s1163" style="position:absolute;left:4515;top:4995;width:318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631A1C" w:rsidRPr="000B49AF" w:rsidRDefault="00631A1C" w:rsidP="00307A06">
                        <w:pPr>
                          <w:rPr>
                            <w:rFonts w:ascii="Times New Roman" w:hAnsi="Times New Roman"/>
                          </w:rPr>
                        </w:pPr>
                        <w:r w:rsidRPr="000B49AF">
                          <w:rPr>
                            <w:rFonts w:ascii="Times New Roman" w:hAnsi="Times New Roman"/>
                          </w:rPr>
                          <w:t>Аналіз кредитної діяльності</w:t>
                        </w:r>
                      </w:p>
                    </w:txbxContent>
                  </v:textbox>
                </v:rect>
                <v:rect id="Rectangle 147" o:spid="_x0000_s1164" style="position:absolute;left:4515;top:5819;width:3180;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Планування кредитної діяльності</w:t>
                        </w:r>
                      </w:p>
                    </w:txbxContent>
                  </v:textbox>
                </v:rect>
                <v:rect id="Rectangle 148" o:spid="_x0000_s1165" style="position:absolute;left:4545;top:6735;width:310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631A1C" w:rsidRPr="000B49AF" w:rsidRDefault="00631A1C" w:rsidP="00307A06">
                        <w:pPr>
                          <w:rPr>
                            <w:rFonts w:ascii="Times New Roman" w:hAnsi="Times New Roman"/>
                          </w:rPr>
                        </w:pPr>
                        <w:r w:rsidRPr="000B49AF">
                          <w:rPr>
                            <w:rFonts w:ascii="Times New Roman" w:hAnsi="Times New Roman"/>
                          </w:rPr>
                          <w:t>Здійснення постійного  моніторингу</w:t>
                        </w:r>
                      </w:p>
                    </w:txbxContent>
                  </v:textbox>
                </v:rect>
                <v:rect id="Rectangle 149" o:spid="_x0000_s1166" style="position:absolute;left:4590;top:7809;width:310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Перевірка ефективності кредитних угод</w:t>
                        </w:r>
                      </w:p>
                    </w:txbxContent>
                  </v:textbox>
                </v:rect>
                <v:shape id="AutoShape 150" o:spid="_x0000_s1167" type="#_x0000_t32" style="position:absolute;left:3975;top:3705;width:4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151" o:spid="_x0000_s1168" type="#_x0000_t32" style="position:absolute;left:3975;top:4515;width:5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152" o:spid="_x0000_s1169" type="#_x0000_t32" style="position:absolute;left:3975;top:5325;width:54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AutoShape 153" o:spid="_x0000_s1170" type="#_x0000_t32" style="position:absolute;left:3975;top:6195;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154" o:spid="_x0000_s1171" type="#_x0000_t32" style="position:absolute;left:6086;top:7530;width:0;height:2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155" o:spid="_x0000_s1172" type="#_x0000_t32" style="position:absolute;left:3795;top:6360;width:0;height:31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rect id="Rectangle 156" o:spid="_x0000_s1173" style="position:absolute;left:1560;top:10719;width:2670;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631A1C" w:rsidRPr="000B49AF" w:rsidRDefault="00631A1C" w:rsidP="00307A06">
                        <w:pPr>
                          <w:rPr>
                            <w:rFonts w:ascii="Times New Roman" w:hAnsi="Times New Roman"/>
                          </w:rPr>
                        </w:pPr>
                        <w:r w:rsidRPr="000B49AF">
                          <w:rPr>
                            <w:rFonts w:ascii="Times New Roman" w:hAnsi="Times New Roman"/>
                          </w:rPr>
                          <w:t>Система показників,що підлягають поточному кредитному плануванню</w:t>
                        </w:r>
                      </w:p>
                    </w:txbxContent>
                  </v:textbox>
                </v:rect>
                <v:rect id="Rectangle 157" o:spid="_x0000_s1174" style="position:absolute;left:5280;top:9519;width:282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Показники загального обсягу кредитної діяльності  банку</w:t>
                        </w:r>
                      </w:p>
                    </w:txbxContent>
                  </v:textbox>
                </v:rect>
                <v:rect id="Rectangle 158" o:spid="_x0000_s1175" style="position:absolute;left:5280;top:10719;width:2820;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UH8EA&#10;AADbAAAADwAAAGRycy9kb3ducmV2LnhtbERPTW+CQBC9N+l/2EwTb2WpJo1FFtLUaPSIeOltZEfA&#10;srOEXQX99d1Dkx5f3neaT6YTNxpca1nBWxSDIK6sbrlWcCw3r0sQziNr7CyTgjs5yLPnpxQTbUcu&#10;6HbwtQgh7BJU0HjfJ1K6qiGDLrI9ceDOdjDoAxxqqQccQ7jp5DyO36XBlkNDgz19NVT9HK5Gwamd&#10;H/FRlNvYfGwWfj+Vl+v3WqnZy/S5AuFp8v/iP/dOK1iGs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T1B/BAAAA2wAAAA8AAAAAAAAAAAAAAAAAmAIAAGRycy9kb3du&#10;cmV2LnhtbFBLBQYAAAAABAAEAPUAAACGAwAAAAA=&#10;">
                  <v:textbox>
                    <w:txbxContent>
                      <w:p w:rsidR="00631A1C" w:rsidRPr="000B49AF" w:rsidRDefault="00631A1C" w:rsidP="00307A06">
                        <w:pPr>
                          <w:rPr>
                            <w:rFonts w:ascii="Times New Roman" w:hAnsi="Times New Roman"/>
                          </w:rPr>
                        </w:pPr>
                        <w:r w:rsidRPr="000B49AF">
                          <w:rPr>
                            <w:rFonts w:ascii="Times New Roman" w:hAnsi="Times New Roman"/>
                          </w:rPr>
                          <w:t>Показники структури кредитів по формах і видах</w:t>
                        </w:r>
                      </w:p>
                    </w:txbxContent>
                  </v:textbox>
                </v:rect>
                <v:rect id="Rectangle 159" o:spid="_x0000_s1176" style="position:absolute;left:5334;top:11844;width:2766;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Показники,що характеризують фінансову діяльність комерційного банку</w:t>
                        </w:r>
                      </w:p>
                    </w:txbxContent>
                  </v:textbox>
                </v:rect>
                <v:rect id="Rectangle 160" o:spid="_x0000_s1177" style="position:absolute;left:8970;top:2101;width:2550;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631A1C" w:rsidRPr="000B49AF" w:rsidRDefault="00631A1C" w:rsidP="00307A06">
                        <w:pPr>
                          <w:rPr>
                            <w:rFonts w:ascii="Times New Roman" w:hAnsi="Times New Roman"/>
                          </w:rPr>
                        </w:pPr>
                        <w:r w:rsidRPr="000B49AF">
                          <w:rPr>
                            <w:rFonts w:ascii="Times New Roman" w:hAnsi="Times New Roman"/>
                          </w:rPr>
                          <w:t>Аналіз структури кредитних ресурсів</w:t>
                        </w:r>
                      </w:p>
                    </w:txbxContent>
                  </v:textbox>
                </v:rect>
                <v:rect id="Rectangle 161" o:spid="_x0000_s1178" style="position:absolute;left:8970;top:2881;width:2550;height: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Аналіз динаміки обсягу кредитної діяльності</w:t>
                        </w:r>
                      </w:p>
                    </w:txbxContent>
                  </v:textbox>
                </v:rect>
                <v:rect id="Rectangle 162" o:spid="_x0000_s1179" style="position:absolute;left:9030;top:4785;width:2565;height:1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w:txbxContent>
                      <w:p w:rsidR="00631A1C" w:rsidRPr="000B49AF" w:rsidRDefault="00631A1C" w:rsidP="00307A06">
                        <w:pPr>
                          <w:rPr>
                            <w:rFonts w:ascii="Times New Roman" w:hAnsi="Times New Roman"/>
                            <w:sz w:val="21"/>
                            <w:szCs w:val="21"/>
                          </w:rPr>
                        </w:pPr>
                        <w:r w:rsidRPr="000B49AF">
                          <w:rPr>
                            <w:rFonts w:ascii="Times New Roman" w:hAnsi="Times New Roman"/>
                            <w:sz w:val="21"/>
                            <w:szCs w:val="21"/>
                          </w:rPr>
                          <w:t>Аналіз причин відхилення від  встановлених  економічних нормативів</w:t>
                        </w:r>
                      </w:p>
                    </w:txbxContent>
                  </v:textbox>
                </v:rect>
                <v:rect id="Rectangle 163" o:spid="_x0000_s1180" style="position:absolute;left:9030;top:3706;width:2490;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Аналіз структури наданих кредитів за їх формами і видами</w:t>
                        </w:r>
                      </w:p>
                    </w:txbxContent>
                  </v:textbox>
                </v:rect>
                <v:rect id="Rectangle 164" o:spid="_x0000_s1181" style="position:absolute;left:9270;top:8595;width:244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Принципи побудови системи внутрішнього моніторингу</w:t>
                        </w:r>
                      </w:p>
                    </w:txbxContent>
                  </v:textbox>
                </v:rect>
                <v:rect id="Rectangle 165" o:spid="_x0000_s1182" style="position:absolute;left:9195;top:7064;width:2520;height:1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Аналіз ефективної кредитної діяльності і факторів,що її обумовлюють</w:t>
                        </w:r>
                      </w:p>
                    </w:txbxContent>
                  </v:textbox>
                </v:rect>
                <v:rect id="Rectangle 166" o:spid="_x0000_s1183" style="position:absolute;left:9345;top:10614;width:23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631A1C" w:rsidRPr="000B49AF" w:rsidRDefault="00631A1C" w:rsidP="00307A06">
                        <w:pPr>
                          <w:rPr>
                            <w:rFonts w:ascii="Times New Roman" w:hAnsi="Times New Roman"/>
                          </w:rPr>
                        </w:pPr>
                        <w:r w:rsidRPr="000B49AF">
                          <w:rPr>
                            <w:rFonts w:ascii="Times New Roman" w:hAnsi="Times New Roman"/>
                          </w:rPr>
                          <w:t>Поточний контроль</w:t>
                        </w:r>
                      </w:p>
                    </w:txbxContent>
                  </v:textbox>
                </v:rect>
                <v:rect id="Rectangle 167" o:spid="_x0000_s1184" style="position:absolute;left:9030;top:6138;width:2610;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631A1C" w:rsidRPr="000B49AF" w:rsidRDefault="00631A1C" w:rsidP="00307A06">
                        <w:pPr>
                          <w:rPr>
                            <w:rFonts w:ascii="Times New Roman" w:hAnsi="Times New Roman"/>
                          </w:rPr>
                        </w:pPr>
                        <w:r w:rsidRPr="000B49AF">
                          <w:rPr>
                            <w:rFonts w:ascii="Times New Roman" w:hAnsi="Times New Roman"/>
                          </w:rPr>
                          <w:t>Аналіз кредитних ризиків</w:t>
                        </w:r>
                      </w:p>
                    </w:txbxContent>
                  </v:textbox>
                </v:rect>
                <v:rect id="Rectangle 168" o:spid="_x0000_s1185" style="position:absolute;left:9270;top:9780;width:2445;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631A1C" w:rsidRPr="000B49AF" w:rsidRDefault="00631A1C" w:rsidP="00307A06">
                        <w:pPr>
                          <w:rPr>
                            <w:rFonts w:ascii="Times New Roman" w:hAnsi="Times New Roman"/>
                          </w:rPr>
                        </w:pPr>
                        <w:r w:rsidRPr="000B49AF">
                          <w:rPr>
                            <w:rFonts w:ascii="Times New Roman" w:hAnsi="Times New Roman"/>
                          </w:rPr>
                          <w:t>Система стандартів показників</w:t>
                        </w:r>
                      </w:p>
                    </w:txbxContent>
                  </v:textbox>
                </v:rect>
                <v:shape id="AutoShape 169" o:spid="_x0000_s1186" type="#_x0000_t32" style="position:absolute;left:4215;top:11259;width: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70" o:spid="_x0000_s1187" type="#_x0000_t32" style="position:absolute;left:4860;top:10134;width:0;height:20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171" o:spid="_x0000_s1188" type="#_x0000_t32" style="position:absolute;left:4860;top:10133;width:420;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LATMEAAADcAAAADwAAAGRycy9kb3ducmV2LnhtbERPTWvDMAy9D/ofjAq9LU4HHSOLW9pC&#10;IfQy1hW2o4i1xDSWQ+zFyb+vB4Pd9HifKneT7cRIgzeOFayzHARx7bThRsH14/T4AsIHZI2dY1Iw&#10;k4fddvFQYqFd5HcaL6ERKYR9gQraEPpCSl+3ZNFnridO3LcbLIYEh0bqAWMKt518yvNnadFwamix&#10;p2NL9e3yYxWY+GbGvjrGw/nzy+tIZt44o9RqOe1fQQSawr/4z13pND9fw+8z6QK5v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4sBMwQAAANwAAAAPAAAAAAAAAAAAAAAA&#10;AKECAABkcnMvZG93bnJldi54bWxQSwUGAAAAAAQABAD5AAAAjwMAAAAA&#10;">
                  <v:stroke endarrow="block"/>
                </v:shape>
                <v:shape id="AutoShape 172" o:spid="_x0000_s1189" type="#_x0000_t32" style="position:absolute;left:4860;top:11259;width:4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VeMIAAADcAAAADwAAAGRycy9kb3ducmV2LnhtbERPTYvCMBC9C/6HMII3TfUgazWKCC6L&#10;sgd1KXobmrEtNpOSRK3+erOwsLd5vM+ZL1tTizs5X1lWMBomIIhzqysuFPwcN4MPED4ga6wtk4In&#10;eVguup05pto+eE/3QyhEDGGfooIyhCaV0uclGfRD2xBH7mKdwRChK6R2+IjhppbjJJlIgxXHhhIb&#10;WpeUXw83o+C0m96yZ/ZN22w03Z7RGf86firV77WrGYhAbfgX/7m/dJyfjOH3mXiB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EVeMIAAADcAAAADwAAAAAAAAAAAAAA&#10;AAChAgAAZHJzL2Rvd25yZXYueG1sUEsFBgAAAAAEAAQA+QAAAJADAAAAAA==&#10;">
                  <v:stroke endarrow="block"/>
                </v:shape>
                <v:shape id="AutoShape 173" o:spid="_x0000_s1190" type="#_x0000_t32" style="position:absolute;left:4860;top:12219;width:4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 id="AutoShape 174" o:spid="_x0000_s1191" type="#_x0000_t32" style="position:absolute;left:8851;top:8289;width:0;height:26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175" o:spid="_x0000_s1192" type="#_x0000_t32" style="position:absolute;left:8850;top:10922;width:4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shape id="AutoShape 176" o:spid="_x0000_s1193" type="#_x0000_t32" style="position:absolute;left:8775;top:7441;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Te8QAAADcAAAADwAAAGRycy9kb3ducmV2LnhtbERPTWvCQBC9F/oflin0Vjd6EE1dpRQq&#10;JcVDjYR6G7JjEpqdDburSfrru4LgbR7vc1abwbTiQs43lhVMJwkI4tLqhisFh/zjZQHCB2SNrWVS&#10;MJKHzfrxYYWptj1/02UfKhFD2KeooA6hS6X0ZU0G/cR2xJE7WWcwROgqqR32Mdy0cpYkc2mw4dhQ&#10;Y0fvNZW/+7NR8PO1PBdjsaOsmC6zIzrj//KtUs9Pw9sriEBDuItv7k8d5ydzuD4TL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hN7xAAAANwAAAAPAAAAAAAAAAAA&#10;AAAAAKECAABkcnMvZG93bnJldi54bWxQSwUGAAAAAAQABAD5AAAAkgMAAAAA&#10;">
                  <v:stroke endarrow="block"/>
                </v:shape>
                <v:shape id="AutoShape 177" o:spid="_x0000_s1194" type="#_x0000_t32" style="position:absolute;left:8851;top:8790;width:4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a24MQAAADcAAAADwAAAGRycy9kb3ducmV2LnhtbERPTWvCQBC9F/oflin0Vjfx0Gp0DaVg&#10;KZYeNBL0NmTHJJidDburxv76bkHwNo/3OfN8MJ04k/OtZQXpKAFBXFndcq1gWyxfJiB8QNbYWSYF&#10;V/KQLx4f5phpe+E1nTehFjGEfYYKmhD6TEpfNWTQj2xPHLmDdQZDhK6W2uElhptOjpPkVRpsOTY0&#10;2NNHQ9VxczIKdt/TU3ktf2hVptPVHp3xv8WnUs9Pw/sMRKAh3MU395eO85M3+H8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rbgxAAAANwAAAAPAAAAAAAAAAAA&#10;AAAAAKECAABkcnMvZG93bnJldi54bWxQSwUGAAAAAAQABAD5AAAAkgMAAAAA&#10;">
                  <v:stroke endarrow="block"/>
                </v:shape>
                <v:shape id="AutoShape 178" o:spid="_x0000_s1195" type="#_x0000_t32" style="position:absolute;left:7695;top:5153;width: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6OxcYAAADcAAAADwAAAGRycy9kb3ducmV2LnhtbESPQWsCMRCF74X+hzCFXkrNKlhka5Rt&#10;QVDBg9rep5vpJnQz2W6ibv+9cxB6m+G9ee+b+XIIrTpTn3xkA+NRAYq4jtZzY+DjuHqegUoZ2WIb&#10;mQz8UYLl4v5ujqWNF97T+ZAbJSGcSjTgcu5KrVPtKGAaxY5YtO/YB8yy9o22PV4kPLR6UhQvOqBn&#10;aXDY0buj+udwCgZ2m/Fb9eX8Zrv/9bvpqmpPzdOnMY8PQ/UKKtOQ/82367UV/EJo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ejsXGAAAA3AAAAA8AAAAAAAAA&#10;AAAAAAAAoQIAAGRycy9kb3ducmV2LnhtbFBLBQYAAAAABAAEAPkAAACUAwAAAAA=&#10;"/>
                <v:shape id="AutoShape 179" o:spid="_x0000_s1196" type="#_x0000_t32" style="position:absolute;left:8775;top:2368;width:0;height:50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shape id="AutoShape 180" o:spid="_x0000_s1197" type="#_x0000_t32" style="position:absolute;left:8775;top:3211;width: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a4ScYAAADcAAAADwAAAGRycy9kb3ducmV2LnhtbESPQWvCQBCF74X+h2UK3uomPUiNriJC&#10;S7H0UJWgtyE7JsHsbNhdNfbXdw6F3mZ4b977Zr4cXKeuFGLr2UA+zkARV962XBvY796eX0HFhGyx&#10;80wG7hRhuXh8mGNh/Y2/6bpNtZIQjgUaaFLqC61j1ZDDOPY9sWgnHxwmWUOtbcCbhLtOv2TZRDts&#10;WRoa7GndUHXeXpyBw+f0Ut7LL9qU+XRzxODiz+7dmNHTsJqBSjSkf/Pf9YcV/F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muEnGAAAA3AAAAA8AAAAAAAAA&#10;AAAAAAAAoQIAAGRycy9kb3ducmV2LnhtbFBLBQYAAAAABAAEAPkAAACUAwAAAAA=&#10;">
                  <v:stroke endarrow="block"/>
                </v:shape>
                <v:shape id="AutoShape 181" o:spid="_x0000_s1198" type="#_x0000_t32" style="position:absolute;left:8775;top:4129;width: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od0sMAAADcAAAADwAAAGRycy9kb3ducmV2LnhtbERPTWvCQBC9F/wPywjemk08iKauUgqK&#10;WDyoJbS3ITsmwexs2F019te7hYK3ebzPmS9704orOd9YVpAlKQji0uqGKwVfx9XrFIQPyBpby6Tg&#10;Th6Wi8HLHHNtb7yn6yFUIoawz1FBHUKXS+nLmgz6xHbEkTtZZzBE6CqpHd5iuGnlOE0n0mDDsaHG&#10;jj5qKs+Hi1Hw/Tm7FPdiR9sim21/0Bn/e1wrNRr2728gAvXhKf53b3Scn2Xw90y8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qHdLDAAAA3AAAAA8AAAAAAAAAAAAA&#10;AAAAoQIAAGRycy9kb3ducmV2LnhtbFBLBQYAAAAABAAEAPkAAACRAwAAAAA=&#10;">
                  <v:stroke endarrow="block"/>
                </v:shape>
                <v:shape id="AutoShape 182" o:spid="_x0000_s1199" type="#_x0000_t32" style="position:absolute;left:8775;top:6523;width: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iDpcMAAADcAAAADwAAAGRycy9kb3ducmV2LnhtbERPTYvCMBC9L/gfwgje1rQeRKtRFkER&#10;xYO6FPc2NLNt2WZSkqjVX28WFvY2j/c582VnGnEj52vLCtJhAoK4sLrmUsHnef0+AeEDssbGMil4&#10;kIflovc2x0zbOx/pdgqliCHsM1RQhdBmUvqiIoN+aFviyH1bZzBE6EqpHd5juGnkKEnG0mDNsaHC&#10;llYVFT+nq1Fw2U+v+SM/0C5Pp7svdMY/zxulBv3uYwYiUBf+xX/urY7z0xH8PhMv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4g6XDAAAA3AAAAA8AAAAAAAAAAAAA&#10;AAAAoQIAAGRycy9kb3ducmV2LnhtbFBLBQYAAAAABAAEAPkAAACRAwAAAAA=&#10;">
                  <v:stroke endarrow="block"/>
                </v:shape>
                <v:shape id="AutoShape 183" o:spid="_x0000_s1200" type="#_x0000_t32" style="position:absolute;left:8775;top:5415;width:2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QmPsQAAADcAAAADwAAAGRycy9kb3ducmV2LnhtbERPTWvCQBC9F/wPywje6iYV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CY+xAAAANwAAAAPAAAAAAAAAAAA&#10;AAAAAKECAABkcnMvZG93bnJldi54bWxQSwUGAAAAAAQABAD5AAAAkgMAAAAA&#10;">
                  <v:stroke endarrow="block"/>
                </v:shape>
                <v:shape id="AutoShape 184" o:spid="_x0000_s1201" type="#_x0000_t32" style="position:absolute;left:8851;top:10133;width:4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2+SsQAAADcAAAADwAAAGRycy9kb3ducmV2LnhtbERPTWvCQBC9F/wPywje6iZF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b5KxAAAANwAAAAPAAAAAAAAAAAA&#10;AAAAAKECAABkcnMvZG93bnJldi54bWxQSwUGAAAAAAQABAD5AAAAkgMAAAAA&#10;">
                  <v:stroke endarrow="block"/>
                </v:shape>
                <v:shape id="AutoShape 185" o:spid="_x0000_s1202" type="#_x0000_t34" style="position:absolute;left:7938;top:7587;width:1059;height:7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0zsQAAADcAAAADwAAAGRycy9kb3ducmV2LnhtbERPS2vCQBC+C/0PyxR6041Cao2uUiqB&#10;XHqo1sdxyI5JNDsbs9uY/vtuQfA2H99zFqve1KKj1lWWFYxHEQji3OqKCwXf23T4BsJ5ZI21ZVLw&#10;Sw5Wy6fBAhNtb/xF3cYXIoSwS1BB6X2TSOnykgy6kW2IA3eyrUEfYFtI3eIthJtaTqLoVRqsODSU&#10;2NBHSfll82MU5NP1dnb4vNosTvtmt5+tj0V0VurluX+fg/DU+4f47s50mD+O4f+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HjTOxAAAANwAAAAPAAAAAAAAAAAA&#10;AAAAAKECAABkcnMvZG93bnJldi54bWxQSwUGAAAAAAQABAD5AAAAkgMAAAAA&#10;" adj="10790"/>
                <v:shape id="AutoShape 186" o:spid="_x0000_s1203" type="#_x0000_t32" style="position:absolute;left:3795;top:9390;width:0;height:13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group>
            </w:pict>
          </mc:Fallback>
        </mc:AlternateContent>
      </w:r>
      <w:r w:rsidR="00AD74E3" w:rsidRPr="00AD74E3">
        <w:rPr>
          <w:rFonts w:ascii="Times New Roman" w:hAnsi="Times New Roman" w:cs="Times New Roman"/>
          <w:color w:val="auto"/>
        </w:rPr>
        <w:t>Додаток Б</w:t>
      </w:r>
      <w:bookmarkEnd w:id="18"/>
    </w:p>
    <w:p w:rsidR="00307A06" w:rsidRPr="00E37001" w:rsidRDefault="00776A19" w:rsidP="00E37001">
      <w:pPr>
        <w:spacing w:line="360" w:lineRule="auto"/>
        <w:ind w:firstLine="567"/>
        <w:contextualSpacing/>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1329690</wp:posOffset>
                </wp:positionH>
                <wp:positionV relativeFrom="paragraph">
                  <wp:posOffset>3318510</wp:posOffset>
                </wp:positionV>
                <wp:extent cx="457200" cy="0"/>
                <wp:effectExtent l="9525" t="12700" r="9525" b="6350"/>
                <wp:wrapNone/>
                <wp:docPr id="50"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104.7pt;margin-top:261.3pt;width:36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-918210</wp:posOffset>
                </wp:positionH>
                <wp:positionV relativeFrom="paragraph">
                  <wp:posOffset>1146810</wp:posOffset>
                </wp:positionV>
                <wp:extent cx="238125" cy="0"/>
                <wp:effectExtent l="9525" t="12700" r="9525" b="6350"/>
                <wp:wrapNone/>
                <wp:docPr id="4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72.3pt;margin-top:90.3pt;width:18.7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"/>
            </w:pict>
          </mc:Fallback>
        </mc:AlternateContent>
      </w:r>
      <w:r>
        <w:rPr>
          <w:rFonts w:ascii="Times New Roman" w:hAnsi="Times New Roman" w:cs="Times New Roman"/>
          <w:noProof/>
          <w:sz w:val="28"/>
          <w:szCs w:val="28"/>
        </w:rPr>
        <mc:AlternateContent>
          <mc:Choice Requires="wps">
            <w:drawing>
              <wp:inline distT="0" distB="0" distL="0" distR="0">
                <wp:extent cx="321310" cy="321310"/>
                <wp:effectExtent l="0" t="0" r="0" b="0"/>
                <wp:docPr id="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13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style="width:25.3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0Rrg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" filled="f" stroked="f">
                <o:lock v:ext="edit" aspectratio="t"/>
                <w10:anchorlock/>
              </v:rect>
            </w:pict>
          </mc:Fallback>
        </mc:AlternateContent>
      </w: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776A19" w:rsidP="00E37001">
      <w:pPr>
        <w:spacing w:line="360" w:lineRule="auto"/>
        <w:ind w:firstLine="567"/>
        <w:contextualSpacing/>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4491990</wp:posOffset>
                </wp:positionH>
                <wp:positionV relativeFrom="paragraph">
                  <wp:posOffset>23495</wp:posOffset>
                </wp:positionV>
                <wp:extent cx="123825" cy="635"/>
                <wp:effectExtent l="9525" t="52705" r="19050" b="60960"/>
                <wp:wrapNone/>
                <wp:docPr id="4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353.7pt;margin-top:1.85pt;width:9.7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6BQNgIAAGE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">
                <v:stroke endarrow="block"/>
              </v:shape>
            </w:pict>
          </mc:Fallback>
        </mc:AlternateContent>
      </w: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tabs>
          <w:tab w:val="left" w:pos="7455"/>
        </w:tabs>
        <w:spacing w:line="360" w:lineRule="auto"/>
        <w:ind w:firstLine="567"/>
        <w:contextualSpacing/>
        <w:rPr>
          <w:rFonts w:ascii="Times New Roman" w:hAnsi="Times New Roman" w:cs="Times New Roman"/>
          <w:sz w:val="28"/>
          <w:szCs w:val="28"/>
        </w:rPr>
      </w:pPr>
      <w:r w:rsidRPr="00E37001">
        <w:rPr>
          <w:rFonts w:ascii="Times New Roman" w:hAnsi="Times New Roman" w:cs="Times New Roman"/>
          <w:sz w:val="28"/>
          <w:szCs w:val="28"/>
        </w:rPr>
        <w:tab/>
      </w: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tabs>
          <w:tab w:val="left" w:pos="7350"/>
        </w:tabs>
        <w:spacing w:line="360" w:lineRule="auto"/>
        <w:ind w:firstLine="567"/>
        <w:contextualSpacing/>
        <w:rPr>
          <w:rFonts w:ascii="Times New Roman" w:hAnsi="Times New Roman" w:cs="Times New Roman"/>
          <w:sz w:val="28"/>
          <w:szCs w:val="28"/>
        </w:rPr>
      </w:pPr>
      <w:r w:rsidRPr="00E37001">
        <w:rPr>
          <w:rFonts w:ascii="Times New Roman" w:hAnsi="Times New Roman" w:cs="Times New Roman"/>
          <w:sz w:val="28"/>
          <w:szCs w:val="28"/>
        </w:rPr>
        <w:tab/>
      </w: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776A19" w:rsidP="00E37001">
      <w:pPr>
        <w:spacing w:line="360" w:lineRule="auto"/>
        <w:ind w:firstLine="567"/>
        <w:contextualSpacing/>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3729990</wp:posOffset>
                </wp:positionH>
                <wp:positionV relativeFrom="paragraph">
                  <wp:posOffset>172720</wp:posOffset>
                </wp:positionV>
                <wp:extent cx="371475" cy="276225"/>
                <wp:effectExtent l="9525" t="9525" r="9525" b="9525"/>
                <wp:wrapNone/>
                <wp:docPr id="47"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71475" cy="276225"/>
                        </a:xfrm>
                        <a:prstGeom prst="bentConnector3">
                          <a:avLst>
                            <a:gd name="adj1" fmla="val 4991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4" style="position:absolute;margin-left:293.7pt;margin-top:13.6pt;width:29.25pt;height:21.75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" adj="10782"/>
            </w:pict>
          </mc:Fallback>
        </mc:AlternateContent>
      </w: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tabs>
          <w:tab w:val="left" w:pos="6975"/>
        </w:tabs>
        <w:spacing w:line="360" w:lineRule="auto"/>
        <w:ind w:firstLine="567"/>
        <w:contextualSpacing/>
        <w:rPr>
          <w:rFonts w:ascii="Times New Roman" w:hAnsi="Times New Roman" w:cs="Times New Roman"/>
          <w:sz w:val="28"/>
          <w:szCs w:val="28"/>
        </w:rPr>
      </w:pPr>
    </w:p>
    <w:p w:rsidR="00AD74E3" w:rsidRDefault="00AD74E3" w:rsidP="00E37001">
      <w:pPr>
        <w:spacing w:after="120" w:line="360" w:lineRule="auto"/>
        <w:ind w:firstLine="567"/>
        <w:contextualSpacing/>
        <w:jc w:val="right"/>
        <w:rPr>
          <w:rFonts w:ascii="Times New Roman" w:hAnsi="Times New Roman" w:cs="Times New Roman"/>
          <w:sz w:val="28"/>
          <w:szCs w:val="28"/>
        </w:rPr>
      </w:pPr>
    </w:p>
    <w:p w:rsidR="00AD74E3" w:rsidRDefault="00AD74E3" w:rsidP="00E37001">
      <w:pPr>
        <w:spacing w:after="120" w:line="360" w:lineRule="auto"/>
        <w:ind w:firstLine="567"/>
        <w:contextualSpacing/>
        <w:jc w:val="right"/>
        <w:rPr>
          <w:rFonts w:ascii="Times New Roman" w:hAnsi="Times New Roman" w:cs="Times New Roman"/>
          <w:sz w:val="28"/>
          <w:szCs w:val="28"/>
        </w:rPr>
      </w:pPr>
    </w:p>
    <w:p w:rsidR="00B63CA8" w:rsidRDefault="00B63CA8" w:rsidP="00E37001">
      <w:pPr>
        <w:spacing w:after="120" w:line="360" w:lineRule="auto"/>
        <w:ind w:firstLine="567"/>
        <w:contextualSpacing/>
        <w:jc w:val="right"/>
        <w:rPr>
          <w:rFonts w:ascii="Times New Roman" w:hAnsi="Times New Roman" w:cs="Times New Roman"/>
          <w:sz w:val="28"/>
          <w:szCs w:val="28"/>
        </w:rPr>
        <w:sectPr w:rsidR="00B63CA8" w:rsidSect="00B63CA8">
          <w:type w:val="continuous"/>
          <w:pgSz w:w="11909" w:h="16834" w:code="9"/>
          <w:pgMar w:top="1134" w:right="850" w:bottom="1134" w:left="1701" w:header="708" w:footer="708" w:gutter="0"/>
          <w:cols w:space="708"/>
          <w:docGrid w:linePitch="360"/>
        </w:sectPr>
      </w:pPr>
    </w:p>
    <w:p w:rsidR="00307A06" w:rsidRPr="00AD74E3" w:rsidRDefault="00307A06" w:rsidP="00AD74E3">
      <w:pPr>
        <w:pStyle w:val="1"/>
        <w:jc w:val="right"/>
        <w:rPr>
          <w:rFonts w:ascii="Times New Roman" w:hAnsi="Times New Roman" w:cs="Times New Roman"/>
          <w:color w:val="auto"/>
        </w:rPr>
      </w:pPr>
      <w:bookmarkStart w:id="19" w:name="_Toc293306716"/>
      <w:r w:rsidRPr="00AD74E3">
        <w:rPr>
          <w:rFonts w:ascii="Times New Roman" w:hAnsi="Times New Roman" w:cs="Times New Roman"/>
          <w:color w:val="auto"/>
        </w:rPr>
        <w:lastRenderedPageBreak/>
        <w:t>Додаток В</w:t>
      </w:r>
      <w:bookmarkEnd w:id="19"/>
    </w:p>
    <w:p w:rsidR="00307A06" w:rsidRPr="00E37001" w:rsidRDefault="00307A06" w:rsidP="00E37001">
      <w:pPr>
        <w:spacing w:after="120" w:line="360" w:lineRule="auto"/>
        <w:ind w:firstLine="567"/>
        <w:contextualSpacing/>
        <w:jc w:val="center"/>
        <w:rPr>
          <w:rFonts w:ascii="Times New Roman" w:hAnsi="Times New Roman" w:cs="Times New Roman"/>
          <w:sz w:val="28"/>
          <w:szCs w:val="28"/>
        </w:rPr>
      </w:pPr>
      <w:r w:rsidRPr="00E37001">
        <w:rPr>
          <w:rFonts w:ascii="Times New Roman" w:hAnsi="Times New Roman" w:cs="Times New Roman"/>
          <w:sz w:val="28"/>
          <w:szCs w:val="28"/>
        </w:rPr>
        <w:t>Звіт про рух грошових коштів</w:t>
      </w:r>
      <w:r w:rsidR="00AD74E3">
        <w:rPr>
          <w:rFonts w:ascii="Times New Roman" w:hAnsi="Times New Roman" w:cs="Times New Roman"/>
          <w:sz w:val="28"/>
          <w:szCs w:val="28"/>
        </w:rPr>
        <w:t xml:space="preserve"> </w:t>
      </w:r>
      <w:r w:rsidRPr="00E37001">
        <w:rPr>
          <w:rFonts w:ascii="Times New Roman" w:hAnsi="Times New Roman" w:cs="Times New Roman"/>
          <w:sz w:val="28"/>
          <w:szCs w:val="28"/>
        </w:rPr>
        <w:t>(непрямий метод)</w:t>
      </w:r>
      <w:r w:rsidR="00AD74E3">
        <w:rPr>
          <w:rFonts w:ascii="Times New Roman" w:hAnsi="Times New Roman" w:cs="Times New Roman"/>
          <w:sz w:val="28"/>
          <w:szCs w:val="28"/>
        </w:rPr>
        <w:t xml:space="preserve"> </w:t>
      </w:r>
      <w:r w:rsidRPr="00E37001">
        <w:rPr>
          <w:rFonts w:ascii="Times New Roman" w:hAnsi="Times New Roman" w:cs="Times New Roman"/>
          <w:sz w:val="28"/>
          <w:szCs w:val="28"/>
        </w:rPr>
        <w:t>ПАТ «Міжнародний Інвестиційний Банк»</w:t>
      </w:r>
      <w:r w:rsidR="00AD74E3">
        <w:rPr>
          <w:rFonts w:ascii="Times New Roman" w:hAnsi="Times New Roman" w:cs="Times New Roman"/>
          <w:sz w:val="28"/>
          <w:szCs w:val="28"/>
        </w:rPr>
        <w:t xml:space="preserve"> </w:t>
      </w:r>
      <w:r w:rsidRPr="00E37001">
        <w:rPr>
          <w:rFonts w:ascii="Times New Roman" w:hAnsi="Times New Roman" w:cs="Times New Roman"/>
          <w:sz w:val="28"/>
          <w:szCs w:val="28"/>
        </w:rPr>
        <w:t>за 2009 рік</w:t>
      </w:r>
    </w:p>
    <w:p w:rsidR="00307A06" w:rsidRPr="00E37001" w:rsidRDefault="00307A06" w:rsidP="00E37001">
      <w:pPr>
        <w:spacing w:after="0" w:line="360" w:lineRule="auto"/>
        <w:ind w:firstLine="567"/>
        <w:contextualSpacing/>
        <w:jc w:val="right"/>
        <w:rPr>
          <w:rFonts w:ascii="Times New Roman" w:hAnsi="Times New Roman" w:cs="Times New Roman"/>
          <w:sz w:val="28"/>
          <w:szCs w:val="28"/>
        </w:rPr>
      </w:pPr>
      <w:r w:rsidRPr="00E37001">
        <w:rPr>
          <w:rFonts w:ascii="Times New Roman" w:hAnsi="Times New Roman" w:cs="Times New Roman"/>
          <w:sz w:val="28"/>
          <w:szCs w:val="28"/>
        </w:rPr>
        <w:t>(</w:t>
      </w:r>
      <w:proofErr w:type="spellStart"/>
      <w:r w:rsidRPr="00E37001">
        <w:rPr>
          <w:rFonts w:ascii="Times New Roman" w:hAnsi="Times New Roman" w:cs="Times New Roman"/>
          <w:sz w:val="28"/>
          <w:szCs w:val="28"/>
        </w:rPr>
        <w:t>тис.грн</w:t>
      </w:r>
      <w:proofErr w:type="spellEnd"/>
      <w:r w:rsidRPr="00E37001">
        <w:rPr>
          <w:rFonts w:ascii="Times New Roman" w:hAnsi="Times New Roman" w:cs="Times New Roman"/>
          <w:sz w:val="28"/>
          <w:szCs w:val="28"/>
        </w:rPr>
        <w:t>.)</w:t>
      </w:r>
    </w:p>
    <w:tbl>
      <w:tblPr>
        <w:tblStyle w:val="ae"/>
        <w:tblW w:w="0" w:type="auto"/>
        <w:tblLayout w:type="fixed"/>
        <w:tblLook w:val="04A0" w:firstRow="1" w:lastRow="0" w:firstColumn="1" w:lastColumn="0" w:noHBand="0" w:noVBand="1"/>
      </w:tblPr>
      <w:tblGrid>
        <w:gridCol w:w="959"/>
        <w:gridCol w:w="5103"/>
        <w:gridCol w:w="1276"/>
        <w:gridCol w:w="1134"/>
        <w:gridCol w:w="1383"/>
      </w:tblGrid>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Рядок</w:t>
            </w:r>
          </w:p>
        </w:tc>
        <w:tc>
          <w:tcPr>
            <w:tcW w:w="5103"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Найменування статті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Примітки</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Звітний рік</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Попередній рік</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w:t>
            </w:r>
          </w:p>
        </w:tc>
        <w:tc>
          <w:tcPr>
            <w:tcW w:w="5103"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5</w:t>
            </w:r>
          </w:p>
        </w:tc>
      </w:tr>
      <w:tr w:rsidR="00307A06" w:rsidRPr="00776A19"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8896" w:type="dxa"/>
            <w:gridSpan w:val="4"/>
          </w:tcPr>
          <w:p w:rsidR="00307A06" w:rsidRPr="00E37001" w:rsidRDefault="00307A06" w:rsidP="00AD74E3">
            <w:pPr>
              <w:spacing w:line="360" w:lineRule="auto"/>
              <w:ind w:firstLine="33"/>
              <w:contextualSpacing/>
              <w:rPr>
                <w:rFonts w:ascii="Times New Roman" w:hAnsi="Times New Roman" w:cs="Times New Roman"/>
                <w:sz w:val="28"/>
                <w:szCs w:val="28"/>
              </w:rPr>
            </w:pPr>
            <w:r w:rsidRPr="00E37001">
              <w:rPr>
                <w:rFonts w:ascii="Times New Roman" w:hAnsi="Times New Roman" w:cs="Times New Roman"/>
                <w:sz w:val="28"/>
                <w:szCs w:val="28"/>
              </w:rPr>
              <w:t>Грошові кошти від операційної діяльності:</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прибуток/(збиток) на рік</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2490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(2364)</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Коригування для приведення суми чистого прибутку/(збитку) до суми грошових надходжень від операцій: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Амортизація</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1091</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695</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Чисте збільшення/(зменшення) резервів за активами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3897</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1164</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Нараховані доходи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(912)</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(283)</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Нараховані витрати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1354</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77</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6</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Торговельний результат</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43</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(137)</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7</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Нарахований та відстрочений податок</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1070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(719)</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8</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Прибуток/(збиток) від продажу інвестицій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9</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Прибуток від інвестицій в асоційовані компанії</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10</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Амортизація дисконту і премії фінансових інструментів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(1335)</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(348)</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11</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Інший рух коштів, що не є грошовим</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550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393</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12</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грошовий прибуток/(збиток) до зміни операційних активів та зобов’язань</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8248</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(1522)</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8896" w:type="dxa"/>
            <w:gridSpan w:val="4"/>
          </w:tcPr>
          <w:p w:rsidR="00307A06" w:rsidRPr="00E37001" w:rsidRDefault="00307A06" w:rsidP="00AD74E3">
            <w:pPr>
              <w:spacing w:line="360" w:lineRule="auto"/>
              <w:ind w:firstLine="33"/>
              <w:contextualSpacing/>
              <w:rPr>
                <w:rFonts w:ascii="Times New Roman" w:hAnsi="Times New Roman" w:cs="Times New Roman"/>
                <w:sz w:val="28"/>
                <w:szCs w:val="28"/>
              </w:rPr>
            </w:pPr>
            <w:r w:rsidRPr="00E37001">
              <w:rPr>
                <w:rFonts w:ascii="Times New Roman" w:hAnsi="Times New Roman" w:cs="Times New Roman"/>
                <w:sz w:val="28"/>
                <w:szCs w:val="28"/>
              </w:rPr>
              <w:t>Зміни в операційних активах та зобов’язаннях:</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13</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торговими цінними паперами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31</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37</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14</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іншими фінансовими активами, що відображаються за справедливою вартістю з визнанням переоцінки через прибутки/збитки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15</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коштами в інших банках</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(8860)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(22793)</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16</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кредитами та заборгованістю клієнтам</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(264595)</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(54350)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17</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іншими фінансовими активами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(14190)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(210)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18</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іншими активами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34</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(240)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19</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коштами інших банків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53867</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17740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20</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коштами клієнтів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290720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14785</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21</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борговими цінними паперами, що емітовані банком</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22</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іншими фінансовими зобов’язаннями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75</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23</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(приріст)/зниження за резервами під зобов’язання та відрахування та інші зобов’язання</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397</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403</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24</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 xml:space="preserve">Чисті грошові кошти, що отримані від </w:t>
            </w:r>
            <w:r w:rsidRPr="00E37001">
              <w:rPr>
                <w:rFonts w:ascii="Times New Roman" w:hAnsi="Times New Roman" w:cs="Times New Roman"/>
                <w:sz w:val="28"/>
                <w:szCs w:val="28"/>
              </w:rPr>
              <w:lastRenderedPageBreak/>
              <w:t>операційної діяльності/(використані в операційній діяльності)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65727</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(46150)</w:t>
            </w:r>
          </w:p>
        </w:tc>
      </w:tr>
      <w:tr w:rsidR="00307A06" w:rsidRPr="00776A19"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8896" w:type="dxa"/>
            <w:gridSpan w:val="4"/>
          </w:tcPr>
          <w:p w:rsidR="00307A06" w:rsidRPr="00E37001" w:rsidRDefault="00307A06" w:rsidP="00AD74E3">
            <w:pPr>
              <w:spacing w:line="360" w:lineRule="auto"/>
              <w:ind w:firstLine="33"/>
              <w:contextualSpacing/>
              <w:rPr>
                <w:rFonts w:ascii="Times New Roman" w:hAnsi="Times New Roman" w:cs="Times New Roman"/>
                <w:sz w:val="28"/>
                <w:szCs w:val="28"/>
              </w:rPr>
            </w:pPr>
            <w:r w:rsidRPr="00E37001">
              <w:rPr>
                <w:rFonts w:ascii="Times New Roman" w:hAnsi="Times New Roman" w:cs="Times New Roman"/>
                <w:sz w:val="28"/>
                <w:szCs w:val="28"/>
              </w:rPr>
              <w:t>Грошові кошти від інвестиційної діяльності:</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25</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цінних паперів у портфелі банку на продаж</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7</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(113037)</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(50643)</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26</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реалізації цінних паперів у портфелі банку на продаж</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7</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125802</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31888</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27</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цінних паперів у портфелі банку до погашення</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8</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(15000)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28</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погашення цінних паперів у портфелі банку до погашення</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8</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15032</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29</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основних засобів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9</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(1232)</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(4923)</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30</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реалізації основних засобів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31</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Дивіденди отримані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32</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дочірніх компаній за мінусом отриманих грошових коштів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33</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реалізації дочірньої компанії за мінусом виплачених грошових коштів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34</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асоційованих компаній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35</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реалізації асоційованих компаній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36</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інвестиційної нерухомості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37</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реалізації інвестиційної нерухомості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38</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Придбання нематеріальних активів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9</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(336)</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(716)</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39</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Дохід від вибуття нематеріальних активів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40</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 xml:space="preserve">Чисті грошові кошти, що отримані від </w:t>
            </w:r>
            <w:r w:rsidRPr="00E37001">
              <w:rPr>
                <w:rFonts w:ascii="Times New Roman" w:hAnsi="Times New Roman" w:cs="Times New Roman"/>
                <w:sz w:val="28"/>
                <w:szCs w:val="28"/>
              </w:rPr>
              <w:lastRenderedPageBreak/>
              <w:t>інвестиційної діяльності/(використані в інвестиційній діяльності)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11229</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(24394)</w:t>
            </w:r>
          </w:p>
        </w:tc>
      </w:tr>
      <w:tr w:rsidR="00307A06" w:rsidRPr="00776A19"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8896" w:type="dxa"/>
            <w:gridSpan w:val="4"/>
          </w:tcPr>
          <w:p w:rsidR="00307A06" w:rsidRPr="00E37001" w:rsidRDefault="00307A06" w:rsidP="00AD74E3">
            <w:pPr>
              <w:spacing w:line="360" w:lineRule="auto"/>
              <w:ind w:firstLine="33"/>
              <w:contextualSpacing/>
              <w:rPr>
                <w:rFonts w:ascii="Times New Roman" w:hAnsi="Times New Roman" w:cs="Times New Roman"/>
                <w:sz w:val="28"/>
                <w:szCs w:val="28"/>
              </w:rPr>
            </w:pPr>
            <w:r w:rsidRPr="00E37001">
              <w:rPr>
                <w:rFonts w:ascii="Times New Roman" w:hAnsi="Times New Roman" w:cs="Times New Roman"/>
                <w:sz w:val="28"/>
                <w:szCs w:val="28"/>
              </w:rPr>
              <w:t>Грошові кошти від фінансової діяльності:</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41</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Отримані інші залучені кошти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42</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Повернення інших залучених коштів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43</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 xml:space="preserve">Отримання </w:t>
            </w:r>
            <w:proofErr w:type="spellStart"/>
            <w:r w:rsidRPr="00E37001">
              <w:rPr>
                <w:rFonts w:ascii="Times New Roman" w:hAnsi="Times New Roman" w:cs="Times New Roman"/>
                <w:sz w:val="28"/>
                <w:szCs w:val="28"/>
              </w:rPr>
              <w:t>субординованого</w:t>
            </w:r>
            <w:proofErr w:type="spellEnd"/>
            <w:r w:rsidRPr="00E37001">
              <w:rPr>
                <w:rFonts w:ascii="Times New Roman" w:hAnsi="Times New Roman" w:cs="Times New Roman"/>
                <w:sz w:val="28"/>
                <w:szCs w:val="28"/>
              </w:rPr>
              <w:t xml:space="preserve"> боргу</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17</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31940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44</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 xml:space="preserve">Погашення </w:t>
            </w:r>
            <w:proofErr w:type="spellStart"/>
            <w:r w:rsidRPr="00E37001">
              <w:rPr>
                <w:rFonts w:ascii="Times New Roman" w:hAnsi="Times New Roman" w:cs="Times New Roman"/>
                <w:sz w:val="28"/>
                <w:szCs w:val="28"/>
              </w:rPr>
              <w:t>субординованого</w:t>
            </w:r>
            <w:proofErr w:type="spellEnd"/>
            <w:r w:rsidRPr="00E37001">
              <w:rPr>
                <w:rFonts w:ascii="Times New Roman" w:hAnsi="Times New Roman" w:cs="Times New Roman"/>
                <w:sz w:val="28"/>
                <w:szCs w:val="28"/>
              </w:rPr>
              <w:t xml:space="preserve"> боргу</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45</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Емісія звичайних акцій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18</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75750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46</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Емісія привілейованих акцій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47</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Інші внески акціонерів, окрім емісії акцій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48</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Викуп власних акцій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49</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Продаж власних акцій</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50</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Дивіденди виплачені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51</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Інші виплати акціонерам, окрім дивідендів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52</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Чисті грошові кошти, що отримані від фінансової діяльності/(використані у фінансовій діяльності)</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31940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75750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53</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Вплив змін обмінного курсу на грошові кошти та їх еквіваленти</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54</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Чистий приплив (відплив) грошових коштів та їх еквівалентів</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108896</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5206</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55</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Грошові кошти та їх еквіваленти на початок року</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5206</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0</w:t>
            </w:r>
          </w:p>
        </w:tc>
      </w:tr>
      <w:tr w:rsidR="00307A06" w:rsidRPr="00E37001" w:rsidTr="00307A06">
        <w:tc>
          <w:tcPr>
            <w:tcW w:w="959"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56</w:t>
            </w:r>
          </w:p>
        </w:tc>
        <w:tc>
          <w:tcPr>
            <w:tcW w:w="5103" w:type="dxa"/>
          </w:tcPr>
          <w:p w:rsidR="00307A06" w:rsidRPr="00E37001" w:rsidRDefault="00307A06" w:rsidP="00AD74E3">
            <w:pPr>
              <w:spacing w:line="360" w:lineRule="auto"/>
              <w:contextualSpacing/>
              <w:rPr>
                <w:rFonts w:ascii="Times New Roman" w:hAnsi="Times New Roman" w:cs="Times New Roman"/>
                <w:sz w:val="28"/>
                <w:szCs w:val="28"/>
              </w:rPr>
            </w:pPr>
            <w:r w:rsidRPr="00E37001">
              <w:rPr>
                <w:rFonts w:ascii="Times New Roman" w:hAnsi="Times New Roman" w:cs="Times New Roman"/>
                <w:sz w:val="28"/>
                <w:szCs w:val="28"/>
              </w:rPr>
              <w:t>Грошові кошти та їх еквіваленти на кінець року</w:t>
            </w:r>
          </w:p>
        </w:tc>
        <w:tc>
          <w:tcPr>
            <w:tcW w:w="1276"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4</w:t>
            </w:r>
          </w:p>
        </w:tc>
        <w:tc>
          <w:tcPr>
            <w:tcW w:w="1134" w:type="dxa"/>
          </w:tcPr>
          <w:p w:rsidR="00307A06" w:rsidRPr="00E37001" w:rsidRDefault="00307A06" w:rsidP="00AD74E3">
            <w:pPr>
              <w:spacing w:line="360" w:lineRule="auto"/>
              <w:contextualSpacing/>
              <w:jc w:val="center"/>
              <w:rPr>
                <w:rFonts w:ascii="Times New Roman" w:hAnsi="Times New Roman" w:cs="Times New Roman"/>
                <w:sz w:val="28"/>
                <w:szCs w:val="28"/>
              </w:rPr>
            </w:pPr>
            <w:r w:rsidRPr="00E37001">
              <w:rPr>
                <w:rFonts w:ascii="Times New Roman" w:hAnsi="Times New Roman" w:cs="Times New Roman"/>
                <w:sz w:val="28"/>
                <w:szCs w:val="28"/>
              </w:rPr>
              <w:t>114102</w:t>
            </w:r>
          </w:p>
        </w:tc>
        <w:tc>
          <w:tcPr>
            <w:tcW w:w="1383" w:type="dxa"/>
          </w:tcPr>
          <w:p w:rsidR="00307A06" w:rsidRPr="00E37001" w:rsidRDefault="00307A06" w:rsidP="00AD74E3">
            <w:pPr>
              <w:spacing w:line="360" w:lineRule="auto"/>
              <w:ind w:firstLine="33"/>
              <w:contextualSpacing/>
              <w:jc w:val="center"/>
              <w:rPr>
                <w:rFonts w:ascii="Times New Roman" w:hAnsi="Times New Roman" w:cs="Times New Roman"/>
                <w:sz w:val="28"/>
                <w:szCs w:val="28"/>
              </w:rPr>
            </w:pPr>
            <w:r w:rsidRPr="00E37001">
              <w:rPr>
                <w:rFonts w:ascii="Times New Roman" w:hAnsi="Times New Roman" w:cs="Times New Roman"/>
                <w:sz w:val="28"/>
                <w:szCs w:val="28"/>
              </w:rPr>
              <w:t>5206</w:t>
            </w:r>
          </w:p>
        </w:tc>
      </w:tr>
    </w:tbl>
    <w:p w:rsidR="00307A06" w:rsidRPr="00E37001" w:rsidRDefault="00307A06" w:rsidP="00E37001">
      <w:pPr>
        <w:spacing w:line="360" w:lineRule="auto"/>
        <w:ind w:firstLine="567"/>
        <w:contextualSpacing/>
        <w:rPr>
          <w:rFonts w:ascii="Times New Roman" w:hAnsi="Times New Roman" w:cs="Times New Roman"/>
          <w:sz w:val="28"/>
          <w:szCs w:val="28"/>
        </w:rPr>
      </w:pPr>
      <w:r w:rsidRPr="00E37001">
        <w:rPr>
          <w:rFonts w:ascii="Times New Roman" w:hAnsi="Times New Roman" w:cs="Times New Roman"/>
          <w:sz w:val="28"/>
          <w:szCs w:val="28"/>
        </w:rPr>
        <w:t>02 квітня 2010 року</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Голова Правління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 xml:space="preserve">К.А. </w:t>
      </w:r>
      <w:proofErr w:type="spellStart"/>
      <w:r w:rsidRPr="00E37001">
        <w:rPr>
          <w:rFonts w:ascii="Times New Roman" w:hAnsi="Times New Roman" w:cs="Times New Roman"/>
          <w:sz w:val="28"/>
          <w:szCs w:val="28"/>
        </w:rPr>
        <w:t>Людвик</w:t>
      </w:r>
      <w:proofErr w:type="spellEnd"/>
    </w:p>
    <w:p w:rsidR="00307A06" w:rsidRPr="00E37001" w:rsidRDefault="00307A06" w:rsidP="00E37001">
      <w:pPr>
        <w:spacing w:line="360" w:lineRule="auto"/>
        <w:ind w:firstLine="567"/>
        <w:contextualSpacing/>
        <w:rPr>
          <w:rFonts w:ascii="Times New Roman" w:hAnsi="Times New Roman" w:cs="Times New Roman"/>
          <w:sz w:val="28"/>
          <w:szCs w:val="28"/>
        </w:rPr>
      </w:pPr>
      <w:r w:rsidRPr="00E37001">
        <w:rPr>
          <w:rFonts w:ascii="Times New Roman" w:hAnsi="Times New Roman" w:cs="Times New Roman"/>
          <w:sz w:val="28"/>
          <w:szCs w:val="28"/>
        </w:rPr>
        <w:t>Вик. Колісник Р.А., тел.351-79-06</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Головний бухгалтер</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Р.А. Колісник</w:t>
      </w:r>
    </w:p>
    <w:p w:rsidR="00B63CA8" w:rsidRDefault="00B63CA8" w:rsidP="00AD74E3">
      <w:pPr>
        <w:pStyle w:val="1"/>
        <w:jc w:val="right"/>
        <w:rPr>
          <w:rFonts w:ascii="Times New Roman" w:hAnsi="Times New Roman" w:cs="Times New Roman"/>
          <w:color w:val="auto"/>
        </w:rPr>
        <w:sectPr w:rsidR="00B63CA8" w:rsidSect="00B63CA8">
          <w:pgSz w:w="11909" w:h="16834" w:code="9"/>
          <w:pgMar w:top="1134" w:right="850" w:bottom="1134" w:left="1701" w:header="708" w:footer="708" w:gutter="0"/>
          <w:cols w:space="708"/>
          <w:docGrid w:linePitch="360"/>
        </w:sectPr>
      </w:pPr>
    </w:p>
    <w:p w:rsidR="00307A06" w:rsidRPr="00AD74E3" w:rsidRDefault="00307A06" w:rsidP="00AD74E3">
      <w:pPr>
        <w:pStyle w:val="1"/>
        <w:jc w:val="right"/>
        <w:rPr>
          <w:rFonts w:ascii="Times New Roman" w:hAnsi="Times New Roman" w:cs="Times New Roman"/>
          <w:color w:val="auto"/>
        </w:rPr>
      </w:pPr>
      <w:bookmarkStart w:id="20" w:name="_Toc293306717"/>
      <w:r w:rsidRPr="00AD74E3">
        <w:rPr>
          <w:rFonts w:ascii="Times New Roman" w:hAnsi="Times New Roman" w:cs="Times New Roman"/>
          <w:color w:val="auto"/>
        </w:rPr>
        <w:lastRenderedPageBreak/>
        <w:t>Додаток Г</w:t>
      </w:r>
      <w:bookmarkEnd w:id="20"/>
    </w:p>
    <w:p w:rsidR="00307A06" w:rsidRPr="00AD74E3" w:rsidRDefault="00307A06" w:rsidP="00E37001">
      <w:pPr>
        <w:spacing w:after="0" w:line="360" w:lineRule="auto"/>
        <w:ind w:firstLine="567"/>
        <w:contextualSpacing/>
        <w:jc w:val="center"/>
        <w:rPr>
          <w:rFonts w:ascii="Times New Roman" w:hAnsi="Times New Roman" w:cs="Times New Roman"/>
          <w:sz w:val="28"/>
          <w:szCs w:val="28"/>
        </w:rPr>
      </w:pPr>
      <w:r w:rsidRPr="00AD74E3">
        <w:rPr>
          <w:rFonts w:ascii="Times New Roman" w:hAnsi="Times New Roman" w:cs="Times New Roman"/>
          <w:sz w:val="28"/>
          <w:szCs w:val="28"/>
        </w:rPr>
        <w:t>Звіт про фінансові результати</w:t>
      </w:r>
      <w:r w:rsidR="00AD74E3" w:rsidRPr="00AD74E3">
        <w:rPr>
          <w:rFonts w:ascii="Times New Roman" w:hAnsi="Times New Roman" w:cs="Times New Roman"/>
          <w:sz w:val="28"/>
          <w:szCs w:val="28"/>
        </w:rPr>
        <w:t xml:space="preserve"> </w:t>
      </w:r>
      <w:r w:rsidRPr="00AD74E3">
        <w:rPr>
          <w:rFonts w:ascii="Times New Roman" w:hAnsi="Times New Roman" w:cs="Times New Roman"/>
          <w:sz w:val="28"/>
          <w:szCs w:val="28"/>
        </w:rPr>
        <w:t>ПАТ «Міжнародний Інвестиційний Банк»</w:t>
      </w:r>
      <w:r w:rsidR="00AD74E3" w:rsidRPr="00AD74E3">
        <w:rPr>
          <w:rFonts w:ascii="Times New Roman" w:hAnsi="Times New Roman" w:cs="Times New Roman"/>
          <w:sz w:val="28"/>
          <w:szCs w:val="28"/>
        </w:rPr>
        <w:t xml:space="preserve"> </w:t>
      </w:r>
      <w:r w:rsidRPr="00AD74E3">
        <w:rPr>
          <w:rFonts w:ascii="Times New Roman" w:hAnsi="Times New Roman" w:cs="Times New Roman"/>
          <w:sz w:val="28"/>
          <w:szCs w:val="28"/>
        </w:rPr>
        <w:t>за 2009 рік</w:t>
      </w:r>
    </w:p>
    <w:p w:rsidR="00307A06" w:rsidRPr="00AD74E3" w:rsidRDefault="00307A06" w:rsidP="00E37001">
      <w:pPr>
        <w:spacing w:after="0" w:line="360" w:lineRule="auto"/>
        <w:ind w:firstLine="567"/>
        <w:contextualSpacing/>
        <w:jc w:val="right"/>
        <w:rPr>
          <w:rFonts w:ascii="Times New Roman" w:hAnsi="Times New Roman" w:cs="Times New Roman"/>
          <w:sz w:val="18"/>
          <w:szCs w:val="18"/>
        </w:rPr>
      </w:pPr>
      <w:r w:rsidRPr="00AD74E3">
        <w:rPr>
          <w:rFonts w:ascii="Times New Roman" w:hAnsi="Times New Roman" w:cs="Times New Roman"/>
          <w:sz w:val="18"/>
          <w:szCs w:val="18"/>
        </w:rPr>
        <w:t>(</w:t>
      </w:r>
      <w:proofErr w:type="spellStart"/>
      <w:r w:rsidRPr="00AD74E3">
        <w:rPr>
          <w:rFonts w:ascii="Times New Roman" w:hAnsi="Times New Roman" w:cs="Times New Roman"/>
          <w:sz w:val="18"/>
          <w:szCs w:val="18"/>
        </w:rPr>
        <w:t>тис.грн</w:t>
      </w:r>
      <w:proofErr w:type="spellEnd"/>
      <w:r w:rsidRPr="00AD74E3">
        <w:rPr>
          <w:rFonts w:ascii="Times New Roman" w:hAnsi="Times New Roman" w:cs="Times New Roman"/>
          <w:sz w:val="18"/>
          <w:szCs w:val="18"/>
        </w:rPr>
        <w:t>.)</w:t>
      </w:r>
    </w:p>
    <w:tbl>
      <w:tblPr>
        <w:tblStyle w:val="ae"/>
        <w:tblW w:w="0" w:type="auto"/>
        <w:tblLayout w:type="fixed"/>
        <w:tblLook w:val="04A0" w:firstRow="1" w:lastRow="0" w:firstColumn="1" w:lastColumn="0" w:noHBand="0" w:noVBand="1"/>
      </w:tblPr>
      <w:tblGrid>
        <w:gridCol w:w="817"/>
        <w:gridCol w:w="5670"/>
        <w:gridCol w:w="1134"/>
        <w:gridCol w:w="992"/>
        <w:gridCol w:w="1242"/>
      </w:tblGrid>
      <w:tr w:rsidR="00307A06" w:rsidRPr="00AD74E3" w:rsidTr="00307A06">
        <w:trPr>
          <w:trHeight w:val="420"/>
        </w:trPr>
        <w:tc>
          <w:tcPr>
            <w:tcW w:w="817" w:type="dxa"/>
            <w:vAlign w:val="center"/>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Рядок</w:t>
            </w:r>
          </w:p>
        </w:tc>
        <w:tc>
          <w:tcPr>
            <w:tcW w:w="5670" w:type="dxa"/>
            <w:vAlign w:val="center"/>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Найменування статті</w:t>
            </w:r>
          </w:p>
        </w:tc>
        <w:tc>
          <w:tcPr>
            <w:tcW w:w="1134" w:type="dxa"/>
            <w:vAlign w:val="center"/>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Примітки</w:t>
            </w:r>
          </w:p>
        </w:tc>
        <w:tc>
          <w:tcPr>
            <w:tcW w:w="992" w:type="dxa"/>
            <w:vAlign w:val="center"/>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Звітний рік</w:t>
            </w:r>
          </w:p>
        </w:tc>
        <w:tc>
          <w:tcPr>
            <w:tcW w:w="1242" w:type="dxa"/>
            <w:vAlign w:val="center"/>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Попередній рік</w:t>
            </w:r>
          </w:p>
        </w:tc>
      </w:tr>
      <w:tr w:rsidR="00307A06" w:rsidRPr="00AD74E3" w:rsidTr="00307A06">
        <w:trPr>
          <w:trHeight w:val="130"/>
        </w:trPr>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w:t>
            </w:r>
          </w:p>
        </w:tc>
        <w:tc>
          <w:tcPr>
            <w:tcW w:w="5670"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4</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5</w:t>
            </w:r>
          </w:p>
        </w:tc>
      </w:tr>
      <w:tr w:rsidR="00307A06" w:rsidRPr="00AD74E3" w:rsidTr="00307A06">
        <w:trPr>
          <w:trHeight w:val="207"/>
        </w:trPr>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Чистий процентний дохід/(Чисті процентні витрати)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17169</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8693</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1.1</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Процентні доходи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20</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40253</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9373</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1.2</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Процентні витрати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20</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(23084)</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(680)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Комісійні доходи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21</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15820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359</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3</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Комісійні витрати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21</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(5818)</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(48)</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4</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Результат від торгових операцій з цінними паперами в торговому портфелі банку</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(43)</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137</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5</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 xml:space="preserve">Результат від операцій з </w:t>
            </w:r>
            <w:proofErr w:type="spellStart"/>
            <w:r w:rsidRPr="00AD74E3">
              <w:rPr>
                <w:rFonts w:ascii="Times New Roman" w:hAnsi="Times New Roman" w:cs="Times New Roman"/>
                <w:sz w:val="17"/>
                <w:szCs w:val="17"/>
              </w:rPr>
              <w:t>хеджування</w:t>
            </w:r>
            <w:proofErr w:type="spellEnd"/>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6</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Результат від переоцінки інших фінансових інструментів, що обліковуються за справедливою вартістю з визнанням результату переоцінки у фінансових результатах</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1681</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(300)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7</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Результат від торгівлі іноземною валютою</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326</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437</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8</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Прибуток/(збиток), який виникає під час первісного визнання фінансових активів за процентною ставкою, вищою або нижчою, ніж ринкова</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9</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Прибуток/(збиток), який виникає під час первісного визнання фінансових зобов’язань за процентною ставкою, вищою або нижчою, ніж ринкова</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10</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Результат від переоцінки об’єктів інвестиційної нерухомості</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11</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Результат від переоцінки іноземної валюти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98</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2977</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12</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Резерв під заборгованість за кредитами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5,6</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(4069)</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(980)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13</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Знецінення цінних паперів у портфелі банку на продаж</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14</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Результат від продажу цінних паперів у портфелі банку на продаж</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7</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(704)</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99</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15</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Знецінення цінних паперів у портфелі банку до погашення</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16</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Резерви за зобов’язаннями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14</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165</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(166)</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17</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Інші операційні доходи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22</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231</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18</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Доходи/(витрати) від дострокового погашення заборгованості</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19</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Адміністративні та інші операційні витрати</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23</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(21289)</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(14260)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20</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Дохід від участі в капіталі</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21</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Прибуток/(збиток) до оподаткування</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3567</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(3049)</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22</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Витрати на податок на прибуток</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24</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(1077)</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685</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23</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Прибуток/(збиток) після оподаткування</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2490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(2364)</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24</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Чистий прибуток/(збиток) від продажу довгострокових активів, призначених для продажу</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0</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25</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Чистий прибуток/(збиток)</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2490</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(2364)</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26</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Чистий прибуток/(збиток) на одну просту акцію</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25</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32,88</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(37,94)</w:t>
            </w:r>
          </w:p>
        </w:tc>
      </w:tr>
      <w:tr w:rsidR="00307A06" w:rsidRPr="00AD74E3" w:rsidTr="00307A06">
        <w:tc>
          <w:tcPr>
            <w:tcW w:w="817" w:type="dxa"/>
          </w:tcPr>
          <w:p w:rsidR="00307A06" w:rsidRPr="00AD74E3" w:rsidRDefault="00307A06" w:rsidP="00AD74E3">
            <w:pPr>
              <w:spacing w:after="120" w:line="360" w:lineRule="auto"/>
              <w:contextualSpacing/>
              <w:jc w:val="center"/>
              <w:rPr>
                <w:rFonts w:ascii="Times New Roman" w:hAnsi="Times New Roman" w:cs="Times New Roman"/>
                <w:sz w:val="17"/>
                <w:szCs w:val="17"/>
              </w:rPr>
            </w:pPr>
            <w:r w:rsidRPr="00AD74E3">
              <w:rPr>
                <w:rFonts w:ascii="Times New Roman" w:hAnsi="Times New Roman" w:cs="Times New Roman"/>
                <w:sz w:val="17"/>
                <w:szCs w:val="17"/>
              </w:rPr>
              <w:t>27</w:t>
            </w:r>
          </w:p>
        </w:tc>
        <w:tc>
          <w:tcPr>
            <w:tcW w:w="5670" w:type="dxa"/>
          </w:tcPr>
          <w:p w:rsidR="00307A06" w:rsidRPr="00AD74E3" w:rsidRDefault="00307A06" w:rsidP="00AD74E3">
            <w:pPr>
              <w:spacing w:after="120" w:line="360" w:lineRule="auto"/>
              <w:ind w:firstLine="34"/>
              <w:contextualSpacing/>
              <w:rPr>
                <w:rFonts w:ascii="Times New Roman" w:hAnsi="Times New Roman" w:cs="Times New Roman"/>
                <w:sz w:val="17"/>
                <w:szCs w:val="17"/>
              </w:rPr>
            </w:pPr>
            <w:r w:rsidRPr="00AD74E3">
              <w:rPr>
                <w:rFonts w:ascii="Times New Roman" w:hAnsi="Times New Roman" w:cs="Times New Roman"/>
                <w:sz w:val="17"/>
                <w:szCs w:val="17"/>
              </w:rPr>
              <w:t>Скоригований чистий прибуток/(збиток) на одну просту акцію</w:t>
            </w:r>
          </w:p>
        </w:tc>
        <w:tc>
          <w:tcPr>
            <w:tcW w:w="1134"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25</w:t>
            </w:r>
          </w:p>
        </w:tc>
        <w:tc>
          <w:tcPr>
            <w:tcW w:w="99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32,88</w:t>
            </w:r>
          </w:p>
        </w:tc>
        <w:tc>
          <w:tcPr>
            <w:tcW w:w="1242" w:type="dxa"/>
          </w:tcPr>
          <w:p w:rsidR="00307A06" w:rsidRPr="00AD74E3" w:rsidRDefault="00307A06" w:rsidP="00AD74E3">
            <w:pPr>
              <w:spacing w:after="120" w:line="360" w:lineRule="auto"/>
              <w:ind w:firstLine="34"/>
              <w:contextualSpacing/>
              <w:jc w:val="center"/>
              <w:rPr>
                <w:rFonts w:ascii="Times New Roman" w:hAnsi="Times New Roman" w:cs="Times New Roman"/>
                <w:sz w:val="17"/>
                <w:szCs w:val="17"/>
              </w:rPr>
            </w:pPr>
            <w:r w:rsidRPr="00AD74E3">
              <w:rPr>
                <w:rFonts w:ascii="Times New Roman" w:hAnsi="Times New Roman" w:cs="Times New Roman"/>
                <w:sz w:val="17"/>
                <w:szCs w:val="17"/>
              </w:rPr>
              <w:t>(37,94)</w:t>
            </w:r>
          </w:p>
        </w:tc>
      </w:tr>
    </w:tbl>
    <w:p w:rsidR="00AD74E3" w:rsidRDefault="00AD74E3" w:rsidP="00E37001">
      <w:pPr>
        <w:spacing w:after="120" w:line="360" w:lineRule="auto"/>
        <w:ind w:firstLine="567"/>
        <w:contextualSpacing/>
        <w:rPr>
          <w:rFonts w:ascii="Times New Roman" w:hAnsi="Times New Roman" w:cs="Times New Roman"/>
          <w:sz w:val="18"/>
          <w:szCs w:val="18"/>
        </w:rPr>
      </w:pPr>
    </w:p>
    <w:p w:rsidR="00307A06" w:rsidRPr="00AD74E3" w:rsidRDefault="00307A06" w:rsidP="00E37001">
      <w:pPr>
        <w:spacing w:after="120" w:line="360" w:lineRule="auto"/>
        <w:ind w:firstLine="567"/>
        <w:contextualSpacing/>
        <w:rPr>
          <w:rFonts w:ascii="Times New Roman" w:hAnsi="Times New Roman" w:cs="Times New Roman"/>
          <w:sz w:val="18"/>
          <w:szCs w:val="18"/>
        </w:rPr>
      </w:pPr>
      <w:r w:rsidRPr="00AD74E3">
        <w:rPr>
          <w:rFonts w:ascii="Times New Roman" w:hAnsi="Times New Roman" w:cs="Times New Roman"/>
          <w:sz w:val="18"/>
          <w:szCs w:val="18"/>
        </w:rPr>
        <w:t>02 квітня 2010 року</w:t>
      </w:r>
      <w:r w:rsidR="00A17EED" w:rsidRPr="00AD74E3">
        <w:rPr>
          <w:rFonts w:ascii="Times New Roman" w:hAnsi="Times New Roman" w:cs="Times New Roman"/>
          <w:sz w:val="18"/>
          <w:szCs w:val="18"/>
        </w:rPr>
        <w:t xml:space="preserve"> </w:t>
      </w:r>
      <w:r w:rsidRPr="00AD74E3">
        <w:rPr>
          <w:rFonts w:ascii="Times New Roman" w:hAnsi="Times New Roman" w:cs="Times New Roman"/>
          <w:sz w:val="18"/>
          <w:szCs w:val="18"/>
        </w:rPr>
        <w:t>Голова Правління</w:t>
      </w:r>
      <w:r w:rsidR="00A17EED" w:rsidRPr="00AD74E3">
        <w:rPr>
          <w:rFonts w:ascii="Times New Roman" w:hAnsi="Times New Roman" w:cs="Times New Roman"/>
          <w:sz w:val="18"/>
          <w:szCs w:val="18"/>
        </w:rPr>
        <w:t xml:space="preserve"> </w:t>
      </w:r>
      <w:r w:rsidRPr="00AD74E3">
        <w:rPr>
          <w:rFonts w:ascii="Times New Roman" w:hAnsi="Times New Roman" w:cs="Times New Roman"/>
          <w:sz w:val="18"/>
          <w:szCs w:val="18"/>
        </w:rPr>
        <w:t xml:space="preserve">К.А. </w:t>
      </w:r>
      <w:proofErr w:type="spellStart"/>
      <w:r w:rsidRPr="00AD74E3">
        <w:rPr>
          <w:rFonts w:ascii="Times New Roman" w:hAnsi="Times New Roman" w:cs="Times New Roman"/>
          <w:sz w:val="18"/>
          <w:szCs w:val="18"/>
        </w:rPr>
        <w:t>Людвик</w:t>
      </w:r>
      <w:proofErr w:type="spellEnd"/>
    </w:p>
    <w:p w:rsidR="00307A06" w:rsidRDefault="00307A06" w:rsidP="00E37001">
      <w:pPr>
        <w:spacing w:after="120" w:line="360" w:lineRule="auto"/>
        <w:ind w:firstLine="567"/>
        <w:contextualSpacing/>
        <w:rPr>
          <w:rFonts w:ascii="Times New Roman" w:hAnsi="Times New Roman" w:cs="Times New Roman"/>
          <w:sz w:val="18"/>
          <w:szCs w:val="18"/>
        </w:rPr>
      </w:pPr>
      <w:r w:rsidRPr="00AD74E3">
        <w:rPr>
          <w:rFonts w:ascii="Times New Roman" w:hAnsi="Times New Roman" w:cs="Times New Roman"/>
          <w:sz w:val="18"/>
          <w:szCs w:val="18"/>
        </w:rPr>
        <w:t>Вик. Колісник Р.А., тел. 351-79-06</w:t>
      </w:r>
      <w:r w:rsidR="00A17EED" w:rsidRPr="00AD74E3">
        <w:rPr>
          <w:rFonts w:ascii="Times New Roman" w:hAnsi="Times New Roman" w:cs="Times New Roman"/>
          <w:sz w:val="18"/>
          <w:szCs w:val="18"/>
        </w:rPr>
        <w:t xml:space="preserve"> </w:t>
      </w:r>
      <w:r w:rsidRPr="00AD74E3">
        <w:rPr>
          <w:rFonts w:ascii="Times New Roman" w:hAnsi="Times New Roman" w:cs="Times New Roman"/>
          <w:sz w:val="18"/>
          <w:szCs w:val="18"/>
        </w:rPr>
        <w:t>Головний бухгалтер</w:t>
      </w:r>
      <w:r w:rsidR="00A17EED" w:rsidRPr="00AD74E3">
        <w:rPr>
          <w:rFonts w:ascii="Times New Roman" w:hAnsi="Times New Roman" w:cs="Times New Roman"/>
          <w:sz w:val="18"/>
          <w:szCs w:val="18"/>
        </w:rPr>
        <w:t xml:space="preserve"> </w:t>
      </w:r>
      <w:r w:rsidRPr="00AD74E3">
        <w:rPr>
          <w:rFonts w:ascii="Times New Roman" w:hAnsi="Times New Roman" w:cs="Times New Roman"/>
          <w:sz w:val="18"/>
          <w:szCs w:val="18"/>
        </w:rPr>
        <w:t>Р.А. Колісник</w:t>
      </w:r>
    </w:p>
    <w:p w:rsidR="00AD74E3" w:rsidRPr="00AD74E3" w:rsidRDefault="00AD74E3" w:rsidP="00AD74E3">
      <w:pPr>
        <w:pStyle w:val="1"/>
        <w:jc w:val="right"/>
        <w:rPr>
          <w:rFonts w:ascii="Times New Roman" w:hAnsi="Times New Roman" w:cs="Times New Roman"/>
          <w:color w:val="auto"/>
        </w:rPr>
      </w:pPr>
      <w:bookmarkStart w:id="21" w:name="_Toc293306718"/>
      <w:r w:rsidRPr="00AD74E3">
        <w:rPr>
          <w:rFonts w:ascii="Times New Roman" w:hAnsi="Times New Roman" w:cs="Times New Roman"/>
          <w:color w:val="auto"/>
        </w:rPr>
        <w:lastRenderedPageBreak/>
        <w:t>Додаток Д</w:t>
      </w:r>
      <w:bookmarkEnd w:id="21"/>
    </w:p>
    <w:p w:rsidR="00AD74E3" w:rsidRPr="00AD74E3" w:rsidRDefault="00AD74E3" w:rsidP="00AD74E3">
      <w:pPr>
        <w:jc w:val="center"/>
        <w:rPr>
          <w:rFonts w:ascii="Times New Roman" w:hAnsi="Times New Roman" w:cs="Times New Roman"/>
          <w:sz w:val="18"/>
          <w:szCs w:val="18"/>
        </w:rPr>
      </w:pPr>
      <w:r w:rsidRPr="00BC11E3">
        <w:rPr>
          <w:rFonts w:ascii="Times New Roman" w:hAnsi="Times New Roman" w:cs="Times New Roman"/>
          <w:sz w:val="28"/>
          <w:szCs w:val="28"/>
        </w:rPr>
        <w:t>Структура кредитів за видами економічної діяльності</w:t>
      </w:r>
    </w:p>
    <w:tbl>
      <w:tblPr>
        <w:tblpPr w:leftFromText="180" w:rightFromText="180" w:horzAnchor="margin" w:tblpY="1084"/>
        <w:tblW w:w="9432" w:type="dxa"/>
        <w:tblLayout w:type="fixed"/>
        <w:tblLook w:val="04A0" w:firstRow="1" w:lastRow="0" w:firstColumn="1" w:lastColumn="0" w:noHBand="0" w:noVBand="1"/>
      </w:tblPr>
      <w:tblGrid>
        <w:gridCol w:w="4554"/>
        <w:gridCol w:w="1082"/>
        <w:gridCol w:w="44"/>
        <w:gridCol w:w="50"/>
        <w:gridCol w:w="1022"/>
        <w:gridCol w:w="142"/>
        <w:gridCol w:w="152"/>
        <w:gridCol w:w="822"/>
        <w:gridCol w:w="211"/>
        <w:gridCol w:w="161"/>
        <w:gridCol w:w="744"/>
        <w:gridCol w:w="224"/>
        <w:gridCol w:w="224"/>
      </w:tblGrid>
      <w:tr w:rsidR="00307A06" w:rsidRPr="007A3DF6" w:rsidTr="00307A06">
        <w:trPr>
          <w:trHeight w:val="255"/>
        </w:trPr>
        <w:tc>
          <w:tcPr>
            <w:tcW w:w="4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7A06" w:rsidRPr="007A3DF6" w:rsidRDefault="00307A06" w:rsidP="00E37001">
            <w:pPr>
              <w:spacing w:after="0" w:line="360" w:lineRule="auto"/>
              <w:ind w:firstLine="567"/>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Україна</w:t>
            </w:r>
          </w:p>
        </w:tc>
        <w:tc>
          <w:tcPr>
            <w:tcW w:w="4878" w:type="dxa"/>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Внутрішньо контрольована, транскордонна основа консолідації</w:t>
            </w:r>
          </w:p>
        </w:tc>
      </w:tr>
      <w:tr w:rsidR="00307A06" w:rsidRPr="007A3DF6" w:rsidTr="00307A06">
        <w:trPr>
          <w:trHeight w:val="483"/>
        </w:trPr>
        <w:tc>
          <w:tcPr>
            <w:tcW w:w="45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07A06" w:rsidRPr="007A3DF6" w:rsidRDefault="00307A06" w:rsidP="00E37001">
            <w:pPr>
              <w:spacing w:after="0" w:line="360" w:lineRule="auto"/>
              <w:ind w:firstLine="567"/>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За видами економічної діяльності</w:t>
            </w:r>
          </w:p>
        </w:tc>
        <w:tc>
          <w:tcPr>
            <w:tcW w:w="4878" w:type="dxa"/>
            <w:gridSpan w:val="12"/>
            <w:vMerge/>
            <w:tcBorders>
              <w:top w:val="nil"/>
              <w:left w:val="single" w:sz="4" w:space="0" w:color="auto"/>
              <w:bottom w:val="single" w:sz="4" w:space="0" w:color="auto"/>
              <w:right w:val="single" w:sz="4" w:space="0" w:color="auto"/>
            </w:tcBorders>
            <w:vAlign w:val="center"/>
            <w:hideMark/>
          </w:tcPr>
          <w:p w:rsidR="00307A06" w:rsidRPr="007A3DF6" w:rsidRDefault="00307A06" w:rsidP="00AD74E3">
            <w:pPr>
              <w:spacing w:after="0" w:line="360" w:lineRule="auto"/>
              <w:contextualSpacing/>
              <w:rPr>
                <w:rFonts w:ascii="Times New Roman" w:eastAsia="Times New Roman" w:hAnsi="Times New Roman" w:cs="Times New Roman"/>
                <w:sz w:val="20"/>
                <w:szCs w:val="20"/>
                <w:lang w:eastAsia="ru-RU"/>
              </w:rPr>
            </w:pPr>
          </w:p>
        </w:tc>
      </w:tr>
      <w:tr w:rsidR="00307A06" w:rsidRPr="007A3DF6" w:rsidTr="00307A06">
        <w:trPr>
          <w:trHeight w:val="360"/>
        </w:trPr>
        <w:tc>
          <w:tcPr>
            <w:tcW w:w="4554" w:type="dxa"/>
            <w:vMerge/>
            <w:tcBorders>
              <w:top w:val="nil"/>
              <w:left w:val="single" w:sz="4" w:space="0" w:color="auto"/>
              <w:bottom w:val="single" w:sz="4" w:space="0" w:color="auto"/>
              <w:right w:val="single" w:sz="4" w:space="0" w:color="auto"/>
            </w:tcBorders>
            <w:vAlign w:val="center"/>
            <w:hideMark/>
          </w:tcPr>
          <w:p w:rsidR="00307A06" w:rsidRPr="007A3DF6" w:rsidRDefault="00307A06" w:rsidP="00E37001">
            <w:pPr>
              <w:spacing w:after="0" w:line="360" w:lineRule="auto"/>
              <w:ind w:firstLine="567"/>
              <w:contextualSpacing/>
              <w:rPr>
                <w:rFonts w:ascii="Times New Roman" w:eastAsia="Times New Roman" w:hAnsi="Times New Roman" w:cs="Times New Roman"/>
                <w:sz w:val="20"/>
                <w:szCs w:val="20"/>
                <w:lang w:eastAsia="ru-RU"/>
              </w:rPr>
            </w:pPr>
          </w:p>
        </w:tc>
        <w:tc>
          <w:tcPr>
            <w:tcW w:w="1176" w:type="dxa"/>
            <w:gridSpan w:val="3"/>
            <w:tcBorders>
              <w:top w:val="nil"/>
              <w:left w:val="nil"/>
              <w:bottom w:val="nil"/>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31.03.2009</w:t>
            </w:r>
          </w:p>
        </w:tc>
        <w:tc>
          <w:tcPr>
            <w:tcW w:w="1316" w:type="dxa"/>
            <w:gridSpan w:val="3"/>
            <w:tcBorders>
              <w:top w:val="nil"/>
              <w:left w:val="nil"/>
              <w:bottom w:val="nil"/>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30.06.2009</w:t>
            </w:r>
          </w:p>
        </w:tc>
        <w:tc>
          <w:tcPr>
            <w:tcW w:w="1194" w:type="dxa"/>
            <w:gridSpan w:val="3"/>
            <w:tcBorders>
              <w:top w:val="nil"/>
              <w:left w:val="nil"/>
              <w:bottom w:val="nil"/>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30.09.2009</w:t>
            </w:r>
          </w:p>
        </w:tc>
        <w:tc>
          <w:tcPr>
            <w:tcW w:w="1192" w:type="dxa"/>
            <w:gridSpan w:val="3"/>
            <w:tcBorders>
              <w:top w:val="nil"/>
              <w:left w:val="nil"/>
              <w:bottom w:val="nil"/>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31.12.2009</w:t>
            </w:r>
          </w:p>
        </w:tc>
      </w:tr>
      <w:tr w:rsidR="00307A06" w:rsidRPr="007A3DF6" w:rsidTr="00307A06">
        <w:trPr>
          <w:trHeight w:val="510"/>
        </w:trPr>
        <w:tc>
          <w:tcPr>
            <w:tcW w:w="4554" w:type="dxa"/>
            <w:tcBorders>
              <w:top w:val="single" w:sz="4" w:space="0" w:color="auto"/>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xml:space="preserve">Сільське господарство, мисливство та лісове господарство </w:t>
            </w:r>
          </w:p>
        </w:tc>
        <w:tc>
          <w:tcPr>
            <w:tcW w:w="1176" w:type="dxa"/>
            <w:gridSpan w:val="3"/>
            <w:tcBorders>
              <w:top w:val="single" w:sz="4" w:space="0" w:color="auto"/>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28 755,11</w:t>
            </w:r>
          </w:p>
        </w:tc>
        <w:tc>
          <w:tcPr>
            <w:tcW w:w="1316" w:type="dxa"/>
            <w:gridSpan w:val="3"/>
            <w:tcBorders>
              <w:top w:val="single" w:sz="4" w:space="0" w:color="auto"/>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29 953,43</w:t>
            </w:r>
          </w:p>
        </w:tc>
        <w:tc>
          <w:tcPr>
            <w:tcW w:w="1194" w:type="dxa"/>
            <w:gridSpan w:val="3"/>
            <w:tcBorders>
              <w:top w:val="single" w:sz="4" w:space="0" w:color="auto"/>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29 112,24</w:t>
            </w:r>
          </w:p>
        </w:tc>
        <w:tc>
          <w:tcPr>
            <w:tcW w:w="1192" w:type="dxa"/>
            <w:gridSpan w:val="3"/>
            <w:tcBorders>
              <w:top w:val="single" w:sz="4" w:space="0" w:color="auto"/>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26 025,83</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Рибальство, рибництво</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406,16</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392,27</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210,62</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327,47</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Добувна промисловість</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6 518,86</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6 728,28</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6 831,76</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9 606,95</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xml:space="preserve">Переробна промисловість </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100 513,20</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100 431,13</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103 331,83</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104 951,01</w:t>
            </w:r>
          </w:p>
        </w:tc>
      </w:tr>
      <w:tr w:rsidR="00307A06" w:rsidRPr="007A3DF6" w:rsidTr="00307A06">
        <w:trPr>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Виробництво та розподілення електроенергії, газу та води</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8 339,21</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8 445,13</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8 926,08</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9 273,14</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Будівництво</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38 863,46</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39 262,15</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41 050,86</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41 677,66</w:t>
            </w:r>
          </w:p>
        </w:tc>
      </w:tr>
      <w:tr w:rsidR="00307A06" w:rsidRPr="007A3DF6" w:rsidTr="00307A06">
        <w:trPr>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Торгівля; ремонт автомобілів, побутових виробів та предметів особистого вжитку</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157 008,89</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154 120,18</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160 571,25</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165 678,42</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Діяльність готелів та ресторанів</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4 189,60</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4 249,39</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4 389,84</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4 397,21</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Діяльність транспорту та зв'язку</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15 352,69</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15 531,08</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17 003,13</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16 006,98</w:t>
            </w:r>
          </w:p>
        </w:tc>
      </w:tr>
      <w:tr w:rsidR="00307A06" w:rsidRPr="007A3DF6" w:rsidTr="00307A06">
        <w:trPr>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Операції з нерухомим майном, оренда, інжиніринг та надання послуг підприємцям</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67 024,23</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76 038,12</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78 685,93</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77 848,36</w:t>
            </w:r>
          </w:p>
        </w:tc>
      </w:tr>
      <w:tr w:rsidR="00307A06" w:rsidRPr="007A3DF6" w:rsidTr="00307A06">
        <w:trPr>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Освіта</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526,93</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671,73</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252,17</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215,87</w:t>
            </w:r>
          </w:p>
        </w:tc>
      </w:tr>
      <w:tr w:rsidR="00307A06" w:rsidRPr="007A3DF6" w:rsidTr="00307A06">
        <w:trPr>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Охорона здоров’я та надання соціальної допомоги</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2 041,91</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1 625,92</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1 638,09</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1 494,85</w:t>
            </w:r>
          </w:p>
        </w:tc>
      </w:tr>
      <w:tr w:rsidR="00307A06" w:rsidRPr="007A3DF6" w:rsidTr="00307A06">
        <w:trPr>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Надання комунальних та індивідуальних послуг; діяльність у сфері культури та спорту</w:t>
            </w:r>
          </w:p>
        </w:tc>
        <w:tc>
          <w:tcPr>
            <w:tcW w:w="117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4 105,48</w:t>
            </w:r>
          </w:p>
        </w:tc>
        <w:tc>
          <w:tcPr>
            <w:tcW w:w="1316"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4 662,51</w:t>
            </w:r>
          </w:p>
        </w:tc>
        <w:tc>
          <w:tcPr>
            <w:tcW w:w="119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5 520,75</w:t>
            </w:r>
          </w:p>
        </w:tc>
        <w:tc>
          <w:tcPr>
            <w:tcW w:w="1192"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4 710,94</w:t>
            </w:r>
          </w:p>
        </w:tc>
      </w:tr>
      <w:tr w:rsidR="00307A06" w:rsidRPr="007A3DF6" w:rsidTr="00307A06">
        <w:trPr>
          <w:trHeight w:val="255"/>
        </w:trPr>
        <w:tc>
          <w:tcPr>
            <w:tcW w:w="4554" w:type="dxa"/>
            <w:tcBorders>
              <w:top w:val="nil"/>
              <w:left w:val="nil"/>
              <w:bottom w:val="nil"/>
              <w:right w:val="nil"/>
            </w:tcBorders>
            <w:shd w:val="clear" w:color="auto" w:fill="auto"/>
            <w:noWrap/>
            <w:vAlign w:val="bottom"/>
            <w:hideMark/>
          </w:tcPr>
          <w:p w:rsidR="007A3DF6" w:rsidRPr="007A3DF6" w:rsidRDefault="007A3DF6" w:rsidP="007A3DF6">
            <w:pPr>
              <w:spacing w:after="0" w:line="360" w:lineRule="auto"/>
              <w:ind w:firstLine="567"/>
              <w:contextualSpacing/>
              <w:rPr>
                <w:rFonts w:ascii="Times New Roman" w:eastAsia="Times New Roman" w:hAnsi="Times New Roman" w:cs="Times New Roman"/>
                <w:sz w:val="20"/>
                <w:szCs w:val="20"/>
                <w:lang w:eastAsia="ru-RU"/>
              </w:rPr>
            </w:pPr>
          </w:p>
        </w:tc>
        <w:tc>
          <w:tcPr>
            <w:tcW w:w="117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3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94"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92"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r>
      <w:tr w:rsidR="00307A06" w:rsidRPr="007A3DF6" w:rsidTr="00307A06">
        <w:trPr>
          <w:trHeight w:val="255"/>
        </w:trPr>
        <w:tc>
          <w:tcPr>
            <w:tcW w:w="4554" w:type="dxa"/>
            <w:tcBorders>
              <w:top w:val="nil"/>
              <w:left w:val="nil"/>
              <w:bottom w:val="nil"/>
              <w:right w:val="nil"/>
            </w:tcBorders>
            <w:shd w:val="clear" w:color="auto" w:fill="auto"/>
            <w:noWrap/>
            <w:vAlign w:val="bottom"/>
            <w:hideMark/>
          </w:tcPr>
          <w:p w:rsidR="00307A06" w:rsidRPr="007A3DF6" w:rsidRDefault="00307A06" w:rsidP="00E37001">
            <w:pPr>
              <w:spacing w:after="0" w:line="360" w:lineRule="auto"/>
              <w:ind w:firstLine="567"/>
              <w:contextualSpacing/>
              <w:jc w:val="right"/>
              <w:rPr>
                <w:rFonts w:ascii="Times New Roman" w:eastAsia="Times New Roman" w:hAnsi="Times New Roman" w:cs="Times New Roman"/>
                <w:sz w:val="20"/>
                <w:szCs w:val="20"/>
                <w:lang w:eastAsia="ru-RU"/>
              </w:rPr>
            </w:pPr>
          </w:p>
        </w:tc>
        <w:tc>
          <w:tcPr>
            <w:tcW w:w="117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3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94"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92"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w:t>
            </w:r>
            <w:proofErr w:type="spellStart"/>
            <w:r w:rsidRPr="007A3DF6">
              <w:rPr>
                <w:rFonts w:ascii="Times New Roman" w:eastAsia="Times New Roman" w:hAnsi="Times New Roman" w:cs="Times New Roman"/>
                <w:sz w:val="20"/>
                <w:szCs w:val="20"/>
                <w:lang w:eastAsia="ru-RU"/>
              </w:rPr>
              <w:t>млн..грн</w:t>
            </w:r>
            <w:proofErr w:type="spellEnd"/>
            <w:r w:rsidRPr="007A3DF6">
              <w:rPr>
                <w:rFonts w:ascii="Times New Roman" w:eastAsia="Times New Roman" w:hAnsi="Times New Roman" w:cs="Times New Roman"/>
                <w:sz w:val="20"/>
                <w:szCs w:val="20"/>
                <w:lang w:eastAsia="ru-RU"/>
              </w:rPr>
              <w:t>.)</w:t>
            </w:r>
          </w:p>
        </w:tc>
      </w:tr>
      <w:tr w:rsidR="00307A06" w:rsidRPr="007A3DF6" w:rsidTr="00307A06">
        <w:trPr>
          <w:gridAfter w:val="1"/>
          <w:wAfter w:w="224" w:type="dxa"/>
          <w:trHeight w:val="255"/>
        </w:trPr>
        <w:tc>
          <w:tcPr>
            <w:tcW w:w="4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7A06" w:rsidRPr="007A3DF6" w:rsidRDefault="00307A06" w:rsidP="00E37001">
            <w:pPr>
              <w:spacing w:after="0" w:line="360" w:lineRule="auto"/>
              <w:ind w:firstLine="567"/>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Україна</w:t>
            </w:r>
          </w:p>
        </w:tc>
        <w:tc>
          <w:tcPr>
            <w:tcW w:w="4654"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Внутрішньо контрольована, транскордонна основа консолідації</w:t>
            </w:r>
          </w:p>
        </w:tc>
      </w:tr>
      <w:tr w:rsidR="00307A06" w:rsidRPr="007A3DF6" w:rsidTr="00307A06">
        <w:trPr>
          <w:gridAfter w:val="1"/>
          <w:wAfter w:w="224" w:type="dxa"/>
          <w:trHeight w:val="483"/>
        </w:trPr>
        <w:tc>
          <w:tcPr>
            <w:tcW w:w="45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07A06" w:rsidRPr="007A3DF6" w:rsidRDefault="00307A06" w:rsidP="00E37001">
            <w:pPr>
              <w:spacing w:after="0" w:line="360" w:lineRule="auto"/>
              <w:ind w:firstLine="567"/>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За видами економічної діяльності</w:t>
            </w:r>
          </w:p>
        </w:tc>
        <w:tc>
          <w:tcPr>
            <w:tcW w:w="4654" w:type="dxa"/>
            <w:gridSpan w:val="11"/>
            <w:vMerge/>
            <w:tcBorders>
              <w:top w:val="nil"/>
              <w:left w:val="single" w:sz="4" w:space="0" w:color="auto"/>
              <w:bottom w:val="single" w:sz="4" w:space="0" w:color="auto"/>
              <w:right w:val="single" w:sz="4" w:space="0" w:color="auto"/>
            </w:tcBorders>
            <w:vAlign w:val="center"/>
            <w:hideMark/>
          </w:tcPr>
          <w:p w:rsidR="00307A06" w:rsidRPr="007A3DF6" w:rsidRDefault="00307A06" w:rsidP="00AD74E3">
            <w:pPr>
              <w:spacing w:after="0" w:line="360" w:lineRule="auto"/>
              <w:contextualSpacing/>
              <w:rPr>
                <w:rFonts w:ascii="Times New Roman" w:eastAsia="Times New Roman" w:hAnsi="Times New Roman" w:cs="Times New Roman"/>
                <w:sz w:val="20"/>
                <w:szCs w:val="20"/>
                <w:lang w:eastAsia="ru-RU"/>
              </w:rPr>
            </w:pPr>
          </w:p>
        </w:tc>
      </w:tr>
      <w:tr w:rsidR="00307A06" w:rsidRPr="007A3DF6" w:rsidTr="00307A06">
        <w:trPr>
          <w:gridAfter w:val="1"/>
          <w:wAfter w:w="224" w:type="dxa"/>
          <w:trHeight w:val="360"/>
        </w:trPr>
        <w:tc>
          <w:tcPr>
            <w:tcW w:w="4554" w:type="dxa"/>
            <w:vMerge/>
            <w:tcBorders>
              <w:top w:val="nil"/>
              <w:left w:val="single" w:sz="4" w:space="0" w:color="auto"/>
              <w:bottom w:val="single" w:sz="4" w:space="0" w:color="auto"/>
              <w:right w:val="single" w:sz="4" w:space="0" w:color="auto"/>
            </w:tcBorders>
            <w:vAlign w:val="center"/>
            <w:hideMark/>
          </w:tcPr>
          <w:p w:rsidR="00307A06" w:rsidRPr="007A3DF6" w:rsidRDefault="00307A06" w:rsidP="00E37001">
            <w:pPr>
              <w:spacing w:after="0" w:line="360" w:lineRule="auto"/>
              <w:ind w:firstLine="567"/>
              <w:contextualSpacing/>
              <w:rPr>
                <w:rFonts w:ascii="Times New Roman" w:eastAsia="Times New Roman" w:hAnsi="Times New Roman" w:cs="Times New Roman"/>
                <w:sz w:val="20"/>
                <w:szCs w:val="20"/>
                <w:lang w:eastAsia="ru-RU"/>
              </w:rPr>
            </w:pPr>
          </w:p>
        </w:tc>
        <w:tc>
          <w:tcPr>
            <w:tcW w:w="1126" w:type="dxa"/>
            <w:gridSpan w:val="2"/>
            <w:tcBorders>
              <w:top w:val="nil"/>
              <w:left w:val="nil"/>
              <w:bottom w:val="nil"/>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31.03.2010</w:t>
            </w:r>
          </w:p>
        </w:tc>
        <w:tc>
          <w:tcPr>
            <w:tcW w:w="1214" w:type="dxa"/>
            <w:gridSpan w:val="3"/>
            <w:tcBorders>
              <w:top w:val="nil"/>
              <w:left w:val="nil"/>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30.06.2010</w:t>
            </w:r>
          </w:p>
        </w:tc>
        <w:tc>
          <w:tcPr>
            <w:tcW w:w="1185" w:type="dxa"/>
            <w:gridSpan w:val="3"/>
            <w:tcBorders>
              <w:top w:val="nil"/>
              <w:left w:val="nil"/>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30.09.2010</w:t>
            </w:r>
          </w:p>
        </w:tc>
        <w:tc>
          <w:tcPr>
            <w:tcW w:w="1129" w:type="dxa"/>
            <w:gridSpan w:val="3"/>
            <w:tcBorders>
              <w:top w:val="nil"/>
              <w:left w:val="nil"/>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31.12.2010</w:t>
            </w:r>
          </w:p>
        </w:tc>
      </w:tr>
      <w:tr w:rsidR="00307A06" w:rsidRPr="007A3DF6" w:rsidTr="00307A06">
        <w:trPr>
          <w:gridAfter w:val="1"/>
          <w:wAfter w:w="224" w:type="dxa"/>
          <w:trHeight w:val="510"/>
        </w:trPr>
        <w:tc>
          <w:tcPr>
            <w:tcW w:w="4554" w:type="dxa"/>
            <w:tcBorders>
              <w:top w:val="single" w:sz="4" w:space="0" w:color="auto"/>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xml:space="preserve">Сільське господарство, мисливство та лісове господарство </w:t>
            </w:r>
          </w:p>
        </w:tc>
        <w:tc>
          <w:tcPr>
            <w:tcW w:w="1126" w:type="dxa"/>
            <w:gridSpan w:val="2"/>
            <w:tcBorders>
              <w:top w:val="single" w:sz="4" w:space="0" w:color="auto"/>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25 299,81</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26 767,03</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26 605,84</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26 545,15</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Рибальство, рибництво</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288,80</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270,75</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283,34</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307,28</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Добувна промисловість</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7 994,88</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9 053,65</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11 901,94</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12 883,17</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xml:space="preserve">Переробна промисловість </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104 455,64</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108 445,48</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114 286,03</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121 525,56</w:t>
            </w:r>
          </w:p>
        </w:tc>
      </w:tr>
      <w:tr w:rsidR="00307A06" w:rsidRPr="007A3DF6" w:rsidTr="00307A06">
        <w:trPr>
          <w:gridAfter w:val="1"/>
          <w:wAfter w:w="224"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Виробництво та розподілення електроенергії, газу та води</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10 000,79</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10 361,19</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12 090,25</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12 702,40</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Будівництво</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41 685,75</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43 075,77</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43 179,00</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43 158,17</w:t>
            </w:r>
          </w:p>
        </w:tc>
      </w:tr>
      <w:tr w:rsidR="00307A06" w:rsidRPr="007A3DF6" w:rsidTr="00307A06">
        <w:trPr>
          <w:gridAfter w:val="1"/>
          <w:wAfter w:w="224"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Торгівля; ремонт автомобілів, побутових виробів та предметів особистого вжитку</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162 028,87</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166 525,39</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172 838,44</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174 452,31</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lastRenderedPageBreak/>
              <w:t>Діяльність готелів та ресторанів</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4 622,56</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4 714,81</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4 858,98</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4 900,68</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Діяльність транспорту та зв'язку</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16 175,77</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16 948,34</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19 150,19</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20 944,30</w:t>
            </w:r>
          </w:p>
        </w:tc>
      </w:tr>
      <w:tr w:rsidR="00307A06" w:rsidRPr="007A3DF6" w:rsidTr="00307A06">
        <w:trPr>
          <w:gridAfter w:val="1"/>
          <w:wAfter w:w="224"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Операції з нерухомим майном, оренда, інжиніринг та надання послуг підприємцям</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74 678,41</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70 413,25</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76 794,10</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77 490,32</w:t>
            </w:r>
          </w:p>
        </w:tc>
      </w:tr>
      <w:tr w:rsidR="00307A06" w:rsidRPr="007A3DF6" w:rsidTr="00307A06">
        <w:trPr>
          <w:gridAfter w:val="1"/>
          <w:wAfter w:w="224"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Освіта</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214,37</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180,13</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141,44</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158,14</w:t>
            </w:r>
          </w:p>
        </w:tc>
      </w:tr>
      <w:tr w:rsidR="00307A06" w:rsidRPr="007A3DF6" w:rsidTr="00307A06">
        <w:trPr>
          <w:gridAfter w:val="1"/>
          <w:wAfter w:w="224"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Охорона здоров’я та надання соціальної допомоги</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1 702,24</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1 853,41</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1 766,41</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1 456,66</w:t>
            </w:r>
          </w:p>
        </w:tc>
      </w:tr>
      <w:tr w:rsidR="00307A06" w:rsidRPr="007A3DF6" w:rsidTr="00307A06">
        <w:trPr>
          <w:gridAfter w:val="1"/>
          <w:wAfter w:w="224"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Надання комунальних та індивідуальних послуг; діяльність у сфері культури та спорту</w:t>
            </w:r>
          </w:p>
        </w:tc>
        <w:tc>
          <w:tcPr>
            <w:tcW w:w="1126" w:type="dxa"/>
            <w:gridSpan w:val="2"/>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4 435,50</w:t>
            </w:r>
          </w:p>
        </w:tc>
        <w:tc>
          <w:tcPr>
            <w:tcW w:w="1214"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4 667,82</w:t>
            </w:r>
          </w:p>
        </w:tc>
        <w:tc>
          <w:tcPr>
            <w:tcW w:w="1185"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4 341,61</w:t>
            </w:r>
          </w:p>
        </w:tc>
        <w:tc>
          <w:tcPr>
            <w:tcW w:w="1129" w:type="dxa"/>
            <w:gridSpan w:val="3"/>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4 436,46</w:t>
            </w:r>
          </w:p>
        </w:tc>
      </w:tr>
      <w:tr w:rsidR="00307A06" w:rsidRPr="007A3DF6" w:rsidTr="00307A06">
        <w:trPr>
          <w:gridAfter w:val="1"/>
          <w:wAfter w:w="224" w:type="dxa"/>
          <w:trHeight w:val="255"/>
        </w:trPr>
        <w:tc>
          <w:tcPr>
            <w:tcW w:w="4554" w:type="dxa"/>
            <w:tcBorders>
              <w:top w:val="nil"/>
              <w:left w:val="nil"/>
              <w:bottom w:val="nil"/>
              <w:right w:val="nil"/>
            </w:tcBorders>
            <w:shd w:val="clear" w:color="auto" w:fill="auto"/>
            <w:noWrap/>
            <w:vAlign w:val="bottom"/>
            <w:hideMark/>
          </w:tcPr>
          <w:p w:rsidR="00307A06" w:rsidRPr="007A3DF6" w:rsidRDefault="00307A06" w:rsidP="00E37001">
            <w:pPr>
              <w:spacing w:after="0" w:line="360" w:lineRule="auto"/>
              <w:ind w:firstLine="567"/>
              <w:contextualSpacing/>
              <w:rPr>
                <w:rFonts w:ascii="Times New Roman" w:eastAsia="Times New Roman" w:hAnsi="Times New Roman" w:cs="Times New Roman"/>
                <w:sz w:val="20"/>
                <w:szCs w:val="20"/>
                <w:lang w:eastAsia="ru-RU"/>
              </w:rPr>
            </w:pPr>
          </w:p>
        </w:tc>
        <w:tc>
          <w:tcPr>
            <w:tcW w:w="1126" w:type="dxa"/>
            <w:gridSpan w:val="2"/>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214"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85"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29"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r>
      <w:tr w:rsidR="00307A06" w:rsidRPr="007A3DF6" w:rsidTr="00307A06">
        <w:trPr>
          <w:gridAfter w:val="1"/>
          <w:wAfter w:w="224" w:type="dxa"/>
          <w:trHeight w:val="255"/>
        </w:trPr>
        <w:tc>
          <w:tcPr>
            <w:tcW w:w="4554" w:type="dxa"/>
            <w:tcBorders>
              <w:top w:val="nil"/>
              <w:left w:val="nil"/>
              <w:bottom w:val="nil"/>
              <w:right w:val="nil"/>
            </w:tcBorders>
            <w:shd w:val="clear" w:color="auto" w:fill="auto"/>
            <w:noWrap/>
            <w:vAlign w:val="bottom"/>
            <w:hideMark/>
          </w:tcPr>
          <w:p w:rsidR="00307A06" w:rsidRPr="007A3DF6" w:rsidRDefault="00307A06" w:rsidP="00E37001">
            <w:pPr>
              <w:spacing w:after="0" w:line="360" w:lineRule="auto"/>
              <w:ind w:firstLine="567"/>
              <w:contextualSpacing/>
              <w:jc w:val="right"/>
              <w:rPr>
                <w:rFonts w:ascii="Times New Roman" w:eastAsia="Times New Roman" w:hAnsi="Times New Roman" w:cs="Times New Roman"/>
                <w:sz w:val="20"/>
                <w:szCs w:val="20"/>
                <w:lang w:eastAsia="ru-RU"/>
              </w:rPr>
            </w:pPr>
          </w:p>
        </w:tc>
        <w:tc>
          <w:tcPr>
            <w:tcW w:w="1126" w:type="dxa"/>
            <w:gridSpan w:val="2"/>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214"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85"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right"/>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млн. грн.)</w:t>
            </w:r>
          </w:p>
        </w:tc>
        <w:tc>
          <w:tcPr>
            <w:tcW w:w="1129"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r>
      <w:tr w:rsidR="00307A06" w:rsidRPr="007A3DF6" w:rsidTr="00307A06">
        <w:trPr>
          <w:gridAfter w:val="2"/>
          <w:wAfter w:w="448" w:type="dxa"/>
          <w:trHeight w:val="255"/>
        </w:trPr>
        <w:tc>
          <w:tcPr>
            <w:tcW w:w="4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7A06" w:rsidRPr="007A3DF6" w:rsidRDefault="00307A06" w:rsidP="00E37001">
            <w:pPr>
              <w:spacing w:after="0" w:line="360" w:lineRule="auto"/>
              <w:ind w:firstLine="567"/>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Україна</w:t>
            </w:r>
          </w:p>
        </w:tc>
        <w:tc>
          <w:tcPr>
            <w:tcW w:w="4430"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Внутрішньо контрольована, транскордонна основа консолідації</w:t>
            </w:r>
          </w:p>
        </w:tc>
      </w:tr>
      <w:tr w:rsidR="00307A06" w:rsidRPr="007A3DF6" w:rsidTr="00307A06">
        <w:trPr>
          <w:gridAfter w:val="2"/>
          <w:wAfter w:w="448" w:type="dxa"/>
          <w:trHeight w:val="483"/>
        </w:trPr>
        <w:tc>
          <w:tcPr>
            <w:tcW w:w="45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07A06" w:rsidRPr="007A3DF6" w:rsidRDefault="00307A06" w:rsidP="00E37001">
            <w:pPr>
              <w:spacing w:after="0" w:line="360" w:lineRule="auto"/>
              <w:ind w:firstLine="567"/>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За видами економічної діяльності</w:t>
            </w:r>
          </w:p>
        </w:tc>
        <w:tc>
          <w:tcPr>
            <w:tcW w:w="4430" w:type="dxa"/>
            <w:gridSpan w:val="10"/>
            <w:vMerge/>
            <w:tcBorders>
              <w:top w:val="nil"/>
              <w:left w:val="single" w:sz="4" w:space="0" w:color="auto"/>
              <w:bottom w:val="single" w:sz="4" w:space="0" w:color="auto"/>
              <w:right w:val="single" w:sz="4" w:space="0" w:color="auto"/>
            </w:tcBorders>
            <w:vAlign w:val="center"/>
            <w:hideMark/>
          </w:tcPr>
          <w:p w:rsidR="00307A06" w:rsidRPr="007A3DF6" w:rsidRDefault="00307A06" w:rsidP="00AD74E3">
            <w:pPr>
              <w:spacing w:after="0" w:line="360" w:lineRule="auto"/>
              <w:contextualSpacing/>
              <w:rPr>
                <w:rFonts w:ascii="Times New Roman" w:eastAsia="Times New Roman" w:hAnsi="Times New Roman" w:cs="Times New Roman"/>
                <w:sz w:val="20"/>
                <w:szCs w:val="20"/>
                <w:lang w:eastAsia="ru-RU"/>
              </w:rPr>
            </w:pPr>
          </w:p>
        </w:tc>
      </w:tr>
      <w:tr w:rsidR="00307A06" w:rsidRPr="007A3DF6" w:rsidTr="00307A06">
        <w:trPr>
          <w:gridAfter w:val="2"/>
          <w:wAfter w:w="448" w:type="dxa"/>
          <w:trHeight w:val="360"/>
        </w:trPr>
        <w:tc>
          <w:tcPr>
            <w:tcW w:w="4554" w:type="dxa"/>
            <w:vMerge/>
            <w:tcBorders>
              <w:top w:val="nil"/>
              <w:left w:val="single" w:sz="4" w:space="0" w:color="auto"/>
              <w:bottom w:val="single" w:sz="4" w:space="0" w:color="auto"/>
              <w:right w:val="single" w:sz="4" w:space="0" w:color="auto"/>
            </w:tcBorders>
            <w:vAlign w:val="center"/>
            <w:hideMark/>
          </w:tcPr>
          <w:p w:rsidR="00307A06" w:rsidRPr="007A3DF6" w:rsidRDefault="00307A06" w:rsidP="00E37001">
            <w:pPr>
              <w:spacing w:after="0" w:line="360" w:lineRule="auto"/>
              <w:ind w:firstLine="567"/>
              <w:contextualSpacing/>
              <w:rPr>
                <w:rFonts w:ascii="Times New Roman" w:eastAsia="Times New Roman" w:hAnsi="Times New Roman" w:cs="Times New Roman"/>
                <w:sz w:val="20"/>
                <w:szCs w:val="20"/>
                <w:lang w:eastAsia="ru-RU"/>
              </w:rPr>
            </w:pPr>
          </w:p>
        </w:tc>
        <w:tc>
          <w:tcPr>
            <w:tcW w:w="4430" w:type="dxa"/>
            <w:gridSpan w:val="10"/>
            <w:tcBorders>
              <w:top w:val="nil"/>
              <w:left w:val="nil"/>
              <w:bottom w:val="single" w:sz="4" w:space="0" w:color="auto"/>
              <w:right w:val="single" w:sz="4" w:space="0" w:color="auto"/>
            </w:tcBorders>
            <w:shd w:val="clear" w:color="auto" w:fill="auto"/>
            <w:vAlign w:val="center"/>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highlight w:val="yellow"/>
                <w:lang w:eastAsia="ru-RU"/>
              </w:rPr>
            </w:pPr>
            <w:r w:rsidRPr="007A3DF6">
              <w:rPr>
                <w:rFonts w:ascii="Times New Roman" w:eastAsia="Times New Roman" w:hAnsi="Times New Roman" w:cs="Times New Roman"/>
                <w:sz w:val="20"/>
                <w:szCs w:val="20"/>
                <w:highlight w:val="yellow"/>
                <w:lang w:eastAsia="ru-RU"/>
              </w:rPr>
              <w:t>31.03.2011</w:t>
            </w:r>
          </w:p>
        </w:tc>
      </w:tr>
      <w:tr w:rsidR="00307A06" w:rsidRPr="007A3DF6" w:rsidTr="00307A06">
        <w:trPr>
          <w:gridAfter w:val="2"/>
          <w:wAfter w:w="448" w:type="dxa"/>
          <w:trHeight w:val="510"/>
        </w:trPr>
        <w:tc>
          <w:tcPr>
            <w:tcW w:w="4554" w:type="dxa"/>
            <w:tcBorders>
              <w:top w:val="single" w:sz="4" w:space="0" w:color="auto"/>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xml:space="preserve">Сільське господарство, мисливство та лісове господарство </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29 462,79</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Рибальство, рибництво</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345,24</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Добувна промисловість</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14 285,03</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 xml:space="preserve">Переробна промисловість </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125 756,59</w:t>
            </w:r>
          </w:p>
        </w:tc>
      </w:tr>
      <w:tr w:rsidR="00307A06" w:rsidRPr="007A3DF6" w:rsidTr="00307A06">
        <w:trPr>
          <w:gridAfter w:val="2"/>
          <w:wAfter w:w="448"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Виробництво та розподілення електроенергії, газу та води</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13 087,34</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Будівництво</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44 225,99</w:t>
            </w:r>
          </w:p>
        </w:tc>
      </w:tr>
      <w:tr w:rsidR="00307A06" w:rsidRPr="007A3DF6" w:rsidTr="00307A06">
        <w:trPr>
          <w:gridAfter w:val="2"/>
          <w:wAfter w:w="448"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Торгівля; ремонт автомобілів, побутових виробів та предметів особистого вжитку</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179 377,75</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Діяльність готелів та ресторанів</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4 209,46</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Діяльність транспорту та зв'язку</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24 686,82</w:t>
            </w:r>
          </w:p>
        </w:tc>
      </w:tr>
      <w:tr w:rsidR="00307A06" w:rsidRPr="007A3DF6" w:rsidTr="00307A06">
        <w:trPr>
          <w:gridAfter w:val="2"/>
          <w:wAfter w:w="448"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Операції з нерухомим майном, оренда, інжиніринг та надання послуг підприємцям</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80 117,26</w:t>
            </w:r>
          </w:p>
        </w:tc>
      </w:tr>
      <w:tr w:rsidR="00307A06" w:rsidRPr="007A3DF6" w:rsidTr="00307A06">
        <w:trPr>
          <w:gridAfter w:val="2"/>
          <w:wAfter w:w="448" w:type="dxa"/>
          <w:trHeight w:val="255"/>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Освіта</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179,20</w:t>
            </w:r>
          </w:p>
        </w:tc>
      </w:tr>
      <w:tr w:rsidR="00307A06" w:rsidRPr="007A3DF6" w:rsidTr="00307A06">
        <w:trPr>
          <w:gridAfter w:val="2"/>
          <w:wAfter w:w="448"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Охорона здоров’я та надання соціальної допомоги</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1 531,52</w:t>
            </w:r>
          </w:p>
        </w:tc>
      </w:tr>
      <w:tr w:rsidR="00307A06" w:rsidRPr="007A3DF6" w:rsidTr="00307A06">
        <w:trPr>
          <w:gridAfter w:val="2"/>
          <w:wAfter w:w="448" w:type="dxa"/>
          <w:trHeight w:val="510"/>
        </w:trPr>
        <w:tc>
          <w:tcPr>
            <w:tcW w:w="4554" w:type="dxa"/>
            <w:tcBorders>
              <w:top w:val="nil"/>
              <w:left w:val="single" w:sz="4" w:space="0" w:color="auto"/>
              <w:bottom w:val="single" w:sz="4" w:space="0" w:color="auto"/>
              <w:right w:val="single" w:sz="4" w:space="0" w:color="auto"/>
            </w:tcBorders>
            <w:shd w:val="clear" w:color="auto" w:fill="auto"/>
            <w:hideMark/>
          </w:tcPr>
          <w:p w:rsidR="00307A06" w:rsidRPr="007A3DF6" w:rsidRDefault="00307A06" w:rsidP="007A3DF6">
            <w:pPr>
              <w:spacing w:after="0" w:line="360" w:lineRule="auto"/>
              <w:ind w:firstLineChars="200" w:firstLine="400"/>
              <w:contextualSpacing/>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Надання комунальних та індивідуальних послуг; діяльність у сфері культури та спорту</w:t>
            </w:r>
          </w:p>
        </w:tc>
        <w:tc>
          <w:tcPr>
            <w:tcW w:w="4430" w:type="dxa"/>
            <w:gridSpan w:val="10"/>
            <w:tcBorders>
              <w:top w:val="nil"/>
              <w:left w:val="nil"/>
              <w:bottom w:val="single" w:sz="4" w:space="0" w:color="auto"/>
              <w:right w:val="single" w:sz="4" w:space="0" w:color="auto"/>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r w:rsidRPr="007A3DF6">
              <w:rPr>
                <w:rFonts w:ascii="Times New Roman" w:eastAsia="Times New Roman" w:hAnsi="Times New Roman" w:cs="Times New Roman"/>
                <w:sz w:val="20"/>
                <w:szCs w:val="20"/>
                <w:lang w:eastAsia="ru-RU"/>
              </w:rPr>
              <w:t>4 705,88</w:t>
            </w:r>
          </w:p>
        </w:tc>
      </w:tr>
      <w:tr w:rsidR="00307A06" w:rsidRPr="007A3DF6" w:rsidTr="00307A06">
        <w:trPr>
          <w:gridAfter w:val="2"/>
          <w:wAfter w:w="448" w:type="dxa"/>
          <w:trHeight w:val="399"/>
        </w:trPr>
        <w:tc>
          <w:tcPr>
            <w:tcW w:w="4554" w:type="dxa"/>
            <w:tcBorders>
              <w:top w:val="nil"/>
              <w:left w:val="nil"/>
              <w:bottom w:val="nil"/>
              <w:right w:val="nil"/>
            </w:tcBorders>
            <w:shd w:val="clear" w:color="auto" w:fill="auto"/>
            <w:noWrap/>
            <w:vAlign w:val="bottom"/>
            <w:hideMark/>
          </w:tcPr>
          <w:p w:rsidR="00307A06" w:rsidRPr="007A3DF6" w:rsidRDefault="00307A06" w:rsidP="00E37001">
            <w:pPr>
              <w:spacing w:after="0" w:line="360" w:lineRule="auto"/>
              <w:ind w:firstLine="567"/>
              <w:contextualSpacing/>
              <w:rPr>
                <w:rFonts w:ascii="Times New Roman" w:eastAsia="Times New Roman" w:hAnsi="Times New Roman" w:cs="Times New Roman"/>
                <w:sz w:val="20"/>
                <w:szCs w:val="20"/>
                <w:lang w:eastAsia="ru-RU"/>
              </w:rPr>
            </w:pPr>
          </w:p>
        </w:tc>
        <w:tc>
          <w:tcPr>
            <w:tcW w:w="1082" w:type="dxa"/>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r>
      <w:tr w:rsidR="00307A06" w:rsidRPr="007A3DF6" w:rsidTr="00307A06">
        <w:trPr>
          <w:gridAfter w:val="2"/>
          <w:wAfter w:w="448" w:type="dxa"/>
          <w:trHeight w:val="255"/>
        </w:trPr>
        <w:tc>
          <w:tcPr>
            <w:tcW w:w="4554" w:type="dxa"/>
            <w:tcBorders>
              <w:top w:val="nil"/>
              <w:left w:val="nil"/>
              <w:bottom w:val="nil"/>
              <w:right w:val="nil"/>
            </w:tcBorders>
            <w:shd w:val="clear" w:color="auto" w:fill="auto"/>
            <w:noWrap/>
            <w:vAlign w:val="bottom"/>
            <w:hideMark/>
          </w:tcPr>
          <w:p w:rsidR="00307A06" w:rsidRPr="007A3DF6" w:rsidRDefault="00307A06" w:rsidP="00E37001">
            <w:pPr>
              <w:spacing w:after="0" w:line="360" w:lineRule="auto"/>
              <w:ind w:firstLine="567"/>
              <w:contextualSpacing/>
              <w:rPr>
                <w:rFonts w:ascii="Times New Roman" w:eastAsia="Times New Roman" w:hAnsi="Times New Roman" w:cs="Times New Roman"/>
                <w:sz w:val="20"/>
                <w:szCs w:val="20"/>
                <w:lang w:eastAsia="ru-RU"/>
              </w:rPr>
            </w:pPr>
          </w:p>
        </w:tc>
        <w:tc>
          <w:tcPr>
            <w:tcW w:w="1082" w:type="dxa"/>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c>
          <w:tcPr>
            <w:tcW w:w="1116" w:type="dxa"/>
            <w:gridSpan w:val="3"/>
            <w:tcBorders>
              <w:top w:val="nil"/>
              <w:left w:val="nil"/>
              <w:bottom w:val="nil"/>
              <w:right w:val="nil"/>
            </w:tcBorders>
            <w:shd w:val="clear" w:color="auto" w:fill="auto"/>
            <w:noWrap/>
            <w:hideMark/>
          </w:tcPr>
          <w:p w:rsidR="00307A06" w:rsidRPr="007A3DF6" w:rsidRDefault="00307A06" w:rsidP="00AD74E3">
            <w:pPr>
              <w:spacing w:after="0" w:line="360" w:lineRule="auto"/>
              <w:contextualSpacing/>
              <w:jc w:val="center"/>
              <w:rPr>
                <w:rFonts w:ascii="Times New Roman" w:eastAsia="Times New Roman" w:hAnsi="Times New Roman" w:cs="Times New Roman"/>
                <w:sz w:val="20"/>
                <w:szCs w:val="20"/>
                <w:lang w:eastAsia="ru-RU"/>
              </w:rPr>
            </w:pPr>
          </w:p>
        </w:tc>
      </w:tr>
    </w:tbl>
    <w:p w:rsidR="00307A06" w:rsidRDefault="00307A06" w:rsidP="00E37001">
      <w:pPr>
        <w:spacing w:line="360" w:lineRule="auto"/>
        <w:ind w:firstLine="567"/>
        <w:contextualSpacing/>
        <w:rPr>
          <w:rFonts w:ascii="Times New Roman" w:hAnsi="Times New Roman" w:cs="Times New Roman"/>
          <w:sz w:val="28"/>
          <w:szCs w:val="28"/>
        </w:rPr>
      </w:pPr>
    </w:p>
    <w:p w:rsidR="007A3DF6" w:rsidRDefault="007A3DF6" w:rsidP="00E37001">
      <w:pPr>
        <w:spacing w:line="360" w:lineRule="auto"/>
        <w:ind w:firstLine="567"/>
        <w:contextualSpacing/>
        <w:rPr>
          <w:rFonts w:ascii="Times New Roman" w:hAnsi="Times New Roman" w:cs="Times New Roman"/>
          <w:sz w:val="28"/>
          <w:szCs w:val="28"/>
        </w:rPr>
      </w:pPr>
    </w:p>
    <w:p w:rsidR="007A3DF6" w:rsidRDefault="007A3DF6" w:rsidP="00E37001">
      <w:pPr>
        <w:spacing w:line="360" w:lineRule="auto"/>
        <w:ind w:firstLine="567"/>
        <w:contextualSpacing/>
        <w:rPr>
          <w:rFonts w:ascii="Times New Roman" w:hAnsi="Times New Roman" w:cs="Times New Roman"/>
          <w:sz w:val="28"/>
          <w:szCs w:val="28"/>
        </w:rPr>
      </w:pPr>
    </w:p>
    <w:p w:rsidR="007A3DF6" w:rsidRPr="00E37001" w:rsidRDefault="007A3DF6" w:rsidP="00E37001">
      <w:pPr>
        <w:spacing w:line="360" w:lineRule="auto"/>
        <w:ind w:firstLine="567"/>
        <w:contextualSpacing/>
        <w:rPr>
          <w:rFonts w:ascii="Times New Roman" w:hAnsi="Times New Roman" w:cs="Times New Roman"/>
          <w:sz w:val="28"/>
          <w:szCs w:val="28"/>
        </w:rPr>
      </w:pPr>
    </w:p>
    <w:p w:rsidR="00307A06" w:rsidRPr="007A3DF6" w:rsidRDefault="00307A06" w:rsidP="007A3DF6">
      <w:pPr>
        <w:pStyle w:val="1"/>
        <w:jc w:val="right"/>
        <w:rPr>
          <w:rFonts w:ascii="Times New Roman" w:hAnsi="Times New Roman" w:cs="Times New Roman"/>
          <w:color w:val="auto"/>
        </w:rPr>
      </w:pPr>
      <w:bookmarkStart w:id="22" w:name="_Toc293306719"/>
      <w:r w:rsidRPr="007A3DF6">
        <w:rPr>
          <w:rFonts w:ascii="Times New Roman" w:hAnsi="Times New Roman" w:cs="Times New Roman"/>
          <w:color w:val="auto"/>
        </w:rPr>
        <w:lastRenderedPageBreak/>
        <w:t>Додаток Е</w:t>
      </w:r>
      <w:bookmarkEnd w:id="22"/>
    </w:p>
    <w:p w:rsidR="00307A06" w:rsidRPr="00E37001" w:rsidRDefault="00307A06" w:rsidP="00E37001">
      <w:pPr>
        <w:spacing w:after="0" w:line="360" w:lineRule="auto"/>
        <w:ind w:firstLine="567"/>
        <w:contextualSpacing/>
        <w:jc w:val="center"/>
        <w:rPr>
          <w:rFonts w:ascii="Times New Roman" w:hAnsi="Times New Roman" w:cs="Times New Roman"/>
          <w:sz w:val="28"/>
          <w:szCs w:val="28"/>
        </w:rPr>
      </w:pPr>
      <w:r w:rsidRPr="00E37001">
        <w:rPr>
          <w:rFonts w:ascii="Times New Roman" w:hAnsi="Times New Roman" w:cs="Times New Roman"/>
          <w:sz w:val="28"/>
          <w:szCs w:val="28"/>
        </w:rPr>
        <w:t>Баланс ПАТ «Міжнародний Інвестиційний Банк»</w:t>
      </w:r>
      <w:r w:rsidR="007A3DF6">
        <w:rPr>
          <w:rFonts w:ascii="Times New Roman" w:hAnsi="Times New Roman" w:cs="Times New Roman"/>
          <w:sz w:val="28"/>
          <w:szCs w:val="28"/>
        </w:rPr>
        <w:t xml:space="preserve"> </w:t>
      </w:r>
      <w:r w:rsidRPr="00E37001">
        <w:rPr>
          <w:rFonts w:ascii="Times New Roman" w:hAnsi="Times New Roman" w:cs="Times New Roman"/>
          <w:sz w:val="28"/>
          <w:szCs w:val="28"/>
        </w:rPr>
        <w:t>на 31 грудня 2009 року</w:t>
      </w:r>
    </w:p>
    <w:p w:rsidR="00307A06" w:rsidRPr="00E37001" w:rsidRDefault="00307A06" w:rsidP="00E37001">
      <w:pPr>
        <w:spacing w:after="0" w:line="360" w:lineRule="auto"/>
        <w:ind w:firstLine="567"/>
        <w:contextualSpacing/>
        <w:jc w:val="right"/>
        <w:rPr>
          <w:rFonts w:ascii="Times New Roman" w:hAnsi="Times New Roman" w:cs="Times New Roman"/>
          <w:sz w:val="28"/>
          <w:szCs w:val="28"/>
        </w:rPr>
      </w:pPr>
      <w:r w:rsidRPr="00E37001">
        <w:rPr>
          <w:rFonts w:ascii="Times New Roman" w:hAnsi="Times New Roman" w:cs="Times New Roman"/>
          <w:sz w:val="28"/>
          <w:szCs w:val="28"/>
        </w:rPr>
        <w:t>(</w:t>
      </w:r>
      <w:proofErr w:type="spellStart"/>
      <w:r w:rsidRPr="00E37001">
        <w:rPr>
          <w:rFonts w:ascii="Times New Roman" w:hAnsi="Times New Roman" w:cs="Times New Roman"/>
          <w:sz w:val="28"/>
          <w:szCs w:val="28"/>
        </w:rPr>
        <w:t>тис.грн</w:t>
      </w:r>
      <w:proofErr w:type="spellEnd"/>
      <w:r w:rsidRPr="00E37001">
        <w:rPr>
          <w:rFonts w:ascii="Times New Roman" w:hAnsi="Times New Roman" w:cs="Times New Roman"/>
          <w:sz w:val="28"/>
          <w:szCs w:val="28"/>
        </w:rPr>
        <w:t>.)</w:t>
      </w:r>
    </w:p>
    <w:tbl>
      <w:tblPr>
        <w:tblStyle w:val="ae"/>
        <w:tblW w:w="0" w:type="auto"/>
        <w:tblLayout w:type="fixed"/>
        <w:tblLook w:val="04A0" w:firstRow="1" w:lastRow="0" w:firstColumn="1" w:lastColumn="0" w:noHBand="0" w:noVBand="1"/>
      </w:tblPr>
      <w:tblGrid>
        <w:gridCol w:w="959"/>
        <w:gridCol w:w="4394"/>
        <w:gridCol w:w="1276"/>
        <w:gridCol w:w="1417"/>
        <w:gridCol w:w="1809"/>
      </w:tblGrid>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Рядок</w:t>
            </w:r>
          </w:p>
        </w:tc>
        <w:tc>
          <w:tcPr>
            <w:tcW w:w="4394" w:type="dxa"/>
          </w:tcPr>
          <w:p w:rsidR="00307A06" w:rsidRPr="007A3DF6" w:rsidRDefault="00307A06" w:rsidP="00E37001">
            <w:pPr>
              <w:spacing w:line="360" w:lineRule="auto"/>
              <w:ind w:firstLine="567"/>
              <w:contextualSpacing/>
              <w:jc w:val="center"/>
              <w:rPr>
                <w:rFonts w:ascii="Times New Roman" w:hAnsi="Times New Roman" w:cs="Times New Roman"/>
                <w:sz w:val="25"/>
                <w:szCs w:val="25"/>
              </w:rPr>
            </w:pPr>
            <w:r w:rsidRPr="007A3DF6">
              <w:rPr>
                <w:rFonts w:ascii="Times New Roman" w:hAnsi="Times New Roman" w:cs="Times New Roman"/>
                <w:sz w:val="25"/>
                <w:szCs w:val="25"/>
              </w:rPr>
              <w:t>Найменування статті</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Примітки</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Звітний рік</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Попередній рік</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w:t>
            </w:r>
          </w:p>
        </w:tc>
        <w:tc>
          <w:tcPr>
            <w:tcW w:w="4394" w:type="dxa"/>
          </w:tcPr>
          <w:p w:rsidR="00307A06" w:rsidRPr="007A3DF6" w:rsidRDefault="00307A06" w:rsidP="00E37001">
            <w:pPr>
              <w:spacing w:line="360" w:lineRule="auto"/>
              <w:ind w:firstLine="567"/>
              <w:contextualSpacing/>
              <w:jc w:val="center"/>
              <w:rPr>
                <w:rFonts w:ascii="Times New Roman" w:hAnsi="Times New Roman" w:cs="Times New Roman"/>
                <w:sz w:val="25"/>
                <w:szCs w:val="25"/>
              </w:rPr>
            </w:pPr>
            <w:r w:rsidRPr="007A3DF6">
              <w:rPr>
                <w:rFonts w:ascii="Times New Roman" w:hAnsi="Times New Roman" w:cs="Times New Roman"/>
                <w:sz w:val="25"/>
                <w:szCs w:val="25"/>
              </w:rPr>
              <w:t>2</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4</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5</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8896" w:type="dxa"/>
            <w:gridSpan w:val="4"/>
          </w:tcPr>
          <w:p w:rsidR="00307A06" w:rsidRPr="007A3DF6" w:rsidRDefault="00307A06" w:rsidP="007A3DF6">
            <w:pPr>
              <w:spacing w:line="360" w:lineRule="auto"/>
              <w:ind w:firstLine="34"/>
              <w:contextualSpacing/>
              <w:rPr>
                <w:rFonts w:ascii="Times New Roman" w:hAnsi="Times New Roman" w:cs="Times New Roman"/>
                <w:sz w:val="25"/>
                <w:szCs w:val="25"/>
              </w:rPr>
            </w:pPr>
            <w:r w:rsidRPr="007A3DF6">
              <w:rPr>
                <w:rFonts w:ascii="Times New Roman" w:hAnsi="Times New Roman" w:cs="Times New Roman"/>
                <w:sz w:val="25"/>
                <w:szCs w:val="25"/>
              </w:rPr>
              <w:t>АКТИВИ</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Грошові кошти та їх еквіваленти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4</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128292</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5416</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Торгові цінні папери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Інші фінансові активи, що обліковуються за справедливою вартістю з визнанням результату переоцінки у фінансових результатах</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1133</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4</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Кошти в інших банках</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5</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31495</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21947</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5</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Кредити за заборгованість клієнтів</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6</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317228</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54495</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6</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Цінні папери в портфелі банку на продаж</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7</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5861</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17358</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7</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Цінні папери в портфелі банку до погашення</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8</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8</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Інвестиції в асоційовані компанії</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9</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Інвестиційна нерухомість</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10</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Дебіторська заборгованість щодо поточного податку на прибуток</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11</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Відстрочений податковий актив</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1097</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12</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Гудвіл</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13</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Основні засоби та нематеріальні активи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9</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5420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4943</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14</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Інші фінансові активи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10</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25</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15</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Інші активи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11</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245</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260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16</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 xml:space="preserve">Довгострокові активи, призначені для продажу, та активи </w:t>
            </w:r>
            <w:r w:rsidRPr="007A3DF6">
              <w:rPr>
                <w:rFonts w:ascii="Times New Roman" w:hAnsi="Times New Roman" w:cs="Times New Roman"/>
                <w:sz w:val="25"/>
                <w:szCs w:val="25"/>
              </w:rPr>
              <w:lastRenderedPageBreak/>
              <w:t>групи вибуття</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lastRenderedPageBreak/>
              <w:t>17</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Усього активів</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489699</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105516</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8896" w:type="dxa"/>
            <w:gridSpan w:val="4"/>
          </w:tcPr>
          <w:p w:rsidR="00307A06" w:rsidRPr="007A3DF6" w:rsidRDefault="00307A06" w:rsidP="007A3DF6">
            <w:pPr>
              <w:spacing w:line="360" w:lineRule="auto"/>
              <w:ind w:firstLine="34"/>
              <w:contextualSpacing/>
              <w:rPr>
                <w:rFonts w:ascii="Times New Roman" w:hAnsi="Times New Roman" w:cs="Times New Roman"/>
                <w:sz w:val="25"/>
                <w:szCs w:val="25"/>
              </w:rPr>
            </w:pPr>
            <w:r w:rsidRPr="007A3DF6">
              <w:rPr>
                <w:rFonts w:ascii="Times New Roman" w:hAnsi="Times New Roman" w:cs="Times New Roman"/>
                <w:sz w:val="25"/>
                <w:szCs w:val="25"/>
              </w:rPr>
              <w:t>ЗОБОВ’ЯЗАННЯ</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18</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Кошти банків</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12</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71609</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17745</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19</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Кошти клієнтів</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13</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308149</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14857</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20</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Боргові цінні папери, емітовані банком</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21</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Інші залучені кошти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22</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Зобов’язання щодо поточного податку на прибуток</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193</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23</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Відстрочені податкові зобов’язання</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192</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24</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Резерви за зобов’язаннями</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14</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166</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25</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Інші фінансові зобов’язання</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15</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809</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192</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26</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Інші зобов’язання</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16</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559</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406</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27</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proofErr w:type="spellStart"/>
            <w:r w:rsidRPr="007A3DF6">
              <w:rPr>
                <w:rFonts w:ascii="Times New Roman" w:hAnsi="Times New Roman" w:cs="Times New Roman"/>
                <w:sz w:val="25"/>
                <w:szCs w:val="25"/>
              </w:rPr>
              <w:t>Субординований</w:t>
            </w:r>
            <w:proofErr w:type="spellEnd"/>
            <w:r w:rsidRPr="007A3DF6">
              <w:rPr>
                <w:rFonts w:ascii="Times New Roman" w:hAnsi="Times New Roman" w:cs="Times New Roman"/>
                <w:sz w:val="25"/>
                <w:szCs w:val="25"/>
              </w:rPr>
              <w:t xml:space="preserve"> борг</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17</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32311</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28</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Зобов’язання, що пов’язані з довгостроковими активами, призначеними для продажу (чи групами вибуття)</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29</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Усього зобов’язань</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413823</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33366</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8896" w:type="dxa"/>
            <w:gridSpan w:val="4"/>
          </w:tcPr>
          <w:p w:rsidR="00307A06" w:rsidRPr="007A3DF6" w:rsidRDefault="00307A06" w:rsidP="007A3DF6">
            <w:pPr>
              <w:spacing w:line="360" w:lineRule="auto"/>
              <w:ind w:firstLine="34"/>
              <w:contextualSpacing/>
              <w:rPr>
                <w:rFonts w:ascii="Times New Roman" w:hAnsi="Times New Roman" w:cs="Times New Roman"/>
                <w:sz w:val="25"/>
                <w:szCs w:val="25"/>
              </w:rPr>
            </w:pPr>
            <w:r w:rsidRPr="007A3DF6">
              <w:rPr>
                <w:rFonts w:ascii="Times New Roman" w:hAnsi="Times New Roman" w:cs="Times New Roman"/>
                <w:sz w:val="25"/>
                <w:szCs w:val="25"/>
              </w:rPr>
              <w:t>ВЛАСНИЙ КАПІТАЛ</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30</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Статутний капітал</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18</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75750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75750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31</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Нерозподілений прибуток (непокритий збиток)</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126</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(2364)</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32</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Резервні та інші фонди банку</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19</w:t>
            </w: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0</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(1236)</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33</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Усього власного капіталу та частка меншості</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75876</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72150</w:t>
            </w:r>
          </w:p>
        </w:tc>
      </w:tr>
      <w:tr w:rsidR="00307A06" w:rsidRPr="007A3DF6" w:rsidTr="00307A06">
        <w:tc>
          <w:tcPr>
            <w:tcW w:w="959"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34</w:t>
            </w:r>
          </w:p>
        </w:tc>
        <w:tc>
          <w:tcPr>
            <w:tcW w:w="4394" w:type="dxa"/>
          </w:tcPr>
          <w:p w:rsidR="00307A06" w:rsidRPr="007A3DF6" w:rsidRDefault="00307A06" w:rsidP="00E37001">
            <w:pPr>
              <w:spacing w:line="360" w:lineRule="auto"/>
              <w:ind w:firstLine="567"/>
              <w:contextualSpacing/>
              <w:rPr>
                <w:rFonts w:ascii="Times New Roman" w:hAnsi="Times New Roman" w:cs="Times New Roman"/>
                <w:sz w:val="25"/>
                <w:szCs w:val="25"/>
              </w:rPr>
            </w:pPr>
            <w:r w:rsidRPr="007A3DF6">
              <w:rPr>
                <w:rFonts w:ascii="Times New Roman" w:hAnsi="Times New Roman" w:cs="Times New Roman"/>
                <w:sz w:val="25"/>
                <w:szCs w:val="25"/>
              </w:rPr>
              <w:t>Усього пасивів</w:t>
            </w:r>
          </w:p>
        </w:tc>
        <w:tc>
          <w:tcPr>
            <w:tcW w:w="1276" w:type="dxa"/>
          </w:tcPr>
          <w:p w:rsidR="00307A06" w:rsidRPr="007A3DF6" w:rsidRDefault="00307A06" w:rsidP="007A3DF6">
            <w:pPr>
              <w:spacing w:line="360" w:lineRule="auto"/>
              <w:contextualSpacing/>
              <w:jc w:val="center"/>
              <w:rPr>
                <w:rFonts w:ascii="Times New Roman" w:hAnsi="Times New Roman" w:cs="Times New Roman"/>
                <w:sz w:val="25"/>
                <w:szCs w:val="25"/>
              </w:rPr>
            </w:pPr>
          </w:p>
        </w:tc>
        <w:tc>
          <w:tcPr>
            <w:tcW w:w="1417" w:type="dxa"/>
          </w:tcPr>
          <w:p w:rsidR="00307A06" w:rsidRPr="007A3DF6" w:rsidRDefault="00307A06" w:rsidP="007A3DF6">
            <w:pPr>
              <w:spacing w:line="360" w:lineRule="auto"/>
              <w:contextualSpacing/>
              <w:jc w:val="center"/>
              <w:rPr>
                <w:rFonts w:ascii="Times New Roman" w:hAnsi="Times New Roman" w:cs="Times New Roman"/>
                <w:sz w:val="25"/>
                <w:szCs w:val="25"/>
              </w:rPr>
            </w:pPr>
            <w:r w:rsidRPr="007A3DF6">
              <w:rPr>
                <w:rFonts w:ascii="Times New Roman" w:hAnsi="Times New Roman" w:cs="Times New Roman"/>
                <w:sz w:val="25"/>
                <w:szCs w:val="25"/>
              </w:rPr>
              <w:t>489699</w:t>
            </w:r>
          </w:p>
        </w:tc>
        <w:tc>
          <w:tcPr>
            <w:tcW w:w="1809" w:type="dxa"/>
          </w:tcPr>
          <w:p w:rsidR="00307A06" w:rsidRPr="007A3DF6" w:rsidRDefault="00307A06" w:rsidP="007A3DF6">
            <w:pPr>
              <w:spacing w:line="360" w:lineRule="auto"/>
              <w:ind w:firstLine="34"/>
              <w:contextualSpacing/>
              <w:jc w:val="center"/>
              <w:rPr>
                <w:rFonts w:ascii="Times New Roman" w:hAnsi="Times New Roman" w:cs="Times New Roman"/>
                <w:sz w:val="25"/>
                <w:szCs w:val="25"/>
              </w:rPr>
            </w:pPr>
            <w:r w:rsidRPr="007A3DF6">
              <w:rPr>
                <w:rFonts w:ascii="Times New Roman" w:hAnsi="Times New Roman" w:cs="Times New Roman"/>
                <w:sz w:val="25"/>
                <w:szCs w:val="25"/>
              </w:rPr>
              <w:t>105516</w:t>
            </w:r>
          </w:p>
        </w:tc>
      </w:tr>
    </w:tbl>
    <w:p w:rsidR="00307A06" w:rsidRPr="00E37001" w:rsidRDefault="00307A06" w:rsidP="00E37001">
      <w:pPr>
        <w:spacing w:line="360" w:lineRule="auto"/>
        <w:ind w:firstLine="567"/>
        <w:contextualSpacing/>
        <w:rPr>
          <w:rFonts w:ascii="Times New Roman" w:hAnsi="Times New Roman" w:cs="Times New Roman"/>
          <w:sz w:val="28"/>
          <w:szCs w:val="28"/>
        </w:rPr>
      </w:pPr>
    </w:p>
    <w:p w:rsidR="00307A06" w:rsidRPr="00E37001" w:rsidRDefault="00307A06" w:rsidP="00E37001">
      <w:pPr>
        <w:spacing w:line="360" w:lineRule="auto"/>
        <w:ind w:firstLine="567"/>
        <w:contextualSpacing/>
        <w:rPr>
          <w:rFonts w:ascii="Times New Roman" w:hAnsi="Times New Roman" w:cs="Times New Roman"/>
          <w:sz w:val="28"/>
          <w:szCs w:val="28"/>
        </w:rPr>
      </w:pPr>
      <w:r w:rsidRPr="00E37001">
        <w:rPr>
          <w:rFonts w:ascii="Times New Roman" w:hAnsi="Times New Roman" w:cs="Times New Roman"/>
          <w:sz w:val="28"/>
          <w:szCs w:val="28"/>
        </w:rPr>
        <w:t>02 квітня 2010 року</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Голова правління</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 xml:space="preserve">К.А. </w:t>
      </w:r>
      <w:proofErr w:type="spellStart"/>
      <w:r w:rsidRPr="00E37001">
        <w:rPr>
          <w:rFonts w:ascii="Times New Roman" w:hAnsi="Times New Roman" w:cs="Times New Roman"/>
          <w:sz w:val="28"/>
          <w:szCs w:val="28"/>
        </w:rPr>
        <w:t>Людвик</w:t>
      </w:r>
      <w:proofErr w:type="spellEnd"/>
    </w:p>
    <w:p w:rsidR="00307A06" w:rsidRPr="00E37001" w:rsidRDefault="00307A06" w:rsidP="00E37001">
      <w:pPr>
        <w:spacing w:line="360" w:lineRule="auto"/>
        <w:ind w:firstLine="567"/>
        <w:contextualSpacing/>
        <w:rPr>
          <w:rFonts w:ascii="Times New Roman" w:hAnsi="Times New Roman" w:cs="Times New Roman"/>
          <w:sz w:val="28"/>
          <w:szCs w:val="28"/>
        </w:rPr>
      </w:pPr>
      <w:r w:rsidRPr="00E37001">
        <w:rPr>
          <w:rFonts w:ascii="Times New Roman" w:hAnsi="Times New Roman" w:cs="Times New Roman"/>
          <w:sz w:val="28"/>
          <w:szCs w:val="28"/>
        </w:rPr>
        <w:t>Вик. Колісник Р.А., тел. 351-79-06</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Головний бухгалтер</w:t>
      </w:r>
      <w:r w:rsidR="00A17EED">
        <w:rPr>
          <w:rFonts w:ascii="Times New Roman" w:hAnsi="Times New Roman" w:cs="Times New Roman"/>
          <w:sz w:val="28"/>
          <w:szCs w:val="28"/>
        </w:rPr>
        <w:t xml:space="preserve"> </w:t>
      </w:r>
      <w:r w:rsidRPr="00E37001">
        <w:rPr>
          <w:rFonts w:ascii="Times New Roman" w:hAnsi="Times New Roman" w:cs="Times New Roman"/>
          <w:sz w:val="28"/>
          <w:szCs w:val="28"/>
        </w:rPr>
        <w:t>Р.А. Колісник</w:t>
      </w:r>
    </w:p>
    <w:p w:rsidR="00307A06" w:rsidRPr="007A3DF6" w:rsidRDefault="00307A06" w:rsidP="007A3DF6">
      <w:pPr>
        <w:pStyle w:val="1"/>
        <w:jc w:val="right"/>
        <w:rPr>
          <w:rFonts w:ascii="Times New Roman" w:hAnsi="Times New Roman" w:cs="Times New Roman"/>
          <w:color w:val="auto"/>
        </w:rPr>
      </w:pPr>
      <w:bookmarkStart w:id="23" w:name="_Toc293306720"/>
      <w:r w:rsidRPr="007A3DF6">
        <w:rPr>
          <w:rFonts w:ascii="Times New Roman" w:hAnsi="Times New Roman" w:cs="Times New Roman"/>
          <w:color w:val="auto"/>
        </w:rPr>
        <w:lastRenderedPageBreak/>
        <w:t>Додаток Ж</w:t>
      </w:r>
      <w:bookmarkEnd w:id="23"/>
    </w:p>
    <w:p w:rsidR="00307A06" w:rsidRPr="00E37001" w:rsidRDefault="00307A06" w:rsidP="00E37001">
      <w:pPr>
        <w:spacing w:line="360" w:lineRule="auto"/>
        <w:ind w:firstLine="567"/>
        <w:contextualSpacing/>
        <w:jc w:val="center"/>
        <w:rPr>
          <w:rFonts w:ascii="Times New Roman" w:hAnsi="Times New Roman" w:cs="Times New Roman"/>
          <w:sz w:val="28"/>
          <w:szCs w:val="28"/>
        </w:rPr>
      </w:pPr>
      <w:r w:rsidRPr="00E37001">
        <w:rPr>
          <w:rFonts w:ascii="Times New Roman" w:hAnsi="Times New Roman" w:cs="Times New Roman"/>
          <w:sz w:val="28"/>
          <w:szCs w:val="28"/>
        </w:rPr>
        <w:t>Фінансові коефіцієнти для оцінки кредитоспроможності позичальників</w:t>
      </w:r>
    </w:p>
    <w:tbl>
      <w:tblPr>
        <w:tblStyle w:val="ae"/>
        <w:tblW w:w="0" w:type="auto"/>
        <w:tblLayout w:type="fixed"/>
        <w:tblLook w:val="04A0" w:firstRow="1" w:lastRow="0" w:firstColumn="1" w:lastColumn="0" w:noHBand="0" w:noVBand="1"/>
      </w:tblPr>
      <w:tblGrid>
        <w:gridCol w:w="3285"/>
        <w:gridCol w:w="5045"/>
        <w:gridCol w:w="1525"/>
      </w:tblGrid>
      <w:tr w:rsidR="00307A06" w:rsidRPr="007A3DF6" w:rsidTr="00307A06">
        <w:tc>
          <w:tcPr>
            <w:tcW w:w="328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Назва показника</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Методика розрахунку</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Нормативне значення</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1. Коефіцієнт загальної ліквідності (КЛ1)</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КЛ1=Оборотні активи/Короткострокові пасиви</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&gt;1</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2. Коефіцієнт абсолютної ліквідності (КЛ2)</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КЛ2=Ліквідні кошти/Короткострокові пасиви</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&gt;0,2</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3. Доля власного капіталу (ДВК)</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roofErr w:type="spellStart"/>
            <w:r w:rsidRPr="007A3DF6">
              <w:rPr>
                <w:rFonts w:ascii="Times New Roman" w:hAnsi="Times New Roman" w:cs="Times New Roman"/>
                <w:sz w:val="24"/>
                <w:szCs w:val="24"/>
              </w:rPr>
              <w:t>ДВК=Власний</w:t>
            </w:r>
            <w:proofErr w:type="spellEnd"/>
            <w:r w:rsidRPr="007A3DF6">
              <w:rPr>
                <w:rFonts w:ascii="Times New Roman" w:hAnsi="Times New Roman" w:cs="Times New Roman"/>
                <w:sz w:val="24"/>
                <w:szCs w:val="24"/>
              </w:rPr>
              <w:t xml:space="preserve"> капітал/Валюта балансу</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&gt;0,5</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4. Коефіцієнт маневреності (КМ)</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КМ=(Власні кошти-Основні засоби)/Власні кошти</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&gt;0</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5. Оборотність оборотного капіталу (ООК)</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ООК=90*Оборотні кошти/Реалізація за квартал</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6. Оборотність кредиторської заборгованості (ОКЗ)</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ОКЗ=90*Кредиторська заборгованість/Реалізація за квартал</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7. Оборотність дебіторської заборгованості (ОДЗ)</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ОДЗ=90*Дебіторська заборгованість/Реалізація за квартал</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8. Коефіцієнт покриття внеску вільними коштами (КП1)</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КП1=Вільні кошти в кінці місяця/Внесок по кредиту</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&gt;1,5</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9. Коефіцієнт покриття внеску грошовим оборотом (КП2)</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КП2=30*Внесок по кредиту/Виручка за місяць</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10. Співвідношення між сумою оборотних коштів і сумою кредиту (СОК)</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roofErr w:type="spellStart"/>
            <w:r w:rsidRPr="007A3DF6">
              <w:rPr>
                <w:rFonts w:ascii="Times New Roman" w:hAnsi="Times New Roman" w:cs="Times New Roman"/>
                <w:sz w:val="24"/>
                <w:szCs w:val="24"/>
              </w:rPr>
              <w:t>СОК=Сума</w:t>
            </w:r>
            <w:proofErr w:type="spellEnd"/>
            <w:r w:rsidRPr="007A3DF6">
              <w:rPr>
                <w:rFonts w:ascii="Times New Roman" w:hAnsi="Times New Roman" w:cs="Times New Roman"/>
                <w:sz w:val="24"/>
                <w:szCs w:val="24"/>
              </w:rPr>
              <w:t xml:space="preserve"> оборотних коштів/Сума кредиту</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&gt;1</w:t>
            </w:r>
          </w:p>
        </w:tc>
      </w:tr>
      <w:tr w:rsidR="00307A06" w:rsidRPr="007A3DF6" w:rsidTr="00307A06">
        <w:tc>
          <w:tcPr>
            <w:tcW w:w="3285" w:type="dxa"/>
          </w:tcPr>
          <w:p w:rsidR="00307A06" w:rsidRPr="007A3DF6" w:rsidRDefault="00307A06" w:rsidP="00E37001">
            <w:pPr>
              <w:spacing w:line="360" w:lineRule="auto"/>
              <w:ind w:firstLine="567"/>
              <w:contextualSpacing/>
              <w:rPr>
                <w:rFonts w:ascii="Times New Roman" w:hAnsi="Times New Roman" w:cs="Times New Roman"/>
                <w:sz w:val="24"/>
                <w:szCs w:val="24"/>
              </w:rPr>
            </w:pPr>
            <w:r w:rsidRPr="007A3DF6">
              <w:rPr>
                <w:rFonts w:ascii="Times New Roman" w:hAnsi="Times New Roman" w:cs="Times New Roman"/>
                <w:sz w:val="24"/>
                <w:szCs w:val="24"/>
              </w:rPr>
              <w:t>11. Співвідношення між сумою власних коштів і сумою кредиту (СВК)</w:t>
            </w:r>
          </w:p>
        </w:tc>
        <w:tc>
          <w:tcPr>
            <w:tcW w:w="504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proofErr w:type="spellStart"/>
            <w:r w:rsidRPr="007A3DF6">
              <w:rPr>
                <w:rFonts w:ascii="Times New Roman" w:hAnsi="Times New Roman" w:cs="Times New Roman"/>
                <w:sz w:val="24"/>
                <w:szCs w:val="24"/>
              </w:rPr>
              <w:t>СВК=Сума</w:t>
            </w:r>
            <w:proofErr w:type="spellEnd"/>
            <w:r w:rsidRPr="007A3DF6">
              <w:rPr>
                <w:rFonts w:ascii="Times New Roman" w:hAnsi="Times New Roman" w:cs="Times New Roman"/>
                <w:sz w:val="24"/>
                <w:szCs w:val="24"/>
              </w:rPr>
              <w:t xml:space="preserve"> власних коштів/Сума кредиту</w:t>
            </w:r>
          </w:p>
        </w:tc>
        <w:tc>
          <w:tcPr>
            <w:tcW w:w="1525" w:type="dxa"/>
          </w:tcPr>
          <w:p w:rsidR="00307A06" w:rsidRPr="007A3DF6" w:rsidRDefault="00307A06" w:rsidP="00E37001">
            <w:pPr>
              <w:spacing w:line="360" w:lineRule="auto"/>
              <w:ind w:firstLine="567"/>
              <w:contextualSpacing/>
              <w:jc w:val="center"/>
              <w:rPr>
                <w:rFonts w:ascii="Times New Roman" w:hAnsi="Times New Roman" w:cs="Times New Roman"/>
                <w:sz w:val="24"/>
                <w:szCs w:val="24"/>
              </w:rPr>
            </w:pPr>
            <w:r w:rsidRPr="007A3DF6">
              <w:rPr>
                <w:rFonts w:ascii="Times New Roman" w:hAnsi="Times New Roman" w:cs="Times New Roman"/>
                <w:sz w:val="24"/>
                <w:szCs w:val="24"/>
              </w:rPr>
              <w:t>&gt;1</w:t>
            </w:r>
          </w:p>
        </w:tc>
      </w:tr>
    </w:tbl>
    <w:p w:rsidR="00307A06" w:rsidRPr="00E37001" w:rsidRDefault="00307A06" w:rsidP="00E37001">
      <w:pPr>
        <w:spacing w:line="360" w:lineRule="auto"/>
        <w:ind w:firstLine="567"/>
        <w:contextualSpacing/>
        <w:jc w:val="center"/>
        <w:rPr>
          <w:rFonts w:ascii="Times New Roman" w:hAnsi="Times New Roman" w:cs="Times New Roman"/>
          <w:sz w:val="28"/>
          <w:szCs w:val="28"/>
        </w:rPr>
      </w:pPr>
    </w:p>
    <w:p w:rsidR="007A3DF6" w:rsidRDefault="007A3DF6" w:rsidP="00E37001">
      <w:pPr>
        <w:spacing w:line="360" w:lineRule="auto"/>
        <w:ind w:firstLine="567"/>
        <w:contextualSpacing/>
        <w:jc w:val="right"/>
        <w:rPr>
          <w:rFonts w:ascii="Times New Roman" w:hAnsi="Times New Roman" w:cs="Times New Roman"/>
          <w:sz w:val="28"/>
          <w:szCs w:val="28"/>
        </w:rPr>
        <w:sectPr w:rsidR="007A3DF6" w:rsidSect="00B63CA8">
          <w:type w:val="continuous"/>
          <w:pgSz w:w="11909" w:h="16834" w:code="9"/>
          <w:pgMar w:top="1134" w:right="850" w:bottom="1134" w:left="1701" w:header="708" w:footer="708" w:gutter="0"/>
          <w:cols w:space="708"/>
          <w:docGrid w:linePitch="360"/>
        </w:sectPr>
      </w:pPr>
    </w:p>
    <w:p w:rsidR="00E37001" w:rsidRPr="007A3DF6" w:rsidRDefault="00E37001" w:rsidP="007A3DF6">
      <w:pPr>
        <w:pStyle w:val="1"/>
        <w:jc w:val="right"/>
        <w:rPr>
          <w:rFonts w:ascii="Times New Roman" w:hAnsi="Times New Roman" w:cs="Times New Roman"/>
          <w:color w:val="auto"/>
        </w:rPr>
      </w:pPr>
      <w:bookmarkStart w:id="24" w:name="_Toc293306721"/>
      <w:r w:rsidRPr="007A3DF6">
        <w:rPr>
          <w:rFonts w:ascii="Times New Roman" w:hAnsi="Times New Roman" w:cs="Times New Roman"/>
          <w:color w:val="auto"/>
        </w:rPr>
        <w:lastRenderedPageBreak/>
        <w:t>Додаток З</w:t>
      </w:r>
      <w:bookmarkEnd w:id="24"/>
    </w:p>
    <w:p w:rsidR="00307A06" w:rsidRPr="00E37001" w:rsidRDefault="00776A19" w:rsidP="00E37001">
      <w:pPr>
        <w:tabs>
          <w:tab w:val="left" w:pos="6975"/>
        </w:tabs>
        <w:spacing w:line="360" w:lineRule="auto"/>
        <w:ind w:firstLine="567"/>
        <w:contextualSpacing/>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3600" behindDoc="0" locked="0" layoutInCell="1" allowOverlap="1">
                <wp:simplePos x="0" y="0"/>
                <wp:positionH relativeFrom="column">
                  <wp:posOffset>-21590</wp:posOffset>
                </wp:positionH>
                <wp:positionV relativeFrom="paragraph">
                  <wp:posOffset>12700</wp:posOffset>
                </wp:positionV>
                <wp:extent cx="9620250" cy="6299200"/>
                <wp:effectExtent l="12700" t="12700" r="6350" b="12700"/>
                <wp:wrapNone/>
                <wp:docPr id="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20250" cy="6299200"/>
                          <a:chOff x="1075" y="1786"/>
                          <a:chExt cx="14660" cy="8985"/>
                        </a:xfrm>
                      </wpg:grpSpPr>
                      <wps:wsp>
                        <wps:cNvPr id="3" name="Text Box 189"/>
                        <wps:cNvSpPr txBox="1">
                          <a:spLocks noChangeArrowheads="1"/>
                        </wps:cNvSpPr>
                        <wps:spPr bwMode="auto">
                          <a:xfrm>
                            <a:off x="1555" y="1786"/>
                            <a:ext cx="13919" cy="455"/>
                          </a:xfrm>
                          <a:prstGeom prst="rect">
                            <a:avLst/>
                          </a:prstGeom>
                          <a:solidFill>
                            <a:srgbClr val="FFFFFF"/>
                          </a:solidFill>
                          <a:ln w="9525">
                            <a:solidFill>
                              <a:srgbClr val="000000"/>
                            </a:solidFill>
                            <a:miter lim="800000"/>
                            <a:headEnd/>
                            <a:tailEnd/>
                          </a:ln>
                        </wps:spPr>
                        <wps:txbx>
                          <w:txbxContent>
                            <w:p w:rsidR="00631A1C" w:rsidRPr="00754B22" w:rsidRDefault="00631A1C" w:rsidP="00E37001">
                              <w:pPr>
                                <w:jc w:val="center"/>
                                <w:rPr>
                                  <w:rFonts w:ascii="Times New Roman" w:hAnsi="Times New Roman" w:cs="Times New Roman"/>
                                  <w:b/>
                                  <w:sz w:val="28"/>
                                  <w:szCs w:val="28"/>
                                </w:rPr>
                              </w:pPr>
                              <w:r w:rsidRPr="00754B22">
                                <w:rPr>
                                  <w:rFonts w:ascii="Times New Roman" w:hAnsi="Times New Roman" w:cs="Times New Roman"/>
                                  <w:b/>
                                  <w:sz w:val="28"/>
                                  <w:szCs w:val="28"/>
                                </w:rPr>
                                <w:t>СИСТЕМА ЗАХОДІВ ЩОДО ВДОСКОНАЛЕННЯ УПРАВЛІННЯ БАНКІВСЬКИМ КРЕДИТУВАННЯМ</w:t>
                              </w:r>
                            </w:p>
                          </w:txbxContent>
                        </wps:txbx>
                        <wps:bodyPr rot="0" vert="horz" wrap="square" lIns="91440" tIns="45720" rIns="91440" bIns="45720" anchor="t" anchorCtr="0" upright="1">
                          <a:noAutofit/>
                        </wps:bodyPr>
                      </wps:wsp>
                      <wps:wsp>
                        <wps:cNvPr id="4" name="Text Box 190"/>
                        <wps:cNvSpPr txBox="1">
                          <a:spLocks noChangeArrowheads="1"/>
                        </wps:cNvSpPr>
                        <wps:spPr bwMode="auto">
                          <a:xfrm>
                            <a:off x="1939" y="2590"/>
                            <a:ext cx="2227" cy="1028"/>
                          </a:xfrm>
                          <a:prstGeom prst="rect">
                            <a:avLst/>
                          </a:prstGeom>
                          <a:solidFill>
                            <a:srgbClr val="FFFFFF"/>
                          </a:solidFill>
                          <a:ln w="9525">
                            <a:solidFill>
                              <a:srgbClr val="000000"/>
                            </a:solidFill>
                            <a:miter lim="800000"/>
                            <a:headEnd/>
                            <a:tailEnd/>
                          </a:ln>
                        </wps:spPr>
                        <wps:txb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Заходи макроекономічної політики</w:t>
                              </w:r>
                            </w:p>
                          </w:txbxContent>
                        </wps:txbx>
                        <wps:bodyPr rot="0" vert="horz" wrap="square" lIns="91440" tIns="45720" rIns="91440" bIns="45720" anchor="t" anchorCtr="0" upright="1">
                          <a:noAutofit/>
                        </wps:bodyPr>
                      </wps:wsp>
                      <wps:wsp>
                        <wps:cNvPr id="5" name="Text Box 191"/>
                        <wps:cNvSpPr txBox="1">
                          <a:spLocks noChangeArrowheads="1"/>
                        </wps:cNvSpPr>
                        <wps:spPr bwMode="auto">
                          <a:xfrm>
                            <a:off x="4384" y="2630"/>
                            <a:ext cx="2106" cy="1018"/>
                          </a:xfrm>
                          <a:prstGeom prst="rect">
                            <a:avLst/>
                          </a:prstGeom>
                          <a:solidFill>
                            <a:srgbClr val="FFFFFF"/>
                          </a:solidFill>
                          <a:ln w="9525">
                            <a:solidFill>
                              <a:srgbClr val="000000"/>
                            </a:solidFill>
                            <a:miter lim="800000"/>
                            <a:headEnd/>
                            <a:tailEnd/>
                          </a:ln>
                        </wps:spPr>
                        <wps:txbx>
                          <w:txbxContent>
                            <w:p w:rsidR="00631A1C" w:rsidRPr="00826A37" w:rsidRDefault="00631A1C" w:rsidP="00E37001">
                              <w:pPr>
                                <w:jc w:val="center"/>
                                <w:rPr>
                                  <w:rFonts w:ascii="Times New Roman" w:hAnsi="Times New Roman" w:cs="Times New Roman"/>
                                  <w:sz w:val="23"/>
                                  <w:szCs w:val="23"/>
                                </w:rPr>
                              </w:pPr>
                              <w:proofErr w:type="spellStart"/>
                              <w:r w:rsidRPr="00826A37">
                                <w:rPr>
                                  <w:rFonts w:ascii="Times New Roman" w:hAnsi="Times New Roman" w:cs="Times New Roman"/>
                                  <w:sz w:val="23"/>
                                  <w:szCs w:val="23"/>
                                </w:rPr>
                                <w:t>Пруденційні</w:t>
                              </w:r>
                              <w:proofErr w:type="spellEnd"/>
                              <w:r w:rsidRPr="00826A37">
                                <w:rPr>
                                  <w:rFonts w:ascii="Times New Roman" w:hAnsi="Times New Roman" w:cs="Times New Roman"/>
                                  <w:sz w:val="23"/>
                                  <w:szCs w:val="23"/>
                                </w:rPr>
                                <w:t xml:space="preserve"> заходи</w:t>
                              </w:r>
                            </w:p>
                          </w:txbxContent>
                        </wps:txbx>
                        <wps:bodyPr rot="0" vert="horz" wrap="square" lIns="91440" tIns="45720" rIns="91440" bIns="45720" anchor="t" anchorCtr="0" upright="1">
                          <a:noAutofit/>
                        </wps:bodyPr>
                      </wps:wsp>
                      <wps:wsp>
                        <wps:cNvPr id="6" name="Text Box 192"/>
                        <wps:cNvSpPr txBox="1">
                          <a:spLocks noChangeArrowheads="1"/>
                        </wps:cNvSpPr>
                        <wps:spPr bwMode="auto">
                          <a:xfrm>
                            <a:off x="6682" y="2630"/>
                            <a:ext cx="2092" cy="998"/>
                          </a:xfrm>
                          <a:prstGeom prst="rect">
                            <a:avLst/>
                          </a:prstGeom>
                          <a:solidFill>
                            <a:srgbClr val="FFFFFF"/>
                          </a:solidFill>
                          <a:ln w="9525">
                            <a:solidFill>
                              <a:srgbClr val="000000"/>
                            </a:solidFill>
                            <a:miter lim="800000"/>
                            <a:headEnd/>
                            <a:tailEnd/>
                          </a:ln>
                        </wps:spPr>
                        <wps:txbx>
                          <w:txbxContent>
                            <w:p w:rsidR="00631A1C"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Заходи нагляду/</w:t>
                              </w:r>
                            </w:p>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моніторинг</w:t>
                              </w:r>
                            </w:p>
                          </w:txbxContent>
                        </wps:txbx>
                        <wps:bodyPr rot="0" vert="horz" wrap="square" lIns="91440" tIns="45720" rIns="91440" bIns="45720" anchor="t" anchorCtr="0" upright="1">
                          <a:noAutofit/>
                        </wps:bodyPr>
                      </wps:wsp>
                      <wps:wsp>
                        <wps:cNvPr id="7" name="Text Box 193"/>
                        <wps:cNvSpPr txBox="1">
                          <a:spLocks noChangeArrowheads="1"/>
                        </wps:cNvSpPr>
                        <wps:spPr bwMode="auto">
                          <a:xfrm>
                            <a:off x="8986" y="2630"/>
                            <a:ext cx="2304" cy="988"/>
                          </a:xfrm>
                          <a:prstGeom prst="rect">
                            <a:avLst/>
                          </a:prstGeom>
                          <a:solidFill>
                            <a:srgbClr val="FFFFFF"/>
                          </a:solidFill>
                          <a:ln w="9525">
                            <a:solidFill>
                              <a:srgbClr val="000000"/>
                            </a:solidFill>
                            <a:miter lim="800000"/>
                            <a:headEnd/>
                            <a:tailEnd/>
                          </a:ln>
                        </wps:spPr>
                        <wps:txb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Заходи із розвитку ринку</w:t>
                              </w:r>
                            </w:p>
                          </w:txbxContent>
                        </wps:txbx>
                        <wps:bodyPr rot="0" vert="horz" wrap="square" lIns="91440" tIns="45720" rIns="91440" bIns="45720" anchor="t" anchorCtr="0" upright="1">
                          <a:noAutofit/>
                        </wps:bodyPr>
                      </wps:wsp>
                      <wps:wsp>
                        <wps:cNvPr id="8" name="Text Box 194"/>
                        <wps:cNvSpPr txBox="1">
                          <a:spLocks noChangeArrowheads="1"/>
                        </wps:cNvSpPr>
                        <wps:spPr bwMode="auto">
                          <a:xfrm>
                            <a:off x="11491" y="2620"/>
                            <a:ext cx="1930" cy="998"/>
                          </a:xfrm>
                          <a:prstGeom prst="rect">
                            <a:avLst/>
                          </a:prstGeom>
                          <a:solidFill>
                            <a:srgbClr val="FFFFFF"/>
                          </a:solidFill>
                          <a:ln w="9525">
                            <a:solidFill>
                              <a:srgbClr val="000000"/>
                            </a:solidFill>
                            <a:miter lim="800000"/>
                            <a:headEnd/>
                            <a:tailEnd/>
                          </a:ln>
                        </wps:spPr>
                        <wps:txb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Адміністративні заходи</w:t>
                              </w:r>
                            </w:p>
                          </w:txbxContent>
                        </wps:txbx>
                        <wps:bodyPr rot="0" vert="horz" wrap="square" lIns="91440" tIns="45720" rIns="91440" bIns="45720" anchor="t" anchorCtr="0" upright="1">
                          <a:noAutofit/>
                        </wps:bodyPr>
                      </wps:wsp>
                      <wps:wsp>
                        <wps:cNvPr id="9" name="Text Box 195"/>
                        <wps:cNvSpPr txBox="1">
                          <a:spLocks noChangeArrowheads="1"/>
                        </wps:cNvSpPr>
                        <wps:spPr bwMode="auto">
                          <a:xfrm>
                            <a:off x="13594" y="2620"/>
                            <a:ext cx="2141" cy="998"/>
                          </a:xfrm>
                          <a:prstGeom prst="rect">
                            <a:avLst/>
                          </a:prstGeom>
                          <a:solidFill>
                            <a:srgbClr val="FFFFFF"/>
                          </a:solidFill>
                          <a:ln w="9525">
                            <a:solidFill>
                              <a:srgbClr val="000000"/>
                            </a:solidFill>
                            <a:miter lim="800000"/>
                            <a:headEnd/>
                            <a:tailEnd/>
                          </a:ln>
                        </wps:spPr>
                        <wps:txb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Сприяння поглибленню розуміння ризиків</w:t>
                              </w:r>
                            </w:p>
                          </w:txbxContent>
                        </wps:txbx>
                        <wps:bodyPr rot="0" vert="horz" wrap="square" lIns="91440" tIns="45720" rIns="91440" bIns="45720" anchor="t" anchorCtr="0" upright="1">
                          <a:noAutofit/>
                        </wps:bodyPr>
                      </wps:wsp>
                      <wps:wsp>
                        <wps:cNvPr id="10" name="Text Box 196"/>
                        <wps:cNvSpPr txBox="1">
                          <a:spLocks noChangeArrowheads="1"/>
                        </wps:cNvSpPr>
                        <wps:spPr bwMode="auto">
                          <a:xfrm>
                            <a:off x="13594" y="4032"/>
                            <a:ext cx="2141" cy="6739"/>
                          </a:xfrm>
                          <a:prstGeom prst="rect">
                            <a:avLst/>
                          </a:prstGeom>
                          <a:solidFill>
                            <a:srgbClr val="FFFFFF"/>
                          </a:solidFill>
                          <a:ln w="9525">
                            <a:solidFill>
                              <a:srgbClr val="000000"/>
                            </a:solidFill>
                            <a:miter lim="800000"/>
                            <a:headEnd/>
                            <a:tailEnd/>
                          </a:ln>
                        </wps:spPr>
                        <wps:txbx>
                          <w:txbxContent>
                            <w:p w:rsidR="00631A1C" w:rsidRPr="00FA29F3" w:rsidRDefault="00631A1C" w:rsidP="00E37001">
                              <w:pPr>
                                <w:rPr>
                                  <w:rFonts w:ascii="Times New Roman" w:hAnsi="Times New Roman" w:cs="Times New Roman"/>
                                </w:rPr>
                              </w:pPr>
                              <w:r w:rsidRPr="00FA29F3">
                                <w:rPr>
                                  <w:rFonts w:ascii="Times New Roman" w:hAnsi="Times New Roman" w:cs="Times New Roman"/>
                                </w:rPr>
                                <w:t>- підвищення можливостей банків у сфері моніторингу оцінки і врегулювання ризиків;</w:t>
                              </w:r>
                            </w:p>
                            <w:p w:rsidR="00631A1C" w:rsidRPr="00FA29F3" w:rsidRDefault="00631A1C" w:rsidP="00E37001">
                              <w:pPr>
                                <w:rPr>
                                  <w:rFonts w:ascii="Times New Roman" w:hAnsi="Times New Roman" w:cs="Times New Roman"/>
                                </w:rPr>
                              </w:pPr>
                              <w:r w:rsidRPr="00FA29F3">
                                <w:rPr>
                                  <w:rFonts w:ascii="Times New Roman" w:hAnsi="Times New Roman" w:cs="Times New Roman"/>
                                </w:rPr>
                                <w:t>- кампанії з метою інформування громадськості про ризики і звіти у пресі;</w:t>
                              </w:r>
                            </w:p>
                            <w:p w:rsidR="00631A1C" w:rsidRPr="00FA29F3" w:rsidRDefault="00631A1C" w:rsidP="00E37001">
                              <w:pPr>
                                <w:rPr>
                                  <w:rFonts w:ascii="Times New Roman" w:hAnsi="Times New Roman" w:cs="Times New Roman"/>
                                </w:rPr>
                              </w:pPr>
                              <w:r w:rsidRPr="00FA29F3">
                                <w:rPr>
                                  <w:rFonts w:ascii="Times New Roman" w:hAnsi="Times New Roman" w:cs="Times New Roman"/>
                                </w:rPr>
                                <w:t>- обговорення/ зустрічі з банками для попередження банків або зустрічі з метою переконання уповільнення темпів розширення обсягів кредитування.</w:t>
                              </w:r>
                            </w:p>
                          </w:txbxContent>
                        </wps:txbx>
                        <wps:bodyPr rot="0" vert="horz" wrap="square" lIns="91440" tIns="45720" rIns="91440" bIns="45720" anchor="t" anchorCtr="0" upright="1">
                          <a:noAutofit/>
                        </wps:bodyPr>
                      </wps:wsp>
                      <wps:wsp>
                        <wps:cNvPr id="18" name="Text Box 197"/>
                        <wps:cNvSpPr txBox="1">
                          <a:spLocks noChangeArrowheads="1"/>
                        </wps:cNvSpPr>
                        <wps:spPr bwMode="auto">
                          <a:xfrm>
                            <a:off x="11491" y="4032"/>
                            <a:ext cx="1930" cy="6739"/>
                          </a:xfrm>
                          <a:prstGeom prst="rect">
                            <a:avLst/>
                          </a:prstGeom>
                          <a:solidFill>
                            <a:srgbClr val="FFFFFF"/>
                          </a:solidFill>
                          <a:ln w="9525">
                            <a:solidFill>
                              <a:srgbClr val="000000"/>
                            </a:solidFill>
                            <a:miter lim="800000"/>
                            <a:headEnd/>
                            <a:tailEnd/>
                          </a:ln>
                        </wps:spPr>
                        <wps:txbx>
                          <w:txbxContent>
                            <w:p w:rsidR="00631A1C" w:rsidRPr="00FA29F3" w:rsidRDefault="00631A1C" w:rsidP="00E37001">
                              <w:pPr>
                                <w:rPr>
                                  <w:rFonts w:ascii="Times New Roman" w:hAnsi="Times New Roman" w:cs="Times New Roman"/>
                                </w:rPr>
                              </w:pPr>
                              <w:r w:rsidRPr="00FA29F3">
                                <w:rPr>
                                  <w:rFonts w:ascii="Times New Roman" w:hAnsi="Times New Roman" w:cs="Times New Roman"/>
                                </w:rPr>
                                <w:t>- загальні або індивідуальні ліміти на кредити банкам;</w:t>
                              </w:r>
                            </w:p>
                            <w:p w:rsidR="00631A1C" w:rsidRPr="00FA29F3" w:rsidRDefault="00631A1C" w:rsidP="00E37001">
                              <w:pPr>
                                <w:rPr>
                                  <w:rFonts w:ascii="Times New Roman" w:hAnsi="Times New Roman" w:cs="Times New Roman"/>
                                </w:rPr>
                              </w:pPr>
                              <w:r w:rsidRPr="00FA29F3">
                                <w:rPr>
                                  <w:rFonts w:ascii="Times New Roman" w:hAnsi="Times New Roman" w:cs="Times New Roman"/>
                                </w:rPr>
                                <w:t>- додаткові резервні вимоги, що ґрунтуються на зростанні обсягів кредитів;</w:t>
                              </w:r>
                            </w:p>
                            <w:p w:rsidR="00631A1C" w:rsidRPr="00FA29F3" w:rsidRDefault="00631A1C" w:rsidP="00E37001">
                              <w:pPr>
                                <w:rPr>
                                  <w:rFonts w:ascii="Times New Roman" w:hAnsi="Times New Roman" w:cs="Times New Roman"/>
                                </w:rPr>
                              </w:pPr>
                              <w:r w:rsidRPr="00FA29F3">
                                <w:rPr>
                                  <w:rFonts w:ascii="Times New Roman" w:hAnsi="Times New Roman" w:cs="Times New Roman"/>
                                </w:rPr>
                                <w:t>- контроль за потоками капіталу;</w:t>
                              </w:r>
                            </w:p>
                            <w:p w:rsidR="00631A1C" w:rsidRPr="00FA29F3" w:rsidRDefault="00631A1C" w:rsidP="00E37001">
                              <w:pPr>
                                <w:rPr>
                                  <w:rFonts w:ascii="Times New Roman" w:hAnsi="Times New Roman" w:cs="Times New Roman"/>
                                </w:rPr>
                              </w:pPr>
                              <w:r w:rsidRPr="00FA29F3">
                                <w:rPr>
                                  <w:rFonts w:ascii="Times New Roman" w:hAnsi="Times New Roman" w:cs="Times New Roman"/>
                                </w:rPr>
                                <w:t>- податки на фінансове посередництво;</w:t>
                              </w:r>
                            </w:p>
                            <w:p w:rsidR="00631A1C" w:rsidRPr="00FA29F3" w:rsidRDefault="00631A1C" w:rsidP="00E37001">
                              <w:pPr>
                                <w:rPr>
                                  <w:rFonts w:ascii="Times New Roman" w:hAnsi="Times New Roman" w:cs="Times New Roman"/>
                                </w:rPr>
                              </w:pPr>
                              <w:r w:rsidRPr="00FA29F3">
                                <w:rPr>
                                  <w:rFonts w:ascii="Times New Roman" w:hAnsi="Times New Roman" w:cs="Times New Roman"/>
                                </w:rPr>
                                <w:t>- обмеження на кредитування імпорту.</w:t>
                              </w:r>
                            </w:p>
                          </w:txbxContent>
                        </wps:txbx>
                        <wps:bodyPr rot="0" vert="horz" wrap="square" lIns="91440" tIns="45720" rIns="91440" bIns="45720" anchor="t" anchorCtr="0" upright="1">
                          <a:noAutofit/>
                        </wps:bodyPr>
                      </wps:wsp>
                      <wps:wsp>
                        <wps:cNvPr id="19" name="Text Box 198"/>
                        <wps:cNvSpPr txBox="1">
                          <a:spLocks noChangeArrowheads="1"/>
                        </wps:cNvSpPr>
                        <wps:spPr bwMode="auto">
                          <a:xfrm>
                            <a:off x="8986" y="4032"/>
                            <a:ext cx="2304" cy="6739"/>
                          </a:xfrm>
                          <a:prstGeom prst="rect">
                            <a:avLst/>
                          </a:prstGeom>
                          <a:solidFill>
                            <a:srgbClr val="FFFFFF"/>
                          </a:solidFill>
                          <a:ln w="9525">
                            <a:solidFill>
                              <a:srgbClr val="000000"/>
                            </a:solidFill>
                            <a:miter lim="800000"/>
                            <a:headEnd/>
                            <a:tailEnd/>
                          </a:ln>
                        </wps:spPr>
                        <wps:txbx>
                          <w:txbxContent>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xml:space="preserve">- розвиток інструментів </w:t>
                              </w:r>
                              <w:proofErr w:type="spellStart"/>
                              <w:r w:rsidRPr="0006188E">
                                <w:rPr>
                                  <w:rFonts w:ascii="Times New Roman" w:hAnsi="Times New Roman" w:cs="Times New Roman"/>
                                  <w:sz w:val="21"/>
                                  <w:szCs w:val="21"/>
                                </w:rPr>
                                <w:t>хеджування</w:t>
                              </w:r>
                              <w:proofErr w:type="spellEnd"/>
                              <w:r w:rsidRPr="0006188E">
                                <w:rPr>
                                  <w:rFonts w:ascii="Times New Roman" w:hAnsi="Times New Roman" w:cs="Times New Roman"/>
                                  <w:sz w:val="21"/>
                                  <w:szCs w:val="21"/>
                                </w:rPr>
                                <w:t xml:space="preserve"> та управління ризиками;</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розвиток інструментів управління активами для врегулювання проблемних активів;</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розвиток ринку цінних паперів для зменшення залежності від банківського кредиту і підвищення диверсифікації ризиків;</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підвищення культури кредитування (кредитне бюро, кредитний реєстр);</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підвищення стандартів банківського і корпоративного обліку.</w:t>
                              </w:r>
                            </w:p>
                          </w:txbxContent>
                        </wps:txbx>
                        <wps:bodyPr rot="0" vert="horz" wrap="square" lIns="91440" tIns="45720" rIns="91440" bIns="45720" anchor="t" anchorCtr="0" upright="1">
                          <a:noAutofit/>
                        </wps:bodyPr>
                      </wps:wsp>
                      <wps:wsp>
                        <wps:cNvPr id="20" name="Text Box 199"/>
                        <wps:cNvSpPr txBox="1">
                          <a:spLocks noChangeArrowheads="1"/>
                        </wps:cNvSpPr>
                        <wps:spPr bwMode="auto">
                          <a:xfrm>
                            <a:off x="6682" y="4032"/>
                            <a:ext cx="2092" cy="6739"/>
                          </a:xfrm>
                          <a:prstGeom prst="rect">
                            <a:avLst/>
                          </a:prstGeom>
                          <a:solidFill>
                            <a:srgbClr val="FFFFFF"/>
                          </a:solidFill>
                          <a:ln w="9525">
                            <a:solidFill>
                              <a:srgbClr val="000000"/>
                            </a:solidFill>
                            <a:miter lim="800000"/>
                            <a:headEnd/>
                            <a:tailEnd/>
                          </a:ln>
                        </wps:spPr>
                        <wps:txbx>
                          <w:txbxContent>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підвищення вимог щодо розкриття банками інформації для управління ризиками та внутрішнього контролю;</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ретельна перевірка та нагляд за потенційними проблемними банками;</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періодичний моніторинг банків та клієнтського ризику;</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координація нагляду за банками і небанківськими установами;</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обмін інформацією між органами нагляду всередині країни та країнами походження іноземних банків.</w:t>
                              </w:r>
                            </w:p>
                          </w:txbxContent>
                        </wps:txbx>
                        <wps:bodyPr rot="0" vert="horz" wrap="square" lIns="91440" tIns="45720" rIns="91440" bIns="45720" anchor="t" anchorCtr="0" upright="1">
                          <a:noAutofit/>
                        </wps:bodyPr>
                      </wps:wsp>
                      <wps:wsp>
                        <wps:cNvPr id="21" name="Text Box 200"/>
                        <wps:cNvSpPr txBox="1">
                          <a:spLocks noChangeArrowheads="1"/>
                        </wps:cNvSpPr>
                        <wps:spPr bwMode="auto">
                          <a:xfrm>
                            <a:off x="4384" y="4032"/>
                            <a:ext cx="2106" cy="6739"/>
                          </a:xfrm>
                          <a:prstGeom prst="rect">
                            <a:avLst/>
                          </a:prstGeom>
                          <a:solidFill>
                            <a:srgbClr val="FFFFFF"/>
                          </a:solidFill>
                          <a:ln w="9525">
                            <a:solidFill>
                              <a:srgbClr val="000000"/>
                            </a:solidFill>
                            <a:miter lim="800000"/>
                            <a:headEnd/>
                            <a:tailEnd/>
                          </a:ln>
                        </wps:spPr>
                        <wps:txbx>
                          <w:txbxContent>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вищі або диференційовані вимоги до капіталу;</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суворіша класифікація позик і правил щодо резервів для покриття втрат за позиками;</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створення резервів для покриття втрат за позиками;</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жорсткі правила щодо заставного забезпечення;</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правила щодо концентрації кредитів;</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обмеження на відкриті валютні позиції;</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нормативи та інструкції щодо невідповідності термінів погашення.</w:t>
                              </w:r>
                            </w:p>
                          </w:txbxContent>
                        </wps:txbx>
                        <wps:bodyPr rot="0" vert="horz" wrap="square" lIns="91440" tIns="45720" rIns="91440" bIns="45720" anchor="t" anchorCtr="0" upright="1">
                          <a:noAutofit/>
                        </wps:bodyPr>
                      </wps:wsp>
                      <wps:wsp>
                        <wps:cNvPr id="22" name="Text Box 201"/>
                        <wps:cNvSpPr txBox="1">
                          <a:spLocks noChangeArrowheads="1"/>
                        </wps:cNvSpPr>
                        <wps:spPr bwMode="auto">
                          <a:xfrm>
                            <a:off x="1939" y="4032"/>
                            <a:ext cx="2227" cy="614"/>
                          </a:xfrm>
                          <a:prstGeom prst="rect">
                            <a:avLst/>
                          </a:prstGeom>
                          <a:solidFill>
                            <a:srgbClr val="FFFFFF"/>
                          </a:solidFill>
                          <a:ln w="9525">
                            <a:solidFill>
                              <a:srgbClr val="000000"/>
                            </a:solidFill>
                            <a:miter lim="800000"/>
                            <a:headEnd/>
                            <a:tailEnd/>
                          </a:ln>
                        </wps:spPr>
                        <wps:txbx>
                          <w:txbxContent>
                            <w:p w:rsidR="00631A1C" w:rsidRPr="00F77B9E" w:rsidRDefault="00631A1C" w:rsidP="00E37001">
                              <w:pPr>
                                <w:jc w:val="center"/>
                                <w:rPr>
                                  <w:rFonts w:ascii="Times New Roman" w:hAnsi="Times New Roman" w:cs="Times New Roman"/>
                                </w:rPr>
                              </w:pPr>
                              <w:r w:rsidRPr="00F77B9E">
                                <w:rPr>
                                  <w:rFonts w:ascii="Times New Roman" w:hAnsi="Times New Roman" w:cs="Times New Roman"/>
                                </w:rPr>
                                <w:t>Податково-бюджетна політика</w:t>
                              </w:r>
                            </w:p>
                          </w:txbxContent>
                        </wps:txbx>
                        <wps:bodyPr rot="0" vert="horz" wrap="square" lIns="91440" tIns="45720" rIns="91440" bIns="45720" anchor="t" anchorCtr="0" upright="1">
                          <a:noAutofit/>
                        </wps:bodyPr>
                      </wps:wsp>
                      <wps:wsp>
                        <wps:cNvPr id="23" name="Text Box 202"/>
                        <wps:cNvSpPr txBox="1">
                          <a:spLocks noChangeArrowheads="1"/>
                        </wps:cNvSpPr>
                        <wps:spPr bwMode="auto">
                          <a:xfrm>
                            <a:off x="1306" y="4800"/>
                            <a:ext cx="2860" cy="1498"/>
                          </a:xfrm>
                          <a:prstGeom prst="rect">
                            <a:avLst/>
                          </a:prstGeom>
                          <a:solidFill>
                            <a:srgbClr val="FFFFFF"/>
                          </a:solidFill>
                          <a:ln w="9525">
                            <a:solidFill>
                              <a:srgbClr val="000000"/>
                            </a:solidFill>
                            <a:miter lim="800000"/>
                            <a:headEnd/>
                            <a:tailEnd/>
                          </a:ln>
                        </wps:spPr>
                        <wps:txbx>
                          <w:txbxContent>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суворіша податково-бюджетна політика;</w:t>
                              </w:r>
                            </w:p>
                            <w:p w:rsidR="00631A1C" w:rsidRPr="008F65B4" w:rsidRDefault="00631A1C" w:rsidP="00E37001">
                              <w:r w:rsidRPr="008F65B4">
                                <w:rPr>
                                  <w:rFonts w:ascii="Times New Roman" w:hAnsi="Times New Roman" w:cs="Times New Roman"/>
                                  <w:sz w:val="20"/>
                                  <w:szCs w:val="20"/>
                                </w:rPr>
                                <w:t>- недопущення бюджетних стимулів, які можуть заохочувати певні види кредитування</w:t>
                              </w:r>
                            </w:p>
                          </w:txbxContent>
                        </wps:txbx>
                        <wps:bodyPr rot="0" vert="horz" wrap="square" lIns="91440" tIns="45720" rIns="91440" bIns="45720" anchor="t" anchorCtr="0" upright="1">
                          <a:noAutofit/>
                        </wps:bodyPr>
                      </wps:wsp>
                      <wps:wsp>
                        <wps:cNvPr id="24" name="Text Box 203"/>
                        <wps:cNvSpPr txBox="1">
                          <a:spLocks noChangeArrowheads="1"/>
                        </wps:cNvSpPr>
                        <wps:spPr bwMode="auto">
                          <a:xfrm>
                            <a:off x="1939" y="6470"/>
                            <a:ext cx="2227" cy="615"/>
                          </a:xfrm>
                          <a:prstGeom prst="rect">
                            <a:avLst/>
                          </a:prstGeom>
                          <a:solidFill>
                            <a:srgbClr val="FFFFFF"/>
                          </a:solidFill>
                          <a:ln w="9525">
                            <a:solidFill>
                              <a:srgbClr val="000000"/>
                            </a:solidFill>
                            <a:miter lim="800000"/>
                            <a:headEnd/>
                            <a:tailEnd/>
                          </a:ln>
                        </wps:spPr>
                        <wps:txbx>
                          <w:txbxContent>
                            <w:p w:rsidR="00631A1C" w:rsidRPr="007D332C" w:rsidRDefault="00631A1C" w:rsidP="00E37001">
                              <w:pPr>
                                <w:jc w:val="center"/>
                                <w:rPr>
                                  <w:rFonts w:ascii="Times New Roman" w:hAnsi="Times New Roman" w:cs="Times New Roman"/>
                                  <w:sz w:val="21"/>
                                  <w:szCs w:val="21"/>
                                </w:rPr>
                              </w:pPr>
                              <w:r w:rsidRPr="007D332C">
                                <w:rPr>
                                  <w:rFonts w:ascii="Times New Roman" w:hAnsi="Times New Roman" w:cs="Times New Roman"/>
                                  <w:sz w:val="21"/>
                                  <w:szCs w:val="21"/>
                                </w:rPr>
                                <w:t>Грошово-кредитна політика</w:t>
                              </w:r>
                            </w:p>
                          </w:txbxContent>
                        </wps:txbx>
                        <wps:bodyPr rot="0" vert="horz" wrap="square" lIns="91440" tIns="45720" rIns="91440" bIns="45720" anchor="t" anchorCtr="0" upright="1">
                          <a:noAutofit/>
                        </wps:bodyPr>
                      </wps:wsp>
                      <wps:wsp>
                        <wps:cNvPr id="25" name="Text Box 204"/>
                        <wps:cNvSpPr txBox="1">
                          <a:spLocks noChangeArrowheads="1"/>
                        </wps:cNvSpPr>
                        <wps:spPr bwMode="auto">
                          <a:xfrm>
                            <a:off x="1306" y="7238"/>
                            <a:ext cx="2860" cy="1286"/>
                          </a:xfrm>
                          <a:prstGeom prst="rect">
                            <a:avLst/>
                          </a:prstGeom>
                          <a:solidFill>
                            <a:srgbClr val="FFFFFF"/>
                          </a:solidFill>
                          <a:ln w="9525">
                            <a:solidFill>
                              <a:srgbClr val="000000"/>
                            </a:solidFill>
                            <a:miter lim="800000"/>
                            <a:headEnd/>
                            <a:tailEnd/>
                          </a:ln>
                        </wps:spPr>
                        <wps:txbx>
                          <w:txbxContent>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підвищення процентних ставок;</w:t>
                              </w:r>
                            </w:p>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посилення резервних вимог;</w:t>
                              </w:r>
                            </w:p>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вимоги щодо ліквідних активів</w:t>
                              </w:r>
                            </w:p>
                          </w:txbxContent>
                        </wps:txbx>
                        <wps:bodyPr rot="0" vert="horz" wrap="square" lIns="91440" tIns="45720" rIns="91440" bIns="45720" anchor="t" anchorCtr="0" upright="1">
                          <a:noAutofit/>
                        </wps:bodyPr>
                      </wps:wsp>
                      <wps:wsp>
                        <wps:cNvPr id="26" name="Text Box 205"/>
                        <wps:cNvSpPr txBox="1">
                          <a:spLocks noChangeArrowheads="1"/>
                        </wps:cNvSpPr>
                        <wps:spPr bwMode="auto">
                          <a:xfrm>
                            <a:off x="2021" y="8698"/>
                            <a:ext cx="2145" cy="575"/>
                          </a:xfrm>
                          <a:prstGeom prst="rect">
                            <a:avLst/>
                          </a:prstGeom>
                          <a:solidFill>
                            <a:srgbClr val="FFFFFF"/>
                          </a:solidFill>
                          <a:ln w="9525">
                            <a:solidFill>
                              <a:srgbClr val="000000"/>
                            </a:solidFill>
                            <a:miter lim="800000"/>
                            <a:headEnd/>
                            <a:tailEnd/>
                          </a:ln>
                        </wps:spPr>
                        <wps:txbx>
                          <w:txbxContent>
                            <w:p w:rsidR="00631A1C" w:rsidRPr="007D332C" w:rsidRDefault="00631A1C" w:rsidP="00E37001">
                              <w:pPr>
                                <w:jc w:val="center"/>
                                <w:rPr>
                                  <w:rFonts w:ascii="Times New Roman" w:hAnsi="Times New Roman" w:cs="Times New Roman"/>
                                  <w:sz w:val="21"/>
                                  <w:szCs w:val="21"/>
                                </w:rPr>
                              </w:pPr>
                              <w:r w:rsidRPr="007D332C">
                                <w:rPr>
                                  <w:rFonts w:ascii="Times New Roman" w:hAnsi="Times New Roman" w:cs="Times New Roman"/>
                                  <w:sz w:val="21"/>
                                  <w:szCs w:val="21"/>
                                </w:rPr>
                                <w:t>Заходи курсової політики</w:t>
                              </w:r>
                            </w:p>
                          </w:txbxContent>
                        </wps:txbx>
                        <wps:bodyPr rot="0" vert="horz" wrap="square" lIns="91440" tIns="45720" rIns="91440" bIns="45720" anchor="t" anchorCtr="0" upright="1">
                          <a:noAutofit/>
                        </wps:bodyPr>
                      </wps:wsp>
                      <wps:wsp>
                        <wps:cNvPr id="27" name="Text Box 206"/>
                        <wps:cNvSpPr txBox="1">
                          <a:spLocks noChangeArrowheads="1"/>
                        </wps:cNvSpPr>
                        <wps:spPr bwMode="auto">
                          <a:xfrm>
                            <a:off x="1306" y="9427"/>
                            <a:ext cx="2860" cy="1344"/>
                          </a:xfrm>
                          <a:prstGeom prst="rect">
                            <a:avLst/>
                          </a:prstGeom>
                          <a:solidFill>
                            <a:srgbClr val="FFFFFF"/>
                          </a:solidFill>
                          <a:ln w="9525">
                            <a:solidFill>
                              <a:srgbClr val="000000"/>
                            </a:solidFill>
                            <a:miter lim="800000"/>
                            <a:headEnd/>
                            <a:tailEnd/>
                          </a:ln>
                        </wps:spPr>
                        <wps:txbx>
                          <w:txbxContent>
                            <w:p w:rsidR="00631A1C" w:rsidRPr="00F77B9E" w:rsidRDefault="00631A1C" w:rsidP="00E37001">
                              <w:pPr>
                                <w:rPr>
                                  <w:rFonts w:ascii="Times New Roman" w:hAnsi="Times New Roman" w:cs="Times New Roman"/>
                                  <w:sz w:val="20"/>
                                  <w:szCs w:val="20"/>
                                </w:rPr>
                              </w:pPr>
                              <w:r w:rsidRPr="00F77B9E">
                                <w:rPr>
                                  <w:rFonts w:ascii="Times New Roman" w:hAnsi="Times New Roman" w:cs="Times New Roman"/>
                                  <w:sz w:val="20"/>
                                  <w:szCs w:val="20"/>
                                </w:rPr>
                                <w:t>- підвищення гнучкості валютних курсів;</w:t>
                              </w:r>
                            </w:p>
                            <w:p w:rsidR="00631A1C" w:rsidRPr="00F77B9E" w:rsidRDefault="00631A1C" w:rsidP="00E37001">
                              <w:pPr>
                                <w:rPr>
                                  <w:rFonts w:ascii="Times New Roman" w:hAnsi="Times New Roman" w:cs="Times New Roman"/>
                                  <w:sz w:val="20"/>
                                  <w:szCs w:val="20"/>
                                </w:rPr>
                              </w:pPr>
                              <w:r w:rsidRPr="00F77B9E">
                                <w:rPr>
                                  <w:rFonts w:ascii="Times New Roman" w:hAnsi="Times New Roman" w:cs="Times New Roman"/>
                                  <w:sz w:val="20"/>
                                  <w:szCs w:val="20"/>
                                </w:rPr>
                                <w:t>- підтримка узгодженого набору заходів грошово-кредитної і курсової політики</w:t>
                              </w:r>
                            </w:p>
                          </w:txbxContent>
                        </wps:txbx>
                        <wps:bodyPr rot="0" vert="horz" wrap="square" lIns="91440" tIns="45720" rIns="91440" bIns="45720" anchor="t" anchorCtr="0" upright="1">
                          <a:noAutofit/>
                        </wps:bodyPr>
                      </wps:wsp>
                      <wps:wsp>
                        <wps:cNvPr id="28" name="AutoShape 207"/>
                        <wps:cNvCnPr>
                          <a:cxnSpLocks noChangeShapeType="1"/>
                        </wps:cNvCnPr>
                        <wps:spPr bwMode="auto">
                          <a:xfrm>
                            <a:off x="5395" y="2241"/>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208"/>
                        <wps:cNvCnPr>
                          <a:cxnSpLocks noChangeShapeType="1"/>
                        </wps:cNvCnPr>
                        <wps:spPr bwMode="auto">
                          <a:xfrm>
                            <a:off x="2995" y="2241"/>
                            <a:ext cx="0" cy="3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09"/>
                        <wps:cNvCnPr>
                          <a:cxnSpLocks noChangeShapeType="1"/>
                        </wps:cNvCnPr>
                        <wps:spPr bwMode="auto">
                          <a:xfrm>
                            <a:off x="7661" y="2241"/>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210"/>
                        <wps:cNvCnPr>
                          <a:cxnSpLocks noChangeShapeType="1"/>
                        </wps:cNvCnPr>
                        <wps:spPr bwMode="auto">
                          <a:xfrm>
                            <a:off x="10157" y="2241"/>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211"/>
                        <wps:cNvCnPr>
                          <a:cxnSpLocks noChangeShapeType="1"/>
                        </wps:cNvCnPr>
                        <wps:spPr bwMode="auto">
                          <a:xfrm>
                            <a:off x="12422" y="2241"/>
                            <a:ext cx="0" cy="3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212"/>
                        <wps:cNvCnPr>
                          <a:cxnSpLocks noChangeShapeType="1"/>
                        </wps:cNvCnPr>
                        <wps:spPr bwMode="auto">
                          <a:xfrm>
                            <a:off x="14650" y="2241"/>
                            <a:ext cx="0" cy="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213"/>
                        <wps:cNvCnPr>
                          <a:cxnSpLocks noChangeShapeType="1"/>
                        </wps:cNvCnPr>
                        <wps:spPr bwMode="auto">
                          <a:xfrm>
                            <a:off x="5395" y="3648"/>
                            <a:ext cx="0" cy="3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214"/>
                        <wps:cNvCnPr>
                          <a:cxnSpLocks noChangeShapeType="1"/>
                        </wps:cNvCnPr>
                        <wps:spPr bwMode="auto">
                          <a:xfrm>
                            <a:off x="7661" y="3618"/>
                            <a:ext cx="0" cy="4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215"/>
                        <wps:cNvCnPr>
                          <a:cxnSpLocks noChangeShapeType="1"/>
                        </wps:cNvCnPr>
                        <wps:spPr bwMode="auto">
                          <a:xfrm>
                            <a:off x="10157" y="3628"/>
                            <a:ext cx="0" cy="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216"/>
                        <wps:cNvCnPr>
                          <a:cxnSpLocks noChangeShapeType="1"/>
                        </wps:cNvCnPr>
                        <wps:spPr bwMode="auto">
                          <a:xfrm>
                            <a:off x="12422" y="3618"/>
                            <a:ext cx="0" cy="4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217"/>
                        <wps:cNvCnPr>
                          <a:cxnSpLocks noChangeShapeType="1"/>
                        </wps:cNvCnPr>
                        <wps:spPr bwMode="auto">
                          <a:xfrm>
                            <a:off x="14650" y="3628"/>
                            <a:ext cx="0" cy="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218"/>
                        <wps:cNvCnPr>
                          <a:cxnSpLocks noChangeShapeType="1"/>
                        </wps:cNvCnPr>
                        <wps:spPr bwMode="auto">
                          <a:xfrm flipH="1">
                            <a:off x="1075" y="3014"/>
                            <a:ext cx="8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219"/>
                        <wps:cNvCnPr>
                          <a:cxnSpLocks noChangeShapeType="1"/>
                        </wps:cNvCnPr>
                        <wps:spPr bwMode="auto">
                          <a:xfrm>
                            <a:off x="1075" y="3014"/>
                            <a:ext cx="0" cy="59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220"/>
                        <wps:cNvCnPr>
                          <a:cxnSpLocks noChangeShapeType="1"/>
                        </wps:cNvCnPr>
                        <wps:spPr bwMode="auto">
                          <a:xfrm>
                            <a:off x="1075" y="9005"/>
                            <a:ext cx="9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221"/>
                        <wps:cNvCnPr>
                          <a:cxnSpLocks noChangeShapeType="1"/>
                        </wps:cNvCnPr>
                        <wps:spPr bwMode="auto">
                          <a:xfrm>
                            <a:off x="1075" y="4339"/>
                            <a:ext cx="8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222"/>
                        <wps:cNvCnPr>
                          <a:cxnSpLocks noChangeShapeType="1"/>
                        </wps:cNvCnPr>
                        <wps:spPr bwMode="auto">
                          <a:xfrm>
                            <a:off x="1075" y="6758"/>
                            <a:ext cx="86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223"/>
                        <wps:cNvCnPr>
                          <a:cxnSpLocks noChangeShapeType="1"/>
                        </wps:cNvCnPr>
                        <wps:spPr bwMode="auto">
                          <a:xfrm>
                            <a:off x="2995" y="7085"/>
                            <a:ext cx="0" cy="1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224"/>
                        <wps:cNvCnPr>
                          <a:cxnSpLocks noChangeShapeType="1"/>
                        </wps:cNvCnPr>
                        <wps:spPr bwMode="auto">
                          <a:xfrm>
                            <a:off x="2995" y="4646"/>
                            <a:ext cx="0" cy="1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225"/>
                        <wps:cNvCnPr>
                          <a:cxnSpLocks noChangeShapeType="1"/>
                        </wps:cNvCnPr>
                        <wps:spPr bwMode="auto">
                          <a:xfrm>
                            <a:off x="2995" y="9273"/>
                            <a:ext cx="0" cy="1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8" o:spid="_x0000_s1204" style="position:absolute;left:0;text-align:left;margin-left:-1.7pt;margin-top:1pt;width:757.5pt;height:496pt;z-index:251673600;mso-position-horizontal-relative:text;mso-position-vertical-relative:text" coordorigin="1075,1786" coordsize="14660,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">
                <v:shape id="Text Box 189" o:spid="_x0000_s1205" type="#_x0000_t202" style="position:absolute;left:1555;top:1786;width:13919;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631A1C" w:rsidRPr="00754B22" w:rsidRDefault="00631A1C" w:rsidP="00E37001">
                        <w:pPr>
                          <w:jc w:val="center"/>
                          <w:rPr>
                            <w:rFonts w:ascii="Times New Roman" w:hAnsi="Times New Roman" w:cs="Times New Roman"/>
                            <w:b/>
                            <w:sz w:val="28"/>
                            <w:szCs w:val="28"/>
                          </w:rPr>
                        </w:pPr>
                        <w:r w:rsidRPr="00754B22">
                          <w:rPr>
                            <w:rFonts w:ascii="Times New Roman" w:hAnsi="Times New Roman" w:cs="Times New Roman"/>
                            <w:b/>
                            <w:sz w:val="28"/>
                            <w:szCs w:val="28"/>
                          </w:rPr>
                          <w:t>СИСТЕМА ЗАХОДІВ ЩОДО ВДОСКОНАЛЕННЯ УПРАВЛІННЯ БАНКІВСЬКИМ КРЕДИТУВАННЯМ</w:t>
                        </w:r>
                      </w:p>
                    </w:txbxContent>
                  </v:textbox>
                </v:shape>
                <v:shape id="Text Box 190" o:spid="_x0000_s1206" type="#_x0000_t202" style="position:absolute;left:1939;top:2590;width:2227;height:1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Заходи макроекономічної політики</w:t>
                        </w:r>
                      </w:p>
                    </w:txbxContent>
                  </v:textbox>
                </v:shape>
                <v:shape id="Text Box 191" o:spid="_x0000_s1207" type="#_x0000_t202" style="position:absolute;left:4384;top:2630;width:2106;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631A1C" w:rsidRPr="00826A37" w:rsidRDefault="00631A1C" w:rsidP="00E37001">
                        <w:pPr>
                          <w:jc w:val="center"/>
                          <w:rPr>
                            <w:rFonts w:ascii="Times New Roman" w:hAnsi="Times New Roman" w:cs="Times New Roman"/>
                            <w:sz w:val="23"/>
                            <w:szCs w:val="23"/>
                          </w:rPr>
                        </w:pPr>
                        <w:proofErr w:type="spellStart"/>
                        <w:r w:rsidRPr="00826A37">
                          <w:rPr>
                            <w:rFonts w:ascii="Times New Roman" w:hAnsi="Times New Roman" w:cs="Times New Roman"/>
                            <w:sz w:val="23"/>
                            <w:szCs w:val="23"/>
                          </w:rPr>
                          <w:t>Пруденційні</w:t>
                        </w:r>
                        <w:proofErr w:type="spellEnd"/>
                        <w:r w:rsidRPr="00826A37">
                          <w:rPr>
                            <w:rFonts w:ascii="Times New Roman" w:hAnsi="Times New Roman" w:cs="Times New Roman"/>
                            <w:sz w:val="23"/>
                            <w:szCs w:val="23"/>
                          </w:rPr>
                          <w:t xml:space="preserve"> заходи</w:t>
                        </w:r>
                      </w:p>
                    </w:txbxContent>
                  </v:textbox>
                </v:shape>
                <v:shape id="Text Box 192" o:spid="_x0000_s1208" type="#_x0000_t202" style="position:absolute;left:6682;top:2630;width:2092;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631A1C"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Заходи нагляду/</w:t>
                        </w:r>
                      </w:p>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моніторинг</w:t>
                        </w:r>
                      </w:p>
                    </w:txbxContent>
                  </v:textbox>
                </v:shape>
                <v:shape id="Text Box 193" o:spid="_x0000_s1209" type="#_x0000_t202" style="position:absolute;left:8986;top:2630;width:2304;height: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Заходи із розвитку ринку</w:t>
                        </w:r>
                      </w:p>
                    </w:txbxContent>
                  </v:textbox>
                </v:shape>
                <v:shape id="Text Box 194" o:spid="_x0000_s1210" type="#_x0000_t202" style="position:absolute;left:11491;top:2620;width:1930;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Адміністративні заходи</w:t>
                        </w:r>
                      </w:p>
                    </w:txbxContent>
                  </v:textbox>
                </v:shape>
                <v:shape id="Text Box 195" o:spid="_x0000_s1211" type="#_x0000_t202" style="position:absolute;left:13594;top:2620;width:2141;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631A1C" w:rsidRPr="00826A37" w:rsidRDefault="00631A1C" w:rsidP="00E37001">
                        <w:pPr>
                          <w:jc w:val="center"/>
                          <w:rPr>
                            <w:rFonts w:ascii="Times New Roman" w:hAnsi="Times New Roman" w:cs="Times New Roman"/>
                            <w:sz w:val="23"/>
                            <w:szCs w:val="23"/>
                          </w:rPr>
                        </w:pPr>
                        <w:r w:rsidRPr="00826A37">
                          <w:rPr>
                            <w:rFonts w:ascii="Times New Roman" w:hAnsi="Times New Roman" w:cs="Times New Roman"/>
                            <w:sz w:val="23"/>
                            <w:szCs w:val="23"/>
                          </w:rPr>
                          <w:t>Сприяння поглибленню розуміння ризиків</w:t>
                        </w:r>
                      </w:p>
                    </w:txbxContent>
                  </v:textbox>
                </v:shape>
                <v:shape id="Text Box 196" o:spid="_x0000_s1212" type="#_x0000_t202" style="position:absolute;left:13594;top:4032;width:2141;height:6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631A1C" w:rsidRPr="00FA29F3" w:rsidRDefault="00631A1C" w:rsidP="00E37001">
                        <w:pPr>
                          <w:rPr>
                            <w:rFonts w:ascii="Times New Roman" w:hAnsi="Times New Roman" w:cs="Times New Roman"/>
                          </w:rPr>
                        </w:pPr>
                        <w:r w:rsidRPr="00FA29F3">
                          <w:rPr>
                            <w:rFonts w:ascii="Times New Roman" w:hAnsi="Times New Roman" w:cs="Times New Roman"/>
                          </w:rPr>
                          <w:t>- підвищення можливостей банків у сфері моніторингу оцінки і врегулювання ризиків;</w:t>
                        </w:r>
                      </w:p>
                      <w:p w:rsidR="00631A1C" w:rsidRPr="00FA29F3" w:rsidRDefault="00631A1C" w:rsidP="00E37001">
                        <w:pPr>
                          <w:rPr>
                            <w:rFonts w:ascii="Times New Roman" w:hAnsi="Times New Roman" w:cs="Times New Roman"/>
                          </w:rPr>
                        </w:pPr>
                        <w:r w:rsidRPr="00FA29F3">
                          <w:rPr>
                            <w:rFonts w:ascii="Times New Roman" w:hAnsi="Times New Roman" w:cs="Times New Roman"/>
                          </w:rPr>
                          <w:t>- кампанії з метою інформування громадськості про ризики і звіти у пресі;</w:t>
                        </w:r>
                      </w:p>
                      <w:p w:rsidR="00631A1C" w:rsidRPr="00FA29F3" w:rsidRDefault="00631A1C" w:rsidP="00E37001">
                        <w:pPr>
                          <w:rPr>
                            <w:rFonts w:ascii="Times New Roman" w:hAnsi="Times New Roman" w:cs="Times New Roman"/>
                          </w:rPr>
                        </w:pPr>
                        <w:r w:rsidRPr="00FA29F3">
                          <w:rPr>
                            <w:rFonts w:ascii="Times New Roman" w:hAnsi="Times New Roman" w:cs="Times New Roman"/>
                          </w:rPr>
                          <w:t>- обговорення/ зустрічі з банками для попередження банків або зустрічі з метою переконання уповільнення темпів розширення обсягів кредитування.</w:t>
                        </w:r>
                      </w:p>
                    </w:txbxContent>
                  </v:textbox>
                </v:shape>
                <v:shape id="Text Box 197" o:spid="_x0000_s1213" type="#_x0000_t202" style="position:absolute;left:11491;top:4032;width:1930;height:6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631A1C" w:rsidRPr="00FA29F3" w:rsidRDefault="00631A1C" w:rsidP="00E37001">
                        <w:pPr>
                          <w:rPr>
                            <w:rFonts w:ascii="Times New Roman" w:hAnsi="Times New Roman" w:cs="Times New Roman"/>
                          </w:rPr>
                        </w:pPr>
                        <w:r w:rsidRPr="00FA29F3">
                          <w:rPr>
                            <w:rFonts w:ascii="Times New Roman" w:hAnsi="Times New Roman" w:cs="Times New Roman"/>
                          </w:rPr>
                          <w:t>- загальні або індивідуальні ліміти на кредити банкам;</w:t>
                        </w:r>
                      </w:p>
                      <w:p w:rsidR="00631A1C" w:rsidRPr="00FA29F3" w:rsidRDefault="00631A1C" w:rsidP="00E37001">
                        <w:pPr>
                          <w:rPr>
                            <w:rFonts w:ascii="Times New Roman" w:hAnsi="Times New Roman" w:cs="Times New Roman"/>
                          </w:rPr>
                        </w:pPr>
                        <w:r w:rsidRPr="00FA29F3">
                          <w:rPr>
                            <w:rFonts w:ascii="Times New Roman" w:hAnsi="Times New Roman" w:cs="Times New Roman"/>
                          </w:rPr>
                          <w:t>- додаткові резервні вимоги, що ґрунтуються на зростанні обсягів кредитів;</w:t>
                        </w:r>
                      </w:p>
                      <w:p w:rsidR="00631A1C" w:rsidRPr="00FA29F3" w:rsidRDefault="00631A1C" w:rsidP="00E37001">
                        <w:pPr>
                          <w:rPr>
                            <w:rFonts w:ascii="Times New Roman" w:hAnsi="Times New Roman" w:cs="Times New Roman"/>
                          </w:rPr>
                        </w:pPr>
                        <w:r w:rsidRPr="00FA29F3">
                          <w:rPr>
                            <w:rFonts w:ascii="Times New Roman" w:hAnsi="Times New Roman" w:cs="Times New Roman"/>
                          </w:rPr>
                          <w:t>- контроль за потоками капіталу;</w:t>
                        </w:r>
                      </w:p>
                      <w:p w:rsidR="00631A1C" w:rsidRPr="00FA29F3" w:rsidRDefault="00631A1C" w:rsidP="00E37001">
                        <w:pPr>
                          <w:rPr>
                            <w:rFonts w:ascii="Times New Roman" w:hAnsi="Times New Roman" w:cs="Times New Roman"/>
                          </w:rPr>
                        </w:pPr>
                        <w:r w:rsidRPr="00FA29F3">
                          <w:rPr>
                            <w:rFonts w:ascii="Times New Roman" w:hAnsi="Times New Roman" w:cs="Times New Roman"/>
                          </w:rPr>
                          <w:t>- податки на фінансове посередництво;</w:t>
                        </w:r>
                      </w:p>
                      <w:p w:rsidR="00631A1C" w:rsidRPr="00FA29F3" w:rsidRDefault="00631A1C" w:rsidP="00E37001">
                        <w:pPr>
                          <w:rPr>
                            <w:rFonts w:ascii="Times New Roman" w:hAnsi="Times New Roman" w:cs="Times New Roman"/>
                          </w:rPr>
                        </w:pPr>
                        <w:r w:rsidRPr="00FA29F3">
                          <w:rPr>
                            <w:rFonts w:ascii="Times New Roman" w:hAnsi="Times New Roman" w:cs="Times New Roman"/>
                          </w:rPr>
                          <w:t>- обмеження на кредитування імпорту.</w:t>
                        </w:r>
                      </w:p>
                    </w:txbxContent>
                  </v:textbox>
                </v:shape>
                <v:shape id="Text Box 198" o:spid="_x0000_s1214" type="#_x0000_t202" style="position:absolute;left:8986;top:4032;width:2304;height:6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xml:space="preserve">- розвиток інструментів </w:t>
                        </w:r>
                        <w:proofErr w:type="spellStart"/>
                        <w:r w:rsidRPr="0006188E">
                          <w:rPr>
                            <w:rFonts w:ascii="Times New Roman" w:hAnsi="Times New Roman" w:cs="Times New Roman"/>
                            <w:sz w:val="21"/>
                            <w:szCs w:val="21"/>
                          </w:rPr>
                          <w:t>хеджування</w:t>
                        </w:r>
                        <w:proofErr w:type="spellEnd"/>
                        <w:r w:rsidRPr="0006188E">
                          <w:rPr>
                            <w:rFonts w:ascii="Times New Roman" w:hAnsi="Times New Roman" w:cs="Times New Roman"/>
                            <w:sz w:val="21"/>
                            <w:szCs w:val="21"/>
                          </w:rPr>
                          <w:t xml:space="preserve"> та управління ризиками;</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розвиток інструментів управління активами для врегулювання проблемних активів;</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розвиток ринку цінних паперів для зменшення залежності від банківського кредиту і підвищення диверсифікації ризиків;</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підвищення культури кредитування (кредитне бюро, кредитний реєстр);</w:t>
                        </w:r>
                      </w:p>
                      <w:p w:rsidR="00631A1C" w:rsidRPr="0006188E" w:rsidRDefault="00631A1C" w:rsidP="007A3DF6">
                        <w:pPr>
                          <w:spacing w:line="240" w:lineRule="auto"/>
                          <w:rPr>
                            <w:rFonts w:ascii="Times New Roman" w:hAnsi="Times New Roman" w:cs="Times New Roman"/>
                            <w:sz w:val="21"/>
                            <w:szCs w:val="21"/>
                          </w:rPr>
                        </w:pPr>
                        <w:r w:rsidRPr="0006188E">
                          <w:rPr>
                            <w:rFonts w:ascii="Times New Roman" w:hAnsi="Times New Roman" w:cs="Times New Roman"/>
                            <w:sz w:val="21"/>
                            <w:szCs w:val="21"/>
                          </w:rPr>
                          <w:t>- підвищення стандартів банківського і корпоративного обліку.</w:t>
                        </w:r>
                      </w:p>
                    </w:txbxContent>
                  </v:textbox>
                </v:shape>
                <v:shape id="Text Box 199" o:spid="_x0000_s1215" type="#_x0000_t202" style="position:absolute;left:6682;top:4032;width:2092;height:6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підвищення вимог щодо розкриття банками інформації для управління ризиками та внутрішнього контролю;</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ретельна перевірка та нагляд за потенційними проблемними банками;</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періодичний моніторинг банків та клієнтського ризику;</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координація нагляду за банками і небанківськими установами;</w:t>
                        </w:r>
                      </w:p>
                      <w:p w:rsidR="00631A1C" w:rsidRPr="007A3DF6" w:rsidRDefault="00631A1C" w:rsidP="007A3DF6">
                        <w:pPr>
                          <w:spacing w:line="240" w:lineRule="auto"/>
                          <w:rPr>
                            <w:rFonts w:ascii="Times New Roman" w:hAnsi="Times New Roman" w:cs="Times New Roman"/>
                            <w:sz w:val="21"/>
                            <w:szCs w:val="21"/>
                          </w:rPr>
                        </w:pPr>
                        <w:r w:rsidRPr="007A3DF6">
                          <w:rPr>
                            <w:rFonts w:ascii="Times New Roman" w:hAnsi="Times New Roman" w:cs="Times New Roman"/>
                            <w:sz w:val="21"/>
                            <w:szCs w:val="21"/>
                          </w:rPr>
                          <w:t>- обмін інформацією між органами нагляду всередині країни та країнами походження іноземних банків.</w:t>
                        </w:r>
                      </w:p>
                    </w:txbxContent>
                  </v:textbox>
                </v:shape>
                <v:shape id="Text Box 200" o:spid="_x0000_s1216" type="#_x0000_t202" style="position:absolute;left:4384;top:4032;width:2106;height:6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вищі або диференційовані вимоги до капіталу;</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суворіша класифікація позик і правил щодо резервів для покриття втрат за позиками;</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створення резервів для покриття втрат за позиками;</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жорсткі правила щодо заставного забезпечення;</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правила щодо концентрації кредитів;</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обмеження на відкриті валютні позиції;</w:t>
                        </w:r>
                      </w:p>
                      <w:p w:rsidR="00631A1C" w:rsidRPr="008F65B4" w:rsidRDefault="00631A1C" w:rsidP="007A3DF6">
                        <w:pPr>
                          <w:spacing w:line="240" w:lineRule="auto"/>
                          <w:rPr>
                            <w:rFonts w:ascii="Times New Roman" w:hAnsi="Times New Roman" w:cs="Times New Roman"/>
                            <w:sz w:val="21"/>
                            <w:szCs w:val="21"/>
                          </w:rPr>
                        </w:pPr>
                        <w:r w:rsidRPr="008F65B4">
                          <w:rPr>
                            <w:rFonts w:ascii="Times New Roman" w:hAnsi="Times New Roman" w:cs="Times New Roman"/>
                            <w:sz w:val="21"/>
                            <w:szCs w:val="21"/>
                          </w:rPr>
                          <w:t>- нормативи та інструкції щодо невідповідності термінів погашення.</w:t>
                        </w:r>
                      </w:p>
                    </w:txbxContent>
                  </v:textbox>
                </v:shape>
                <v:shape id="Text Box 201" o:spid="_x0000_s1217" type="#_x0000_t202" style="position:absolute;left:1939;top:4032;width:2227;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631A1C" w:rsidRPr="00F77B9E" w:rsidRDefault="00631A1C" w:rsidP="00E37001">
                        <w:pPr>
                          <w:jc w:val="center"/>
                          <w:rPr>
                            <w:rFonts w:ascii="Times New Roman" w:hAnsi="Times New Roman" w:cs="Times New Roman"/>
                          </w:rPr>
                        </w:pPr>
                        <w:r w:rsidRPr="00F77B9E">
                          <w:rPr>
                            <w:rFonts w:ascii="Times New Roman" w:hAnsi="Times New Roman" w:cs="Times New Roman"/>
                          </w:rPr>
                          <w:t>Податково-бюджетна політика</w:t>
                        </w:r>
                      </w:p>
                    </w:txbxContent>
                  </v:textbox>
                </v:shape>
                <v:shape id="Text Box 202" o:spid="_x0000_s1218" type="#_x0000_t202" style="position:absolute;left:1306;top:4800;width:2860;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суворіша податково-бюджетна політика;</w:t>
                        </w:r>
                      </w:p>
                      <w:p w:rsidR="00631A1C" w:rsidRPr="008F65B4" w:rsidRDefault="00631A1C" w:rsidP="00E37001">
                        <w:r w:rsidRPr="008F65B4">
                          <w:rPr>
                            <w:rFonts w:ascii="Times New Roman" w:hAnsi="Times New Roman" w:cs="Times New Roman"/>
                            <w:sz w:val="20"/>
                            <w:szCs w:val="20"/>
                          </w:rPr>
                          <w:t>- недопущення бюджетних стимулів, які можуть заохочувати певні види кредитування</w:t>
                        </w:r>
                      </w:p>
                    </w:txbxContent>
                  </v:textbox>
                </v:shape>
                <v:shape id="Text Box 203" o:spid="_x0000_s1219" type="#_x0000_t202" style="position:absolute;left:1939;top:6470;width:2227;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631A1C" w:rsidRPr="007D332C" w:rsidRDefault="00631A1C" w:rsidP="00E37001">
                        <w:pPr>
                          <w:jc w:val="center"/>
                          <w:rPr>
                            <w:rFonts w:ascii="Times New Roman" w:hAnsi="Times New Roman" w:cs="Times New Roman"/>
                            <w:sz w:val="21"/>
                            <w:szCs w:val="21"/>
                          </w:rPr>
                        </w:pPr>
                        <w:r w:rsidRPr="007D332C">
                          <w:rPr>
                            <w:rFonts w:ascii="Times New Roman" w:hAnsi="Times New Roman" w:cs="Times New Roman"/>
                            <w:sz w:val="21"/>
                            <w:szCs w:val="21"/>
                          </w:rPr>
                          <w:t>Грошово-кредитна політика</w:t>
                        </w:r>
                      </w:p>
                    </w:txbxContent>
                  </v:textbox>
                </v:shape>
                <v:shape id="Text Box 204" o:spid="_x0000_s1220" type="#_x0000_t202" style="position:absolute;left:1306;top:7238;width:2860;height:1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підвищення процентних ставок;</w:t>
                        </w:r>
                      </w:p>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посилення резервних вимог;</w:t>
                        </w:r>
                      </w:p>
                      <w:p w:rsidR="00631A1C" w:rsidRPr="008F65B4" w:rsidRDefault="00631A1C" w:rsidP="00E37001">
                        <w:pPr>
                          <w:rPr>
                            <w:rFonts w:ascii="Times New Roman" w:hAnsi="Times New Roman" w:cs="Times New Roman"/>
                            <w:sz w:val="20"/>
                            <w:szCs w:val="20"/>
                          </w:rPr>
                        </w:pPr>
                        <w:r w:rsidRPr="008F65B4">
                          <w:rPr>
                            <w:rFonts w:ascii="Times New Roman" w:hAnsi="Times New Roman" w:cs="Times New Roman"/>
                            <w:sz w:val="20"/>
                            <w:szCs w:val="20"/>
                          </w:rPr>
                          <w:t>- вимоги щодо ліквідних активів</w:t>
                        </w:r>
                      </w:p>
                    </w:txbxContent>
                  </v:textbox>
                </v:shape>
                <v:shape id="Text Box 205" o:spid="_x0000_s1221" type="#_x0000_t202" style="position:absolute;left:2021;top:8698;width:214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631A1C" w:rsidRPr="007D332C" w:rsidRDefault="00631A1C" w:rsidP="00E37001">
                        <w:pPr>
                          <w:jc w:val="center"/>
                          <w:rPr>
                            <w:rFonts w:ascii="Times New Roman" w:hAnsi="Times New Roman" w:cs="Times New Roman"/>
                            <w:sz w:val="21"/>
                            <w:szCs w:val="21"/>
                          </w:rPr>
                        </w:pPr>
                        <w:r w:rsidRPr="007D332C">
                          <w:rPr>
                            <w:rFonts w:ascii="Times New Roman" w:hAnsi="Times New Roman" w:cs="Times New Roman"/>
                            <w:sz w:val="21"/>
                            <w:szCs w:val="21"/>
                          </w:rPr>
                          <w:t>Заходи курсової політики</w:t>
                        </w:r>
                      </w:p>
                    </w:txbxContent>
                  </v:textbox>
                </v:shape>
                <v:shape id="Text Box 206" o:spid="_x0000_s1222" type="#_x0000_t202" style="position:absolute;left:1306;top:9427;width:2860;height:1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631A1C" w:rsidRPr="00F77B9E" w:rsidRDefault="00631A1C" w:rsidP="00E37001">
                        <w:pPr>
                          <w:rPr>
                            <w:rFonts w:ascii="Times New Roman" w:hAnsi="Times New Roman" w:cs="Times New Roman"/>
                            <w:sz w:val="20"/>
                            <w:szCs w:val="20"/>
                          </w:rPr>
                        </w:pPr>
                        <w:r w:rsidRPr="00F77B9E">
                          <w:rPr>
                            <w:rFonts w:ascii="Times New Roman" w:hAnsi="Times New Roman" w:cs="Times New Roman"/>
                            <w:sz w:val="20"/>
                            <w:szCs w:val="20"/>
                          </w:rPr>
                          <w:t>- підвищення гнучкості валютних курсів;</w:t>
                        </w:r>
                      </w:p>
                      <w:p w:rsidR="00631A1C" w:rsidRPr="00F77B9E" w:rsidRDefault="00631A1C" w:rsidP="00E37001">
                        <w:pPr>
                          <w:rPr>
                            <w:rFonts w:ascii="Times New Roman" w:hAnsi="Times New Roman" w:cs="Times New Roman"/>
                            <w:sz w:val="20"/>
                            <w:szCs w:val="20"/>
                          </w:rPr>
                        </w:pPr>
                        <w:r w:rsidRPr="00F77B9E">
                          <w:rPr>
                            <w:rFonts w:ascii="Times New Roman" w:hAnsi="Times New Roman" w:cs="Times New Roman"/>
                            <w:sz w:val="20"/>
                            <w:szCs w:val="20"/>
                          </w:rPr>
                          <w:t>- підтримка узгодженого набору заходів грошово-кредитної і курсової політики</w:t>
                        </w:r>
                      </w:p>
                    </w:txbxContent>
                  </v:textbox>
                </v:shape>
                <v:shape id="AutoShape 207" o:spid="_x0000_s1223" type="#_x0000_t32" style="position:absolute;left:5395;top:2241;width:0;height: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208" o:spid="_x0000_s1224" type="#_x0000_t32" style="position:absolute;left:2995;top:2241;width:0;height: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209" o:spid="_x0000_s1225" type="#_x0000_t32" style="position:absolute;left:7661;top:2241;width:0;height: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210" o:spid="_x0000_s1226" type="#_x0000_t32" style="position:absolute;left:10157;top:2241;width:0;height: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211" o:spid="_x0000_s1227" type="#_x0000_t32" style="position:absolute;left:12422;top:2241;width:0;height:3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212" o:spid="_x0000_s1228" type="#_x0000_t32" style="position:absolute;left:14650;top:2241;width:0;height: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213" o:spid="_x0000_s1229" type="#_x0000_t32" style="position:absolute;left:5395;top:3648;width:0;height:3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214" o:spid="_x0000_s1230" type="#_x0000_t32" style="position:absolute;left:7661;top:3618;width:0;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215" o:spid="_x0000_s1231" type="#_x0000_t32" style="position:absolute;left:10157;top:3628;width:0;height: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v:shape id="AutoShape 216" o:spid="_x0000_s1232" type="#_x0000_t32" style="position:absolute;left:12422;top:3618;width:0;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217" o:spid="_x0000_s1233" type="#_x0000_t32" style="position:absolute;left:14650;top:3628;width:0;height: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218" o:spid="_x0000_s1234" type="#_x0000_t32" style="position:absolute;left:1075;top:3014;width:86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Pq8QAAADbAAAADwAAAGRycy9kb3ducmV2LnhtbESPQWsCMRSE74X+h/AEL0Wza0F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s+rxAAAANsAAAAPAAAAAAAAAAAA&#10;AAAAAKECAABkcnMvZG93bnJldi54bWxQSwUGAAAAAAQABAD5AAAAkgMAAAAA&#10;"/>
                <v:shape id="AutoShape 219" o:spid="_x0000_s1235" type="#_x0000_t32" style="position:absolute;left:1075;top:3014;width:0;height:59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220" o:spid="_x0000_s1236" type="#_x0000_t32" style="position:absolute;left:1075;top:9005;width:9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AutoShape 221" o:spid="_x0000_s1237" type="#_x0000_t32" style="position:absolute;left:1075;top:4339;width:8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8iMQAAADbAAAADwAAAGRycy9kb3ducmV2LnhtbESPQWvCQBSE74X+h+UVvNWNI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PyIxAAAANsAAAAPAAAAAAAAAAAA&#10;AAAAAKECAABkcnMvZG93bnJldi54bWxQSwUGAAAAAAQABAD5AAAAkgMAAAAA&#10;">
                  <v:stroke endarrow="block"/>
                </v:shape>
                <v:shape id="AutoShape 222" o:spid="_x0000_s1238" type="#_x0000_t32" style="position:absolute;left:1075;top:6758;width:8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BZE8YAAADbAAAADwAAAGRycy9kb3ducmV2LnhtbESPT2vCQBTE7wW/w/KE3urGthS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gWRPGAAAA2wAAAA8AAAAAAAAA&#10;AAAAAAAAoQIAAGRycy9kb3ducmV2LnhtbFBLBQYAAAAABAAEAPkAAACUAwAAAAA=&#10;">
                  <v:stroke endarrow="block"/>
                </v:shape>
                <v:shape id="AutoShape 223" o:spid="_x0000_s1239" type="#_x0000_t32" style="position:absolute;left:2995;top:7085;width:0;height:1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224" o:spid="_x0000_s1240" type="#_x0000_t32" style="position:absolute;left:2995;top:4646;width:0;height:1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225" o:spid="_x0000_s1241" type="#_x0000_t32" style="position:absolute;left:2995;top:9273;width:0;height:1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group>
            </w:pict>
          </mc:Fallback>
        </mc:AlternateContent>
      </w:r>
    </w:p>
    <w:sectPr w:rsidR="00307A06" w:rsidRPr="00E37001" w:rsidSect="007A3DF6">
      <w:pgSz w:w="16834" w:h="11909" w:orient="landscape" w:code="9"/>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F89" w:rsidRDefault="00E45F89" w:rsidP="00E37001">
      <w:pPr>
        <w:spacing w:after="0" w:line="240" w:lineRule="auto"/>
      </w:pPr>
      <w:r>
        <w:separator/>
      </w:r>
    </w:p>
  </w:endnote>
  <w:endnote w:type="continuationSeparator" w:id="0">
    <w:p w:rsidR="00E45F89" w:rsidRDefault="00E45F89" w:rsidP="00E3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92335"/>
      <w:docPartObj>
        <w:docPartGallery w:val="Page Numbers (Bottom of Page)"/>
        <w:docPartUnique/>
      </w:docPartObj>
    </w:sdtPr>
    <w:sdtEndPr/>
    <w:sdtContent>
      <w:p w:rsidR="00631A1C" w:rsidRDefault="00631A1C">
        <w:pPr>
          <w:pStyle w:val="ab"/>
          <w:jc w:val="center"/>
        </w:pPr>
        <w:r>
          <w:fldChar w:fldCharType="begin"/>
        </w:r>
        <w:r>
          <w:instrText xml:space="preserve"> PAGE   \* MERGEFORMAT </w:instrText>
        </w:r>
        <w:r>
          <w:fldChar w:fldCharType="separate"/>
        </w:r>
        <w:r w:rsidR="00406315">
          <w:rPr>
            <w:noProof/>
          </w:rPr>
          <w:t>1</w:t>
        </w:r>
        <w:r>
          <w:rPr>
            <w:noProof/>
          </w:rPr>
          <w:fldChar w:fldCharType="end"/>
        </w:r>
      </w:p>
    </w:sdtContent>
  </w:sdt>
  <w:p w:rsidR="00631A1C" w:rsidRDefault="00631A1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507574"/>
      <w:docPartObj>
        <w:docPartGallery w:val="Page Numbers (Bottom of Page)"/>
        <w:docPartUnique/>
      </w:docPartObj>
    </w:sdtPr>
    <w:sdtContent>
      <w:p w:rsidR="00406315" w:rsidRDefault="00406315">
        <w:pPr>
          <w:pStyle w:val="ab"/>
          <w:jc w:val="center"/>
        </w:pPr>
        <w:r>
          <w:fldChar w:fldCharType="begin"/>
        </w:r>
        <w:r>
          <w:instrText xml:space="preserve"> PAGE   \* MERGEFORMAT </w:instrText>
        </w:r>
        <w:r>
          <w:fldChar w:fldCharType="separate"/>
        </w:r>
        <w:r>
          <w:rPr>
            <w:noProof/>
          </w:rPr>
          <w:t>60</w:t>
        </w:r>
        <w:r>
          <w:rPr>
            <w:noProof/>
          </w:rPr>
          <w:fldChar w:fldCharType="end"/>
        </w:r>
      </w:p>
    </w:sdtContent>
  </w:sdt>
  <w:p w:rsidR="00406315" w:rsidRDefault="0040631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5028"/>
      <w:docPartObj>
        <w:docPartGallery w:val="Page Numbers (Bottom of Page)"/>
        <w:docPartUnique/>
      </w:docPartObj>
    </w:sdtPr>
    <w:sdtEndPr/>
    <w:sdtContent>
      <w:p w:rsidR="00631A1C" w:rsidRDefault="00631A1C">
        <w:pPr>
          <w:pStyle w:val="ab"/>
          <w:jc w:val="center"/>
        </w:pPr>
        <w:r>
          <w:fldChar w:fldCharType="begin"/>
        </w:r>
        <w:r>
          <w:instrText xml:space="preserve"> PAGE   \* MERGEFORMAT </w:instrText>
        </w:r>
        <w:r>
          <w:fldChar w:fldCharType="separate"/>
        </w:r>
        <w:r w:rsidR="00406315">
          <w:rPr>
            <w:noProof/>
          </w:rPr>
          <w:t>103</w:t>
        </w:r>
        <w:r>
          <w:rPr>
            <w:noProof/>
          </w:rPr>
          <w:fldChar w:fldCharType="end"/>
        </w:r>
      </w:p>
    </w:sdtContent>
  </w:sdt>
  <w:p w:rsidR="00631A1C" w:rsidRDefault="00631A1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F89" w:rsidRDefault="00E45F89" w:rsidP="00E37001">
      <w:pPr>
        <w:spacing w:after="0" w:line="240" w:lineRule="auto"/>
      </w:pPr>
      <w:r>
        <w:separator/>
      </w:r>
    </w:p>
  </w:footnote>
  <w:footnote w:type="continuationSeparator" w:id="0">
    <w:p w:rsidR="00E45F89" w:rsidRDefault="00E45F89" w:rsidP="00E370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C2A95C4"/>
    <w:lvl w:ilvl="0">
      <w:numFmt w:val="bullet"/>
      <w:lvlText w:val="*"/>
      <w:lvlJc w:val="left"/>
    </w:lvl>
  </w:abstractNum>
  <w:abstractNum w:abstractNumId="1">
    <w:nsid w:val="056060C8"/>
    <w:multiLevelType w:val="hybridMultilevel"/>
    <w:tmpl w:val="39F283E8"/>
    <w:lvl w:ilvl="0" w:tplc="FFFFFFFF">
      <w:start w:val="1"/>
      <w:numFmt w:val="bullet"/>
      <w:lvlText w:val="–"/>
      <w:lvlJc w:val="left"/>
      <w:pPr>
        <w:ind w:left="720" w:hanging="360"/>
      </w:pPr>
      <w:rPr>
        <w:rFonts w:asci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2B4874"/>
    <w:multiLevelType w:val="hybridMultilevel"/>
    <w:tmpl w:val="B3C296FC"/>
    <w:lvl w:ilvl="0" w:tplc="FFFFFFFF">
      <w:start w:val="1"/>
      <w:numFmt w:val="bullet"/>
      <w:lvlText w:val="–"/>
      <w:lvlJc w:val="left"/>
      <w:pPr>
        <w:ind w:left="720" w:hanging="360"/>
      </w:pPr>
      <w:rPr>
        <w:rFonts w:asci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005AF"/>
    <w:multiLevelType w:val="singleLevel"/>
    <w:tmpl w:val="AB8A606A"/>
    <w:lvl w:ilvl="0">
      <w:start w:val="1"/>
      <w:numFmt w:val="decimal"/>
      <w:lvlText w:val="%1)"/>
      <w:legacy w:legacy="1" w:legacySpace="0" w:legacyIndent="355"/>
      <w:lvlJc w:val="left"/>
      <w:rPr>
        <w:rFonts w:ascii="Times New Roman" w:hAnsi="Times New Roman" w:cs="Times New Roman" w:hint="default"/>
      </w:rPr>
    </w:lvl>
  </w:abstractNum>
  <w:abstractNum w:abstractNumId="4">
    <w:nsid w:val="0E8836FC"/>
    <w:multiLevelType w:val="hybridMultilevel"/>
    <w:tmpl w:val="8200C6E2"/>
    <w:lvl w:ilvl="0" w:tplc="160AE2C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41B53"/>
    <w:multiLevelType w:val="hybridMultilevel"/>
    <w:tmpl w:val="CECCFB1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nsid w:val="136B17F5"/>
    <w:multiLevelType w:val="hybridMultilevel"/>
    <w:tmpl w:val="8FF06D6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AC652F1"/>
    <w:multiLevelType w:val="singleLevel"/>
    <w:tmpl w:val="4726E5E0"/>
    <w:lvl w:ilvl="0">
      <w:start w:val="1"/>
      <w:numFmt w:val="decimal"/>
      <w:lvlText w:val="%1)"/>
      <w:legacy w:legacy="1" w:legacySpace="0" w:legacyIndent="533"/>
      <w:lvlJc w:val="left"/>
      <w:rPr>
        <w:rFonts w:ascii="Times New Roman" w:hAnsi="Times New Roman" w:cs="Times New Roman" w:hint="default"/>
      </w:rPr>
    </w:lvl>
  </w:abstractNum>
  <w:abstractNum w:abstractNumId="8">
    <w:nsid w:val="1E2360BE"/>
    <w:multiLevelType w:val="singleLevel"/>
    <w:tmpl w:val="25C6A942"/>
    <w:lvl w:ilvl="0">
      <w:start w:val="7"/>
      <w:numFmt w:val="decimal"/>
      <w:lvlText w:val="%1)"/>
      <w:legacy w:legacy="1" w:legacySpace="0" w:legacyIndent="340"/>
      <w:lvlJc w:val="left"/>
      <w:rPr>
        <w:rFonts w:ascii="Times New Roman" w:hAnsi="Times New Roman" w:cs="Times New Roman" w:hint="default"/>
      </w:rPr>
    </w:lvl>
  </w:abstractNum>
  <w:abstractNum w:abstractNumId="9">
    <w:nsid w:val="1E5B3EA2"/>
    <w:multiLevelType w:val="hybridMultilevel"/>
    <w:tmpl w:val="2BF25E9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1DD4CD4"/>
    <w:multiLevelType w:val="hybridMultilevel"/>
    <w:tmpl w:val="72942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336D0D"/>
    <w:multiLevelType w:val="singleLevel"/>
    <w:tmpl w:val="90127394"/>
    <w:lvl w:ilvl="0">
      <w:start w:val="1"/>
      <w:numFmt w:val="decimal"/>
      <w:lvlText w:val="%1."/>
      <w:legacy w:legacy="1" w:legacySpace="0" w:legacyIndent="250"/>
      <w:lvlJc w:val="left"/>
      <w:rPr>
        <w:rFonts w:ascii="Times New Roman" w:hAnsi="Times New Roman" w:cs="Times New Roman" w:hint="default"/>
      </w:rPr>
    </w:lvl>
  </w:abstractNum>
  <w:abstractNum w:abstractNumId="12">
    <w:nsid w:val="2F1D2D2A"/>
    <w:multiLevelType w:val="singleLevel"/>
    <w:tmpl w:val="AD1C8EEC"/>
    <w:lvl w:ilvl="0">
      <w:start w:val="1"/>
      <w:numFmt w:val="decimal"/>
      <w:lvlText w:val="%1)"/>
      <w:legacy w:legacy="1" w:legacySpace="0" w:legacyIndent="327"/>
      <w:lvlJc w:val="left"/>
      <w:rPr>
        <w:rFonts w:ascii="Times New Roman" w:hAnsi="Times New Roman" w:cs="Times New Roman" w:hint="default"/>
      </w:rPr>
    </w:lvl>
  </w:abstractNum>
  <w:abstractNum w:abstractNumId="13">
    <w:nsid w:val="2FCA2416"/>
    <w:multiLevelType w:val="singleLevel"/>
    <w:tmpl w:val="1D18A1BE"/>
    <w:lvl w:ilvl="0">
      <w:start w:val="1"/>
      <w:numFmt w:val="decimal"/>
      <w:lvlText w:val="%1)"/>
      <w:legacy w:legacy="1" w:legacySpace="0" w:legacyIndent="336"/>
      <w:lvlJc w:val="left"/>
      <w:rPr>
        <w:rFonts w:ascii="Times New Roman" w:hAnsi="Times New Roman" w:cs="Times New Roman" w:hint="default"/>
      </w:rPr>
    </w:lvl>
  </w:abstractNum>
  <w:abstractNum w:abstractNumId="14">
    <w:nsid w:val="346C5267"/>
    <w:multiLevelType w:val="singleLevel"/>
    <w:tmpl w:val="EBD86ADC"/>
    <w:lvl w:ilvl="0">
      <w:start w:val="1"/>
      <w:numFmt w:val="decimal"/>
      <w:lvlText w:val="%1."/>
      <w:legacy w:legacy="1" w:legacySpace="0" w:legacyIndent="523"/>
      <w:lvlJc w:val="left"/>
      <w:rPr>
        <w:rFonts w:ascii="Times New Roman" w:hAnsi="Times New Roman" w:cs="Times New Roman" w:hint="default"/>
      </w:rPr>
    </w:lvl>
  </w:abstractNum>
  <w:abstractNum w:abstractNumId="15">
    <w:nsid w:val="34DF1475"/>
    <w:multiLevelType w:val="singleLevel"/>
    <w:tmpl w:val="24041B3A"/>
    <w:lvl w:ilvl="0">
      <w:start w:val="1"/>
      <w:numFmt w:val="decimal"/>
      <w:lvlText w:val="%1)"/>
      <w:legacy w:legacy="1" w:legacySpace="0" w:legacyIndent="278"/>
      <w:lvlJc w:val="left"/>
      <w:rPr>
        <w:rFonts w:ascii="Times New Roman" w:hAnsi="Times New Roman" w:cs="Times New Roman" w:hint="default"/>
      </w:rPr>
    </w:lvl>
  </w:abstractNum>
  <w:abstractNum w:abstractNumId="16">
    <w:nsid w:val="3A0B08C0"/>
    <w:multiLevelType w:val="singleLevel"/>
    <w:tmpl w:val="AB8A606A"/>
    <w:lvl w:ilvl="0">
      <w:start w:val="1"/>
      <w:numFmt w:val="decimal"/>
      <w:lvlText w:val="%1)"/>
      <w:legacy w:legacy="1" w:legacySpace="0" w:legacyIndent="355"/>
      <w:lvlJc w:val="left"/>
      <w:rPr>
        <w:rFonts w:ascii="Times New Roman" w:hAnsi="Times New Roman" w:cs="Times New Roman" w:hint="default"/>
      </w:rPr>
    </w:lvl>
  </w:abstractNum>
  <w:abstractNum w:abstractNumId="17">
    <w:nsid w:val="3B6425D1"/>
    <w:multiLevelType w:val="hybridMultilevel"/>
    <w:tmpl w:val="E87A2A38"/>
    <w:lvl w:ilvl="0" w:tplc="FFFFFFFF">
      <w:start w:val="1"/>
      <w:numFmt w:val="bullet"/>
      <w:lvlText w:val="–"/>
      <w:lvlJc w:val="left"/>
      <w:pPr>
        <w:ind w:left="720" w:hanging="360"/>
      </w:pPr>
      <w:rPr>
        <w:rFonts w:asci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43529B"/>
    <w:multiLevelType w:val="hybridMultilevel"/>
    <w:tmpl w:val="95D6C84C"/>
    <w:lvl w:ilvl="0" w:tplc="8E62E3EA">
      <w:start w:val="1"/>
      <w:numFmt w:val="decimal"/>
      <w:lvlText w:val="%1."/>
      <w:lvlJc w:val="left"/>
      <w:pPr>
        <w:tabs>
          <w:tab w:val="num" w:pos="1437"/>
        </w:tabs>
        <w:ind w:left="1437" w:hanging="360"/>
      </w:pPr>
      <w:rPr>
        <w:rFonts w:cs="Times New Roman" w:hint="default"/>
      </w:rPr>
    </w:lvl>
    <w:lvl w:ilvl="1" w:tplc="12887112">
      <w:numFmt w:val="none"/>
      <w:lvlText w:val=""/>
      <w:lvlJc w:val="left"/>
      <w:pPr>
        <w:tabs>
          <w:tab w:val="num" w:pos="360"/>
        </w:tabs>
      </w:pPr>
      <w:rPr>
        <w:rFonts w:cs="Times New Roman"/>
      </w:rPr>
    </w:lvl>
    <w:lvl w:ilvl="2" w:tplc="53125A6C">
      <w:numFmt w:val="none"/>
      <w:lvlText w:val=""/>
      <w:lvlJc w:val="left"/>
      <w:pPr>
        <w:tabs>
          <w:tab w:val="num" w:pos="360"/>
        </w:tabs>
      </w:pPr>
      <w:rPr>
        <w:rFonts w:cs="Times New Roman"/>
      </w:rPr>
    </w:lvl>
    <w:lvl w:ilvl="3" w:tplc="344EEF90">
      <w:numFmt w:val="none"/>
      <w:lvlText w:val=""/>
      <w:lvlJc w:val="left"/>
      <w:pPr>
        <w:tabs>
          <w:tab w:val="num" w:pos="360"/>
        </w:tabs>
      </w:pPr>
      <w:rPr>
        <w:rFonts w:cs="Times New Roman"/>
      </w:rPr>
    </w:lvl>
    <w:lvl w:ilvl="4" w:tplc="F68E360A">
      <w:numFmt w:val="none"/>
      <w:lvlText w:val=""/>
      <w:lvlJc w:val="left"/>
      <w:pPr>
        <w:tabs>
          <w:tab w:val="num" w:pos="360"/>
        </w:tabs>
      </w:pPr>
      <w:rPr>
        <w:rFonts w:cs="Times New Roman"/>
      </w:rPr>
    </w:lvl>
    <w:lvl w:ilvl="5" w:tplc="A8101D24">
      <w:numFmt w:val="none"/>
      <w:lvlText w:val=""/>
      <w:lvlJc w:val="left"/>
      <w:pPr>
        <w:tabs>
          <w:tab w:val="num" w:pos="360"/>
        </w:tabs>
      </w:pPr>
      <w:rPr>
        <w:rFonts w:cs="Times New Roman"/>
      </w:rPr>
    </w:lvl>
    <w:lvl w:ilvl="6" w:tplc="704ED06E">
      <w:numFmt w:val="none"/>
      <w:lvlText w:val=""/>
      <w:lvlJc w:val="left"/>
      <w:pPr>
        <w:tabs>
          <w:tab w:val="num" w:pos="360"/>
        </w:tabs>
      </w:pPr>
      <w:rPr>
        <w:rFonts w:cs="Times New Roman"/>
      </w:rPr>
    </w:lvl>
    <w:lvl w:ilvl="7" w:tplc="B20E3EA2">
      <w:numFmt w:val="none"/>
      <w:lvlText w:val=""/>
      <w:lvlJc w:val="left"/>
      <w:pPr>
        <w:tabs>
          <w:tab w:val="num" w:pos="360"/>
        </w:tabs>
      </w:pPr>
      <w:rPr>
        <w:rFonts w:cs="Times New Roman"/>
      </w:rPr>
    </w:lvl>
    <w:lvl w:ilvl="8" w:tplc="48983C40">
      <w:numFmt w:val="none"/>
      <w:lvlText w:val=""/>
      <w:lvlJc w:val="left"/>
      <w:pPr>
        <w:tabs>
          <w:tab w:val="num" w:pos="360"/>
        </w:tabs>
      </w:pPr>
      <w:rPr>
        <w:rFonts w:cs="Times New Roman"/>
      </w:rPr>
    </w:lvl>
  </w:abstractNum>
  <w:abstractNum w:abstractNumId="19">
    <w:nsid w:val="433512EB"/>
    <w:multiLevelType w:val="singleLevel"/>
    <w:tmpl w:val="07603280"/>
    <w:lvl w:ilvl="0">
      <w:start w:val="1"/>
      <w:numFmt w:val="decimal"/>
      <w:lvlText w:val="%1)"/>
      <w:legacy w:legacy="1" w:legacySpace="0" w:legacyIndent="341"/>
      <w:lvlJc w:val="left"/>
      <w:rPr>
        <w:rFonts w:ascii="Times New Roman" w:hAnsi="Times New Roman" w:cs="Times New Roman" w:hint="default"/>
      </w:rPr>
    </w:lvl>
  </w:abstractNum>
  <w:abstractNum w:abstractNumId="20">
    <w:nsid w:val="49186261"/>
    <w:multiLevelType w:val="hybridMultilevel"/>
    <w:tmpl w:val="ED52F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25370D"/>
    <w:multiLevelType w:val="hybridMultilevel"/>
    <w:tmpl w:val="4382675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BE10BAF"/>
    <w:multiLevelType w:val="singleLevel"/>
    <w:tmpl w:val="BEC06DF8"/>
    <w:lvl w:ilvl="0">
      <w:start w:val="5"/>
      <w:numFmt w:val="decimal"/>
      <w:lvlText w:val="%1)"/>
      <w:legacy w:legacy="1" w:legacySpace="0" w:legacyIndent="317"/>
      <w:lvlJc w:val="left"/>
      <w:rPr>
        <w:rFonts w:ascii="Times New Roman" w:hAnsi="Times New Roman" w:cs="Times New Roman" w:hint="default"/>
      </w:rPr>
    </w:lvl>
  </w:abstractNum>
  <w:abstractNum w:abstractNumId="23">
    <w:nsid w:val="5C625520"/>
    <w:multiLevelType w:val="hybridMultilevel"/>
    <w:tmpl w:val="ED045CE0"/>
    <w:lvl w:ilvl="0" w:tplc="FFFFFFFF">
      <w:start w:val="1"/>
      <w:numFmt w:val="bullet"/>
      <w:lvlText w:val="–"/>
      <w:lvlJc w:val="left"/>
      <w:pPr>
        <w:ind w:left="720" w:hanging="360"/>
      </w:pPr>
      <w:rPr>
        <w:rFonts w:asci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4A2EBE"/>
    <w:multiLevelType w:val="hybridMultilevel"/>
    <w:tmpl w:val="D8863B84"/>
    <w:lvl w:ilvl="0" w:tplc="FFFFFFFF">
      <w:start w:val="1"/>
      <w:numFmt w:val="bullet"/>
      <w:lvlText w:val="–"/>
      <w:lvlJc w:val="left"/>
      <w:pPr>
        <w:ind w:left="720" w:hanging="360"/>
      </w:pPr>
      <w:rPr>
        <w:rFonts w:asci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2A6460"/>
    <w:multiLevelType w:val="singleLevel"/>
    <w:tmpl w:val="FC6C648C"/>
    <w:lvl w:ilvl="0">
      <w:start w:val="3"/>
      <w:numFmt w:val="decimal"/>
      <w:lvlText w:val="%1)"/>
      <w:legacy w:legacy="1" w:legacySpace="0" w:legacyIndent="441"/>
      <w:lvlJc w:val="left"/>
      <w:rPr>
        <w:rFonts w:ascii="Times New Roman" w:hAnsi="Times New Roman" w:cs="Times New Roman" w:hint="default"/>
      </w:rPr>
    </w:lvl>
  </w:abstractNum>
  <w:abstractNum w:abstractNumId="26">
    <w:nsid w:val="66AC29FD"/>
    <w:multiLevelType w:val="singleLevel"/>
    <w:tmpl w:val="EEE8D6F0"/>
    <w:lvl w:ilvl="0">
      <w:start w:val="1"/>
      <w:numFmt w:val="decimal"/>
      <w:lvlText w:val="%1)"/>
      <w:legacy w:legacy="1" w:legacySpace="0" w:legacyIndent="538"/>
      <w:lvlJc w:val="left"/>
      <w:rPr>
        <w:rFonts w:ascii="Times New Roman" w:hAnsi="Times New Roman" w:cs="Times New Roman" w:hint="default"/>
      </w:rPr>
    </w:lvl>
  </w:abstractNum>
  <w:abstractNum w:abstractNumId="27">
    <w:nsid w:val="75120E3C"/>
    <w:multiLevelType w:val="hybridMultilevel"/>
    <w:tmpl w:val="83442D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51F09E0"/>
    <w:multiLevelType w:val="singleLevel"/>
    <w:tmpl w:val="2F36B1C0"/>
    <w:lvl w:ilvl="0">
      <w:start w:val="1"/>
      <w:numFmt w:val="decimal"/>
      <w:lvlText w:val="%1)"/>
      <w:legacy w:legacy="1" w:legacySpace="0" w:legacyIndent="307"/>
      <w:lvlJc w:val="left"/>
      <w:rPr>
        <w:rFonts w:ascii="Times New Roman" w:hAnsi="Times New Roman" w:cs="Times New Roman" w:hint="default"/>
      </w:rPr>
    </w:lvl>
  </w:abstractNum>
  <w:abstractNum w:abstractNumId="29">
    <w:nsid w:val="75B43A72"/>
    <w:multiLevelType w:val="multilevel"/>
    <w:tmpl w:val="A9EC3FF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7D631C60"/>
    <w:multiLevelType w:val="hybridMultilevel"/>
    <w:tmpl w:val="79DC904A"/>
    <w:lvl w:ilvl="0" w:tplc="637E2EAA">
      <w:start w:val="65535"/>
      <w:numFmt w:val="bullet"/>
      <w:lvlText w:val="—"/>
      <w:lvlJc w:val="left"/>
      <w:pPr>
        <w:ind w:left="1287" w:hanging="360"/>
      </w:pPr>
      <w:rPr>
        <w:rFonts w:ascii="Georgia" w:hAnsi="Georgi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1"/>
  </w:num>
  <w:num w:numId="2">
    <w:abstractNumId w:val="6"/>
  </w:num>
  <w:num w:numId="3">
    <w:abstractNumId w:val="18"/>
  </w:num>
  <w:num w:numId="4">
    <w:abstractNumId w:val="29"/>
  </w:num>
  <w:num w:numId="5">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73"/>
        <w:lvlJc w:val="left"/>
        <w:rPr>
          <w:rFonts w:ascii="Georgia" w:hAnsi="Georgia" w:hint="default"/>
        </w:rPr>
      </w:lvl>
    </w:lvlOverride>
  </w:num>
  <w:num w:numId="7">
    <w:abstractNumId w:val="0"/>
    <w:lvlOverride w:ilvl="0">
      <w:lvl w:ilvl="0">
        <w:start w:val="65535"/>
        <w:numFmt w:val="bullet"/>
        <w:lvlText w:val="—"/>
        <w:legacy w:legacy="1" w:legacySpace="0" w:legacyIndent="278"/>
        <w:lvlJc w:val="left"/>
        <w:rPr>
          <w:rFonts w:ascii="Georgia" w:hAnsi="Georgia" w:hint="default"/>
        </w:rPr>
      </w:lvl>
    </w:lvlOverride>
  </w:num>
  <w:num w:numId="8">
    <w:abstractNumId w:val="0"/>
    <w:lvlOverride w:ilvl="0">
      <w:lvl w:ilvl="0">
        <w:start w:val="65535"/>
        <w:numFmt w:val="bullet"/>
        <w:lvlText w:val="—"/>
        <w:legacy w:legacy="1" w:legacySpace="0" w:legacyIndent="269"/>
        <w:lvlJc w:val="left"/>
        <w:rPr>
          <w:rFonts w:ascii="Georgia" w:hAnsi="Georgia" w:hint="default"/>
        </w:rPr>
      </w:lvl>
    </w:lvlOverride>
  </w:num>
  <w:num w:numId="9">
    <w:abstractNumId w:val="0"/>
    <w:lvlOverride w:ilvl="0">
      <w:lvl w:ilvl="0">
        <w:start w:val="65535"/>
        <w:numFmt w:val="bullet"/>
        <w:lvlText w:val="—"/>
        <w:legacy w:legacy="1" w:legacySpace="0" w:legacyIndent="279"/>
        <w:lvlJc w:val="left"/>
        <w:rPr>
          <w:rFonts w:ascii="Bookman Old Style" w:hAnsi="Bookman Old Style" w:hint="default"/>
        </w:rPr>
      </w:lvl>
    </w:lvlOverride>
  </w:num>
  <w:num w:numId="10">
    <w:abstractNumId w:val="0"/>
    <w:lvlOverride w:ilvl="0">
      <w:lvl w:ilvl="0">
        <w:start w:val="65535"/>
        <w:numFmt w:val="bullet"/>
        <w:lvlText w:val="—"/>
        <w:legacy w:legacy="1" w:legacySpace="0" w:legacyIndent="278"/>
        <w:lvlJc w:val="left"/>
        <w:rPr>
          <w:rFonts w:ascii="Bookman Old Style" w:hAnsi="Bookman Old Style" w:hint="default"/>
        </w:rPr>
      </w:lvl>
    </w:lvlOverride>
  </w:num>
  <w:num w:numId="11">
    <w:abstractNumId w:val="15"/>
  </w:num>
  <w:num w:numId="12">
    <w:abstractNumId w:val="30"/>
  </w:num>
  <w:num w:numId="13">
    <w:abstractNumId w:val="10"/>
  </w:num>
  <w:num w:numId="14">
    <w:abstractNumId w:val="27"/>
  </w:num>
  <w:num w:numId="15">
    <w:abstractNumId w:val="9"/>
  </w:num>
  <w:num w:numId="16">
    <w:abstractNumId w:val="5"/>
  </w:num>
  <w:num w:numId="17">
    <w:abstractNumId w:val="23"/>
  </w:num>
  <w:num w:numId="18">
    <w:abstractNumId w:val="1"/>
  </w:num>
  <w:num w:numId="19">
    <w:abstractNumId w:val="2"/>
  </w:num>
  <w:num w:numId="20">
    <w:abstractNumId w:val="24"/>
  </w:num>
  <w:num w:numId="21">
    <w:abstractNumId w:val="17"/>
  </w:num>
  <w:num w:numId="22">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3">
    <w:abstractNumId w:val="3"/>
  </w:num>
  <w:num w:numId="24">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25">
    <w:abstractNumId w:val="12"/>
  </w:num>
  <w:num w:numId="2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7">
    <w:abstractNumId w:val="16"/>
  </w:num>
  <w:num w:numId="28">
    <w:abstractNumId w:val="16"/>
    <w:lvlOverride w:ilvl="0">
      <w:lvl w:ilvl="0">
        <w:start w:val="1"/>
        <w:numFmt w:val="decimal"/>
        <w:lvlText w:val="%1)"/>
        <w:legacy w:legacy="1" w:legacySpace="0" w:legacyIndent="356"/>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43"/>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1">
    <w:abstractNumId w:val="26"/>
  </w:num>
  <w:num w:numId="3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3">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34">
    <w:abstractNumId w:val="7"/>
  </w:num>
  <w:num w:numId="35">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6">
    <w:abstractNumId w:val="14"/>
  </w:num>
  <w:num w:numId="3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40">
    <w:abstractNumId w:val="19"/>
  </w:num>
  <w:num w:numId="4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2">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3">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44">
    <w:abstractNumId w:val="8"/>
  </w:num>
  <w:num w:numId="45">
    <w:abstractNumId w:val="28"/>
  </w:num>
  <w:num w:numId="46">
    <w:abstractNumId w:val="25"/>
  </w:num>
  <w:num w:numId="47">
    <w:abstractNumId w:val="22"/>
  </w:num>
  <w:num w:numId="48">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4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0">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51">
    <w:abstractNumId w:val="11"/>
  </w:num>
  <w:num w:numId="5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3">
    <w:abstractNumId w:val="13"/>
  </w:num>
  <w:num w:numId="54">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55">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56">
    <w:abstractNumId w:val="20"/>
  </w:num>
  <w:num w:numId="57">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A06"/>
    <w:rsid w:val="000D3648"/>
    <w:rsid w:val="000D7F29"/>
    <w:rsid w:val="002348B9"/>
    <w:rsid w:val="002C638E"/>
    <w:rsid w:val="002E487A"/>
    <w:rsid w:val="00307A06"/>
    <w:rsid w:val="00406315"/>
    <w:rsid w:val="004E130D"/>
    <w:rsid w:val="004E19FD"/>
    <w:rsid w:val="00621722"/>
    <w:rsid w:val="00631A1C"/>
    <w:rsid w:val="006F4174"/>
    <w:rsid w:val="00776A19"/>
    <w:rsid w:val="007A3DF6"/>
    <w:rsid w:val="00A06C1C"/>
    <w:rsid w:val="00A17EED"/>
    <w:rsid w:val="00A43487"/>
    <w:rsid w:val="00A776C2"/>
    <w:rsid w:val="00AA756C"/>
    <w:rsid w:val="00AD6C51"/>
    <w:rsid w:val="00AD74E3"/>
    <w:rsid w:val="00B07B79"/>
    <w:rsid w:val="00B61631"/>
    <w:rsid w:val="00B63CA8"/>
    <w:rsid w:val="00E03B63"/>
    <w:rsid w:val="00E37001"/>
    <w:rsid w:val="00E4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7A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17E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307A0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uiPriority w:val="99"/>
    <w:qFormat/>
    <w:rsid w:val="00307A06"/>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A0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9"/>
    <w:rsid w:val="00307A06"/>
    <w:rPr>
      <w:rFonts w:ascii="Times New Roman" w:eastAsia="Times New Roman" w:hAnsi="Times New Roman" w:cs="Times New Roman"/>
      <w:b/>
      <w:bCs/>
      <w:sz w:val="28"/>
      <w:szCs w:val="28"/>
      <w:lang w:val="uk-UA" w:eastAsia="ru-RU"/>
    </w:rPr>
  </w:style>
  <w:style w:type="character" w:customStyle="1" w:styleId="60">
    <w:name w:val="Заголовок 6 Знак"/>
    <w:basedOn w:val="a0"/>
    <w:link w:val="6"/>
    <w:uiPriority w:val="99"/>
    <w:rsid w:val="00307A06"/>
    <w:rPr>
      <w:rFonts w:ascii="Times New Roman" w:eastAsia="Times New Roman" w:hAnsi="Times New Roman" w:cs="Times New Roman"/>
      <w:b/>
      <w:bCs/>
      <w:lang w:val="uk-UA" w:eastAsia="ru-RU"/>
    </w:rPr>
  </w:style>
  <w:style w:type="paragraph" w:styleId="a3">
    <w:name w:val="List Paragraph"/>
    <w:basedOn w:val="a"/>
    <w:uiPriority w:val="34"/>
    <w:qFormat/>
    <w:rsid w:val="00307A06"/>
    <w:pPr>
      <w:ind w:left="720"/>
      <w:contextualSpacing/>
    </w:pPr>
  </w:style>
  <w:style w:type="paragraph" w:styleId="a4">
    <w:name w:val="Body Text Indent"/>
    <w:basedOn w:val="a"/>
    <w:link w:val="a5"/>
    <w:uiPriority w:val="99"/>
    <w:rsid w:val="00307A06"/>
    <w:pPr>
      <w:spacing w:before="120" w:after="0" w:line="240" w:lineRule="auto"/>
      <w:ind w:firstLine="709"/>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307A06"/>
    <w:rPr>
      <w:rFonts w:ascii="Times New Roman" w:eastAsia="Times New Roman" w:hAnsi="Times New Roman" w:cs="Times New Roman"/>
      <w:sz w:val="28"/>
      <w:szCs w:val="28"/>
      <w:lang w:val="uk-UA" w:eastAsia="ru-RU"/>
    </w:rPr>
  </w:style>
  <w:style w:type="paragraph" w:styleId="a6">
    <w:name w:val="Body Text"/>
    <w:basedOn w:val="a"/>
    <w:link w:val="a7"/>
    <w:uiPriority w:val="99"/>
    <w:rsid w:val="00307A06"/>
    <w:pPr>
      <w:spacing w:after="0" w:line="240" w:lineRule="auto"/>
      <w:jc w:val="both"/>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99"/>
    <w:rsid w:val="00307A06"/>
    <w:rPr>
      <w:rFonts w:ascii="Times New Roman" w:eastAsia="Times New Roman" w:hAnsi="Times New Roman" w:cs="Times New Roman"/>
      <w:sz w:val="28"/>
      <w:szCs w:val="28"/>
      <w:lang w:val="uk-UA" w:eastAsia="ru-RU"/>
    </w:rPr>
  </w:style>
  <w:style w:type="paragraph" w:styleId="21">
    <w:name w:val="Body Text 2"/>
    <w:basedOn w:val="a"/>
    <w:link w:val="22"/>
    <w:uiPriority w:val="99"/>
    <w:rsid w:val="00307A0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8"/>
      <w:lang w:eastAsia="ru-RU"/>
    </w:rPr>
  </w:style>
  <w:style w:type="character" w:customStyle="1" w:styleId="22">
    <w:name w:val="Основной текст 2 Знак"/>
    <w:basedOn w:val="a0"/>
    <w:link w:val="21"/>
    <w:uiPriority w:val="99"/>
    <w:rsid w:val="00307A06"/>
    <w:rPr>
      <w:rFonts w:ascii="Times New Roman" w:eastAsia="Times New Roman" w:hAnsi="Times New Roman" w:cs="Times New Roman"/>
      <w:sz w:val="28"/>
      <w:szCs w:val="28"/>
      <w:lang w:eastAsia="ru-RU"/>
    </w:rPr>
  </w:style>
  <w:style w:type="paragraph" w:styleId="3">
    <w:name w:val="Body Text Indent 3"/>
    <w:basedOn w:val="a"/>
    <w:link w:val="30"/>
    <w:uiPriority w:val="99"/>
    <w:rsid w:val="00307A06"/>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307A06"/>
    <w:rPr>
      <w:rFonts w:ascii="Times New Roman" w:eastAsia="Times New Roman" w:hAnsi="Times New Roman" w:cs="Times New Roman"/>
      <w:sz w:val="16"/>
      <w:szCs w:val="16"/>
      <w:lang w:val="uk-UA" w:eastAsia="ru-RU"/>
    </w:rPr>
  </w:style>
  <w:style w:type="character" w:styleId="a8">
    <w:name w:val="Hyperlink"/>
    <w:basedOn w:val="a0"/>
    <w:uiPriority w:val="99"/>
    <w:rsid w:val="00307A06"/>
    <w:rPr>
      <w:rFonts w:cs="Times New Roman"/>
      <w:color w:val="5F7050"/>
      <w:u w:val="none"/>
      <w:effect w:val="none"/>
    </w:rPr>
  </w:style>
  <w:style w:type="paragraph" w:styleId="a9">
    <w:name w:val="Normal (Web)"/>
    <w:basedOn w:val="a"/>
    <w:uiPriority w:val="99"/>
    <w:unhideWhenUsed/>
    <w:rsid w:val="00307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OC Heading"/>
    <w:basedOn w:val="1"/>
    <w:next w:val="a"/>
    <w:uiPriority w:val="39"/>
    <w:semiHidden/>
    <w:unhideWhenUsed/>
    <w:qFormat/>
    <w:rsid w:val="00307A06"/>
    <w:pPr>
      <w:outlineLvl w:val="9"/>
    </w:pPr>
  </w:style>
  <w:style w:type="paragraph" w:styleId="11">
    <w:name w:val="toc 1"/>
    <w:basedOn w:val="a"/>
    <w:next w:val="a"/>
    <w:autoRedefine/>
    <w:uiPriority w:val="39"/>
    <w:unhideWhenUsed/>
    <w:rsid w:val="00307A06"/>
    <w:pPr>
      <w:spacing w:after="100"/>
    </w:pPr>
  </w:style>
  <w:style w:type="paragraph" w:styleId="23">
    <w:name w:val="toc 2"/>
    <w:basedOn w:val="a"/>
    <w:next w:val="a"/>
    <w:autoRedefine/>
    <w:uiPriority w:val="39"/>
    <w:unhideWhenUsed/>
    <w:rsid w:val="00307A06"/>
    <w:pPr>
      <w:spacing w:after="100"/>
      <w:ind w:left="220"/>
    </w:pPr>
  </w:style>
  <w:style w:type="paragraph" w:styleId="ab">
    <w:name w:val="footer"/>
    <w:basedOn w:val="a"/>
    <w:link w:val="ac"/>
    <w:uiPriority w:val="99"/>
    <w:unhideWhenUsed/>
    <w:rsid w:val="00307A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7A06"/>
  </w:style>
  <w:style w:type="character" w:styleId="ad">
    <w:name w:val="Strong"/>
    <w:basedOn w:val="a0"/>
    <w:uiPriority w:val="22"/>
    <w:qFormat/>
    <w:rsid w:val="00307A06"/>
    <w:rPr>
      <w:b/>
      <w:bCs/>
    </w:rPr>
  </w:style>
  <w:style w:type="paragraph" w:customStyle="1" w:styleId="Style5">
    <w:name w:val="Style5"/>
    <w:basedOn w:val="a"/>
    <w:uiPriority w:val="99"/>
    <w:rsid w:val="00307A06"/>
    <w:pPr>
      <w:widowControl w:val="0"/>
      <w:autoSpaceDE w:val="0"/>
      <w:autoSpaceDN w:val="0"/>
      <w:adjustRightInd w:val="0"/>
      <w:spacing w:after="0" w:line="218" w:lineRule="exact"/>
      <w:ind w:firstLine="346"/>
      <w:jc w:val="both"/>
    </w:pPr>
    <w:rPr>
      <w:rFonts w:ascii="Arial Unicode MS" w:eastAsia="Arial Unicode MS" w:cs="Arial Unicode MS"/>
      <w:sz w:val="24"/>
      <w:szCs w:val="24"/>
      <w:lang w:eastAsia="ru-RU"/>
    </w:rPr>
  </w:style>
  <w:style w:type="character" w:customStyle="1" w:styleId="FontStyle11">
    <w:name w:val="Font Style11"/>
    <w:basedOn w:val="a0"/>
    <w:uiPriority w:val="99"/>
    <w:rsid w:val="00307A06"/>
    <w:rPr>
      <w:rFonts w:ascii="Times New Roman" w:hAnsi="Times New Roman" w:cs="Times New Roman"/>
      <w:sz w:val="20"/>
      <w:szCs w:val="20"/>
    </w:rPr>
  </w:style>
  <w:style w:type="character" w:customStyle="1" w:styleId="FontStyle15">
    <w:name w:val="Font Style15"/>
    <w:basedOn w:val="a0"/>
    <w:uiPriority w:val="99"/>
    <w:rsid w:val="00307A06"/>
    <w:rPr>
      <w:rFonts w:ascii="Times New Roman" w:hAnsi="Times New Roman" w:cs="Times New Roman"/>
      <w:b/>
      <w:bCs/>
      <w:sz w:val="18"/>
      <w:szCs w:val="18"/>
    </w:rPr>
  </w:style>
  <w:style w:type="paragraph" w:customStyle="1" w:styleId="Style1">
    <w:name w:val="Style1"/>
    <w:basedOn w:val="a"/>
    <w:uiPriority w:val="99"/>
    <w:rsid w:val="00307A06"/>
    <w:pPr>
      <w:widowControl w:val="0"/>
      <w:autoSpaceDE w:val="0"/>
      <w:autoSpaceDN w:val="0"/>
      <w:adjustRightInd w:val="0"/>
      <w:spacing w:after="0" w:line="240" w:lineRule="auto"/>
    </w:pPr>
    <w:rPr>
      <w:rFonts w:ascii="Arial Unicode MS" w:eastAsia="Arial Unicode MS" w:cs="Arial Unicode MS"/>
      <w:sz w:val="24"/>
      <w:szCs w:val="24"/>
      <w:lang w:eastAsia="ru-RU"/>
    </w:rPr>
  </w:style>
  <w:style w:type="paragraph" w:customStyle="1" w:styleId="Style2">
    <w:name w:val="Style2"/>
    <w:basedOn w:val="a"/>
    <w:uiPriority w:val="99"/>
    <w:rsid w:val="00307A06"/>
    <w:pPr>
      <w:widowControl w:val="0"/>
      <w:autoSpaceDE w:val="0"/>
      <w:autoSpaceDN w:val="0"/>
      <w:adjustRightInd w:val="0"/>
      <w:spacing w:after="0" w:line="240" w:lineRule="auto"/>
    </w:pPr>
    <w:rPr>
      <w:rFonts w:ascii="Arial Unicode MS" w:eastAsia="Arial Unicode MS" w:cs="Arial Unicode MS"/>
      <w:sz w:val="24"/>
      <w:szCs w:val="24"/>
      <w:lang w:eastAsia="ru-RU"/>
    </w:rPr>
  </w:style>
  <w:style w:type="paragraph" w:customStyle="1" w:styleId="Style3">
    <w:name w:val="Style3"/>
    <w:basedOn w:val="a"/>
    <w:uiPriority w:val="99"/>
    <w:rsid w:val="00307A06"/>
    <w:pPr>
      <w:widowControl w:val="0"/>
      <w:autoSpaceDE w:val="0"/>
      <w:autoSpaceDN w:val="0"/>
      <w:adjustRightInd w:val="0"/>
      <w:spacing w:after="0" w:line="234" w:lineRule="exact"/>
      <w:ind w:firstLine="283"/>
      <w:jc w:val="both"/>
    </w:pPr>
    <w:rPr>
      <w:rFonts w:ascii="Arial Unicode MS" w:eastAsia="Arial Unicode MS" w:cs="Arial Unicode MS"/>
      <w:sz w:val="24"/>
      <w:szCs w:val="24"/>
      <w:lang w:eastAsia="ru-RU"/>
    </w:rPr>
  </w:style>
  <w:style w:type="paragraph" w:customStyle="1" w:styleId="Style4">
    <w:name w:val="Style4"/>
    <w:basedOn w:val="a"/>
    <w:uiPriority w:val="99"/>
    <w:rsid w:val="00307A06"/>
    <w:pPr>
      <w:widowControl w:val="0"/>
      <w:autoSpaceDE w:val="0"/>
      <w:autoSpaceDN w:val="0"/>
      <w:adjustRightInd w:val="0"/>
      <w:spacing w:after="0" w:line="211" w:lineRule="exact"/>
      <w:ind w:firstLine="346"/>
      <w:jc w:val="both"/>
    </w:pPr>
    <w:rPr>
      <w:rFonts w:ascii="Arial Unicode MS" w:eastAsia="Arial Unicode MS" w:cs="Arial Unicode MS"/>
      <w:sz w:val="24"/>
      <w:szCs w:val="24"/>
      <w:lang w:eastAsia="ru-RU"/>
    </w:rPr>
  </w:style>
  <w:style w:type="character" w:customStyle="1" w:styleId="FontStyle12">
    <w:name w:val="Font Style12"/>
    <w:basedOn w:val="a0"/>
    <w:uiPriority w:val="99"/>
    <w:rsid w:val="00307A06"/>
    <w:rPr>
      <w:rFonts w:ascii="Times New Roman" w:hAnsi="Times New Roman" w:cs="Times New Roman"/>
      <w:b/>
      <w:bCs/>
      <w:sz w:val="24"/>
      <w:szCs w:val="24"/>
    </w:rPr>
  </w:style>
  <w:style w:type="character" w:customStyle="1" w:styleId="FontStyle13">
    <w:name w:val="Font Style13"/>
    <w:basedOn w:val="a0"/>
    <w:uiPriority w:val="99"/>
    <w:rsid w:val="00307A06"/>
    <w:rPr>
      <w:rFonts w:ascii="Times New Roman" w:hAnsi="Times New Roman" w:cs="Times New Roman"/>
      <w:b/>
      <w:bCs/>
      <w:i/>
      <w:iCs/>
      <w:sz w:val="20"/>
      <w:szCs w:val="20"/>
    </w:rPr>
  </w:style>
  <w:style w:type="character" w:customStyle="1" w:styleId="FontStyle14">
    <w:name w:val="Font Style14"/>
    <w:basedOn w:val="a0"/>
    <w:uiPriority w:val="99"/>
    <w:rsid w:val="00307A06"/>
    <w:rPr>
      <w:rFonts w:ascii="Times New Roman" w:hAnsi="Times New Roman" w:cs="Times New Roman"/>
      <w:i/>
      <w:iCs/>
      <w:sz w:val="20"/>
      <w:szCs w:val="20"/>
    </w:rPr>
  </w:style>
  <w:style w:type="character" w:customStyle="1" w:styleId="FontStyle17">
    <w:name w:val="Font Style17"/>
    <w:basedOn w:val="a0"/>
    <w:uiPriority w:val="99"/>
    <w:rsid w:val="00307A06"/>
    <w:rPr>
      <w:rFonts w:ascii="Arial Unicode MS" w:eastAsia="Arial Unicode MS" w:cs="Arial Unicode MS"/>
      <w:sz w:val="18"/>
      <w:szCs w:val="18"/>
    </w:rPr>
  </w:style>
  <w:style w:type="paragraph" w:customStyle="1" w:styleId="Style29">
    <w:name w:val="Style29"/>
    <w:basedOn w:val="a"/>
    <w:uiPriority w:val="99"/>
    <w:rsid w:val="00307A06"/>
    <w:pPr>
      <w:widowControl w:val="0"/>
      <w:autoSpaceDE w:val="0"/>
      <w:autoSpaceDN w:val="0"/>
      <w:adjustRightInd w:val="0"/>
      <w:spacing w:after="0" w:line="247" w:lineRule="exact"/>
      <w:ind w:firstLine="283"/>
      <w:jc w:val="both"/>
    </w:pPr>
    <w:rPr>
      <w:rFonts w:ascii="Bookman Old Style" w:hAnsi="Bookman Old Style"/>
      <w:sz w:val="24"/>
      <w:szCs w:val="24"/>
      <w:lang w:eastAsia="ru-RU"/>
    </w:rPr>
  </w:style>
  <w:style w:type="character" w:customStyle="1" w:styleId="FontStyle105">
    <w:name w:val="Font Style105"/>
    <w:basedOn w:val="a0"/>
    <w:uiPriority w:val="99"/>
    <w:rsid w:val="00307A06"/>
    <w:rPr>
      <w:rFonts w:ascii="Bookman Old Style" w:hAnsi="Bookman Old Style" w:cs="Bookman Old Style"/>
      <w:b/>
      <w:bCs/>
      <w:i/>
      <w:iCs/>
      <w:sz w:val="18"/>
      <w:szCs w:val="18"/>
    </w:rPr>
  </w:style>
  <w:style w:type="character" w:customStyle="1" w:styleId="FontStyle106">
    <w:name w:val="Font Style106"/>
    <w:basedOn w:val="a0"/>
    <w:uiPriority w:val="99"/>
    <w:rsid w:val="00307A06"/>
    <w:rPr>
      <w:rFonts w:ascii="Bookman Old Style" w:hAnsi="Bookman Old Style" w:cs="Bookman Old Style"/>
      <w:sz w:val="18"/>
      <w:szCs w:val="18"/>
    </w:rPr>
  </w:style>
  <w:style w:type="table" w:styleId="ae">
    <w:name w:val="Table Grid"/>
    <w:basedOn w:val="a1"/>
    <w:uiPriority w:val="59"/>
    <w:rsid w:val="00307A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Balloon Text"/>
    <w:basedOn w:val="a"/>
    <w:link w:val="af0"/>
    <w:uiPriority w:val="99"/>
    <w:semiHidden/>
    <w:unhideWhenUsed/>
    <w:rsid w:val="00307A0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07A06"/>
    <w:rPr>
      <w:rFonts w:ascii="Tahoma" w:hAnsi="Tahoma" w:cs="Tahoma"/>
      <w:sz w:val="16"/>
      <w:szCs w:val="16"/>
    </w:rPr>
  </w:style>
  <w:style w:type="paragraph" w:styleId="af1">
    <w:name w:val="Title"/>
    <w:basedOn w:val="a"/>
    <w:link w:val="af2"/>
    <w:uiPriority w:val="10"/>
    <w:qFormat/>
    <w:rsid w:val="00307A06"/>
    <w:pPr>
      <w:spacing w:after="0" w:line="240" w:lineRule="auto"/>
      <w:jc w:val="center"/>
    </w:pPr>
    <w:rPr>
      <w:rFonts w:ascii="Times New Roman" w:eastAsia="Times New Roman" w:hAnsi="Times New Roman" w:cs="Times New Roman"/>
      <w:b/>
      <w:spacing w:val="50"/>
      <w:sz w:val="28"/>
      <w:szCs w:val="20"/>
      <w:lang w:eastAsia="ru-RU"/>
    </w:rPr>
  </w:style>
  <w:style w:type="character" w:customStyle="1" w:styleId="af2">
    <w:name w:val="Название Знак"/>
    <w:basedOn w:val="a0"/>
    <w:link w:val="af1"/>
    <w:uiPriority w:val="10"/>
    <w:rsid w:val="00307A06"/>
    <w:rPr>
      <w:rFonts w:ascii="Times New Roman" w:eastAsia="Times New Roman" w:hAnsi="Times New Roman" w:cs="Times New Roman"/>
      <w:b/>
      <w:spacing w:val="50"/>
      <w:sz w:val="28"/>
      <w:szCs w:val="20"/>
      <w:lang w:eastAsia="ru-RU"/>
    </w:rPr>
  </w:style>
  <w:style w:type="paragraph" w:styleId="HTML">
    <w:name w:val="HTML Preformatted"/>
    <w:basedOn w:val="a"/>
    <w:link w:val="HTML0"/>
    <w:uiPriority w:val="99"/>
    <w:semiHidden/>
    <w:unhideWhenUsed/>
    <w:rsid w:val="0030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7A06"/>
    <w:rPr>
      <w:rFonts w:ascii="Courier New" w:eastAsia="Times New Roman" w:hAnsi="Courier New" w:cs="Courier New"/>
      <w:sz w:val="20"/>
      <w:szCs w:val="20"/>
      <w:lang w:eastAsia="ru-RU"/>
    </w:rPr>
  </w:style>
  <w:style w:type="paragraph" w:styleId="af3">
    <w:name w:val="header"/>
    <w:basedOn w:val="a"/>
    <w:link w:val="af4"/>
    <w:uiPriority w:val="99"/>
    <w:semiHidden/>
    <w:unhideWhenUsed/>
    <w:rsid w:val="00E37001"/>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E37001"/>
  </w:style>
  <w:style w:type="character" w:customStyle="1" w:styleId="20">
    <w:name w:val="Заголовок 2 Знак"/>
    <w:basedOn w:val="a0"/>
    <w:link w:val="2"/>
    <w:uiPriority w:val="9"/>
    <w:semiHidden/>
    <w:rsid w:val="00A17EED"/>
    <w:rPr>
      <w:rFonts w:asciiTheme="majorHAnsi" w:eastAsiaTheme="majorEastAsia" w:hAnsiTheme="majorHAnsi" w:cstheme="majorBidi"/>
      <w:b/>
      <w:bCs/>
      <w:color w:val="4F81BD" w:themeColor="accent1"/>
      <w:sz w:val="26"/>
      <w:szCs w:val="26"/>
    </w:rPr>
  </w:style>
  <w:style w:type="character" w:styleId="af5">
    <w:name w:val="FollowedHyperlink"/>
    <w:basedOn w:val="a0"/>
    <w:uiPriority w:val="99"/>
    <w:semiHidden/>
    <w:unhideWhenUsed/>
    <w:rsid w:val="00B63C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7A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17E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307A0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uiPriority w:val="99"/>
    <w:qFormat/>
    <w:rsid w:val="00307A06"/>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A0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9"/>
    <w:rsid w:val="00307A06"/>
    <w:rPr>
      <w:rFonts w:ascii="Times New Roman" w:eastAsia="Times New Roman" w:hAnsi="Times New Roman" w:cs="Times New Roman"/>
      <w:b/>
      <w:bCs/>
      <w:sz w:val="28"/>
      <w:szCs w:val="28"/>
      <w:lang w:val="uk-UA" w:eastAsia="ru-RU"/>
    </w:rPr>
  </w:style>
  <w:style w:type="character" w:customStyle="1" w:styleId="60">
    <w:name w:val="Заголовок 6 Знак"/>
    <w:basedOn w:val="a0"/>
    <w:link w:val="6"/>
    <w:uiPriority w:val="99"/>
    <w:rsid w:val="00307A06"/>
    <w:rPr>
      <w:rFonts w:ascii="Times New Roman" w:eastAsia="Times New Roman" w:hAnsi="Times New Roman" w:cs="Times New Roman"/>
      <w:b/>
      <w:bCs/>
      <w:lang w:val="uk-UA" w:eastAsia="ru-RU"/>
    </w:rPr>
  </w:style>
  <w:style w:type="paragraph" w:styleId="a3">
    <w:name w:val="List Paragraph"/>
    <w:basedOn w:val="a"/>
    <w:uiPriority w:val="34"/>
    <w:qFormat/>
    <w:rsid w:val="00307A06"/>
    <w:pPr>
      <w:ind w:left="720"/>
      <w:contextualSpacing/>
    </w:pPr>
  </w:style>
  <w:style w:type="paragraph" w:styleId="a4">
    <w:name w:val="Body Text Indent"/>
    <w:basedOn w:val="a"/>
    <w:link w:val="a5"/>
    <w:uiPriority w:val="99"/>
    <w:rsid w:val="00307A06"/>
    <w:pPr>
      <w:spacing w:before="120" w:after="0" w:line="240" w:lineRule="auto"/>
      <w:ind w:firstLine="709"/>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307A06"/>
    <w:rPr>
      <w:rFonts w:ascii="Times New Roman" w:eastAsia="Times New Roman" w:hAnsi="Times New Roman" w:cs="Times New Roman"/>
      <w:sz w:val="28"/>
      <w:szCs w:val="28"/>
      <w:lang w:val="uk-UA" w:eastAsia="ru-RU"/>
    </w:rPr>
  </w:style>
  <w:style w:type="paragraph" w:styleId="a6">
    <w:name w:val="Body Text"/>
    <w:basedOn w:val="a"/>
    <w:link w:val="a7"/>
    <w:uiPriority w:val="99"/>
    <w:rsid w:val="00307A06"/>
    <w:pPr>
      <w:spacing w:after="0" w:line="240" w:lineRule="auto"/>
      <w:jc w:val="both"/>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99"/>
    <w:rsid w:val="00307A06"/>
    <w:rPr>
      <w:rFonts w:ascii="Times New Roman" w:eastAsia="Times New Roman" w:hAnsi="Times New Roman" w:cs="Times New Roman"/>
      <w:sz w:val="28"/>
      <w:szCs w:val="28"/>
      <w:lang w:val="uk-UA" w:eastAsia="ru-RU"/>
    </w:rPr>
  </w:style>
  <w:style w:type="paragraph" w:styleId="21">
    <w:name w:val="Body Text 2"/>
    <w:basedOn w:val="a"/>
    <w:link w:val="22"/>
    <w:uiPriority w:val="99"/>
    <w:rsid w:val="00307A0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8"/>
      <w:lang w:eastAsia="ru-RU"/>
    </w:rPr>
  </w:style>
  <w:style w:type="character" w:customStyle="1" w:styleId="22">
    <w:name w:val="Основной текст 2 Знак"/>
    <w:basedOn w:val="a0"/>
    <w:link w:val="21"/>
    <w:uiPriority w:val="99"/>
    <w:rsid w:val="00307A06"/>
    <w:rPr>
      <w:rFonts w:ascii="Times New Roman" w:eastAsia="Times New Roman" w:hAnsi="Times New Roman" w:cs="Times New Roman"/>
      <w:sz w:val="28"/>
      <w:szCs w:val="28"/>
      <w:lang w:eastAsia="ru-RU"/>
    </w:rPr>
  </w:style>
  <w:style w:type="paragraph" w:styleId="3">
    <w:name w:val="Body Text Indent 3"/>
    <w:basedOn w:val="a"/>
    <w:link w:val="30"/>
    <w:uiPriority w:val="99"/>
    <w:rsid w:val="00307A06"/>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307A06"/>
    <w:rPr>
      <w:rFonts w:ascii="Times New Roman" w:eastAsia="Times New Roman" w:hAnsi="Times New Roman" w:cs="Times New Roman"/>
      <w:sz w:val="16"/>
      <w:szCs w:val="16"/>
      <w:lang w:val="uk-UA" w:eastAsia="ru-RU"/>
    </w:rPr>
  </w:style>
  <w:style w:type="character" w:styleId="a8">
    <w:name w:val="Hyperlink"/>
    <w:basedOn w:val="a0"/>
    <w:uiPriority w:val="99"/>
    <w:rsid w:val="00307A06"/>
    <w:rPr>
      <w:rFonts w:cs="Times New Roman"/>
      <w:color w:val="5F7050"/>
      <w:u w:val="none"/>
      <w:effect w:val="none"/>
    </w:rPr>
  </w:style>
  <w:style w:type="paragraph" w:styleId="a9">
    <w:name w:val="Normal (Web)"/>
    <w:basedOn w:val="a"/>
    <w:uiPriority w:val="99"/>
    <w:unhideWhenUsed/>
    <w:rsid w:val="00307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OC Heading"/>
    <w:basedOn w:val="1"/>
    <w:next w:val="a"/>
    <w:uiPriority w:val="39"/>
    <w:semiHidden/>
    <w:unhideWhenUsed/>
    <w:qFormat/>
    <w:rsid w:val="00307A06"/>
    <w:pPr>
      <w:outlineLvl w:val="9"/>
    </w:pPr>
  </w:style>
  <w:style w:type="paragraph" w:styleId="11">
    <w:name w:val="toc 1"/>
    <w:basedOn w:val="a"/>
    <w:next w:val="a"/>
    <w:autoRedefine/>
    <w:uiPriority w:val="39"/>
    <w:unhideWhenUsed/>
    <w:rsid w:val="00307A06"/>
    <w:pPr>
      <w:spacing w:after="100"/>
    </w:pPr>
  </w:style>
  <w:style w:type="paragraph" w:styleId="23">
    <w:name w:val="toc 2"/>
    <w:basedOn w:val="a"/>
    <w:next w:val="a"/>
    <w:autoRedefine/>
    <w:uiPriority w:val="39"/>
    <w:unhideWhenUsed/>
    <w:rsid w:val="00307A06"/>
    <w:pPr>
      <w:spacing w:after="100"/>
      <w:ind w:left="220"/>
    </w:pPr>
  </w:style>
  <w:style w:type="paragraph" w:styleId="ab">
    <w:name w:val="footer"/>
    <w:basedOn w:val="a"/>
    <w:link w:val="ac"/>
    <w:uiPriority w:val="99"/>
    <w:unhideWhenUsed/>
    <w:rsid w:val="00307A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7A06"/>
  </w:style>
  <w:style w:type="character" w:styleId="ad">
    <w:name w:val="Strong"/>
    <w:basedOn w:val="a0"/>
    <w:uiPriority w:val="22"/>
    <w:qFormat/>
    <w:rsid w:val="00307A06"/>
    <w:rPr>
      <w:b/>
      <w:bCs/>
    </w:rPr>
  </w:style>
  <w:style w:type="paragraph" w:customStyle="1" w:styleId="Style5">
    <w:name w:val="Style5"/>
    <w:basedOn w:val="a"/>
    <w:uiPriority w:val="99"/>
    <w:rsid w:val="00307A06"/>
    <w:pPr>
      <w:widowControl w:val="0"/>
      <w:autoSpaceDE w:val="0"/>
      <w:autoSpaceDN w:val="0"/>
      <w:adjustRightInd w:val="0"/>
      <w:spacing w:after="0" w:line="218" w:lineRule="exact"/>
      <w:ind w:firstLine="346"/>
      <w:jc w:val="both"/>
    </w:pPr>
    <w:rPr>
      <w:rFonts w:ascii="Arial Unicode MS" w:eastAsia="Arial Unicode MS" w:cs="Arial Unicode MS"/>
      <w:sz w:val="24"/>
      <w:szCs w:val="24"/>
      <w:lang w:eastAsia="ru-RU"/>
    </w:rPr>
  </w:style>
  <w:style w:type="character" w:customStyle="1" w:styleId="FontStyle11">
    <w:name w:val="Font Style11"/>
    <w:basedOn w:val="a0"/>
    <w:uiPriority w:val="99"/>
    <w:rsid w:val="00307A06"/>
    <w:rPr>
      <w:rFonts w:ascii="Times New Roman" w:hAnsi="Times New Roman" w:cs="Times New Roman"/>
      <w:sz w:val="20"/>
      <w:szCs w:val="20"/>
    </w:rPr>
  </w:style>
  <w:style w:type="character" w:customStyle="1" w:styleId="FontStyle15">
    <w:name w:val="Font Style15"/>
    <w:basedOn w:val="a0"/>
    <w:uiPriority w:val="99"/>
    <w:rsid w:val="00307A06"/>
    <w:rPr>
      <w:rFonts w:ascii="Times New Roman" w:hAnsi="Times New Roman" w:cs="Times New Roman"/>
      <w:b/>
      <w:bCs/>
      <w:sz w:val="18"/>
      <w:szCs w:val="18"/>
    </w:rPr>
  </w:style>
  <w:style w:type="paragraph" w:customStyle="1" w:styleId="Style1">
    <w:name w:val="Style1"/>
    <w:basedOn w:val="a"/>
    <w:uiPriority w:val="99"/>
    <w:rsid w:val="00307A06"/>
    <w:pPr>
      <w:widowControl w:val="0"/>
      <w:autoSpaceDE w:val="0"/>
      <w:autoSpaceDN w:val="0"/>
      <w:adjustRightInd w:val="0"/>
      <w:spacing w:after="0" w:line="240" w:lineRule="auto"/>
    </w:pPr>
    <w:rPr>
      <w:rFonts w:ascii="Arial Unicode MS" w:eastAsia="Arial Unicode MS" w:cs="Arial Unicode MS"/>
      <w:sz w:val="24"/>
      <w:szCs w:val="24"/>
      <w:lang w:eastAsia="ru-RU"/>
    </w:rPr>
  </w:style>
  <w:style w:type="paragraph" w:customStyle="1" w:styleId="Style2">
    <w:name w:val="Style2"/>
    <w:basedOn w:val="a"/>
    <w:uiPriority w:val="99"/>
    <w:rsid w:val="00307A06"/>
    <w:pPr>
      <w:widowControl w:val="0"/>
      <w:autoSpaceDE w:val="0"/>
      <w:autoSpaceDN w:val="0"/>
      <w:adjustRightInd w:val="0"/>
      <w:spacing w:after="0" w:line="240" w:lineRule="auto"/>
    </w:pPr>
    <w:rPr>
      <w:rFonts w:ascii="Arial Unicode MS" w:eastAsia="Arial Unicode MS" w:cs="Arial Unicode MS"/>
      <w:sz w:val="24"/>
      <w:szCs w:val="24"/>
      <w:lang w:eastAsia="ru-RU"/>
    </w:rPr>
  </w:style>
  <w:style w:type="paragraph" w:customStyle="1" w:styleId="Style3">
    <w:name w:val="Style3"/>
    <w:basedOn w:val="a"/>
    <w:uiPriority w:val="99"/>
    <w:rsid w:val="00307A06"/>
    <w:pPr>
      <w:widowControl w:val="0"/>
      <w:autoSpaceDE w:val="0"/>
      <w:autoSpaceDN w:val="0"/>
      <w:adjustRightInd w:val="0"/>
      <w:spacing w:after="0" w:line="234" w:lineRule="exact"/>
      <w:ind w:firstLine="283"/>
      <w:jc w:val="both"/>
    </w:pPr>
    <w:rPr>
      <w:rFonts w:ascii="Arial Unicode MS" w:eastAsia="Arial Unicode MS" w:cs="Arial Unicode MS"/>
      <w:sz w:val="24"/>
      <w:szCs w:val="24"/>
      <w:lang w:eastAsia="ru-RU"/>
    </w:rPr>
  </w:style>
  <w:style w:type="paragraph" w:customStyle="1" w:styleId="Style4">
    <w:name w:val="Style4"/>
    <w:basedOn w:val="a"/>
    <w:uiPriority w:val="99"/>
    <w:rsid w:val="00307A06"/>
    <w:pPr>
      <w:widowControl w:val="0"/>
      <w:autoSpaceDE w:val="0"/>
      <w:autoSpaceDN w:val="0"/>
      <w:adjustRightInd w:val="0"/>
      <w:spacing w:after="0" w:line="211" w:lineRule="exact"/>
      <w:ind w:firstLine="346"/>
      <w:jc w:val="both"/>
    </w:pPr>
    <w:rPr>
      <w:rFonts w:ascii="Arial Unicode MS" w:eastAsia="Arial Unicode MS" w:cs="Arial Unicode MS"/>
      <w:sz w:val="24"/>
      <w:szCs w:val="24"/>
      <w:lang w:eastAsia="ru-RU"/>
    </w:rPr>
  </w:style>
  <w:style w:type="character" w:customStyle="1" w:styleId="FontStyle12">
    <w:name w:val="Font Style12"/>
    <w:basedOn w:val="a0"/>
    <w:uiPriority w:val="99"/>
    <w:rsid w:val="00307A06"/>
    <w:rPr>
      <w:rFonts w:ascii="Times New Roman" w:hAnsi="Times New Roman" w:cs="Times New Roman"/>
      <w:b/>
      <w:bCs/>
      <w:sz w:val="24"/>
      <w:szCs w:val="24"/>
    </w:rPr>
  </w:style>
  <w:style w:type="character" w:customStyle="1" w:styleId="FontStyle13">
    <w:name w:val="Font Style13"/>
    <w:basedOn w:val="a0"/>
    <w:uiPriority w:val="99"/>
    <w:rsid w:val="00307A06"/>
    <w:rPr>
      <w:rFonts w:ascii="Times New Roman" w:hAnsi="Times New Roman" w:cs="Times New Roman"/>
      <w:b/>
      <w:bCs/>
      <w:i/>
      <w:iCs/>
      <w:sz w:val="20"/>
      <w:szCs w:val="20"/>
    </w:rPr>
  </w:style>
  <w:style w:type="character" w:customStyle="1" w:styleId="FontStyle14">
    <w:name w:val="Font Style14"/>
    <w:basedOn w:val="a0"/>
    <w:uiPriority w:val="99"/>
    <w:rsid w:val="00307A06"/>
    <w:rPr>
      <w:rFonts w:ascii="Times New Roman" w:hAnsi="Times New Roman" w:cs="Times New Roman"/>
      <w:i/>
      <w:iCs/>
      <w:sz w:val="20"/>
      <w:szCs w:val="20"/>
    </w:rPr>
  </w:style>
  <w:style w:type="character" w:customStyle="1" w:styleId="FontStyle17">
    <w:name w:val="Font Style17"/>
    <w:basedOn w:val="a0"/>
    <w:uiPriority w:val="99"/>
    <w:rsid w:val="00307A06"/>
    <w:rPr>
      <w:rFonts w:ascii="Arial Unicode MS" w:eastAsia="Arial Unicode MS" w:cs="Arial Unicode MS"/>
      <w:sz w:val="18"/>
      <w:szCs w:val="18"/>
    </w:rPr>
  </w:style>
  <w:style w:type="paragraph" w:customStyle="1" w:styleId="Style29">
    <w:name w:val="Style29"/>
    <w:basedOn w:val="a"/>
    <w:uiPriority w:val="99"/>
    <w:rsid w:val="00307A06"/>
    <w:pPr>
      <w:widowControl w:val="0"/>
      <w:autoSpaceDE w:val="0"/>
      <w:autoSpaceDN w:val="0"/>
      <w:adjustRightInd w:val="0"/>
      <w:spacing w:after="0" w:line="247" w:lineRule="exact"/>
      <w:ind w:firstLine="283"/>
      <w:jc w:val="both"/>
    </w:pPr>
    <w:rPr>
      <w:rFonts w:ascii="Bookman Old Style" w:hAnsi="Bookman Old Style"/>
      <w:sz w:val="24"/>
      <w:szCs w:val="24"/>
      <w:lang w:eastAsia="ru-RU"/>
    </w:rPr>
  </w:style>
  <w:style w:type="character" w:customStyle="1" w:styleId="FontStyle105">
    <w:name w:val="Font Style105"/>
    <w:basedOn w:val="a0"/>
    <w:uiPriority w:val="99"/>
    <w:rsid w:val="00307A06"/>
    <w:rPr>
      <w:rFonts w:ascii="Bookman Old Style" w:hAnsi="Bookman Old Style" w:cs="Bookman Old Style"/>
      <w:b/>
      <w:bCs/>
      <w:i/>
      <w:iCs/>
      <w:sz w:val="18"/>
      <w:szCs w:val="18"/>
    </w:rPr>
  </w:style>
  <w:style w:type="character" w:customStyle="1" w:styleId="FontStyle106">
    <w:name w:val="Font Style106"/>
    <w:basedOn w:val="a0"/>
    <w:uiPriority w:val="99"/>
    <w:rsid w:val="00307A06"/>
    <w:rPr>
      <w:rFonts w:ascii="Bookman Old Style" w:hAnsi="Bookman Old Style" w:cs="Bookman Old Style"/>
      <w:sz w:val="18"/>
      <w:szCs w:val="18"/>
    </w:rPr>
  </w:style>
  <w:style w:type="table" w:styleId="ae">
    <w:name w:val="Table Grid"/>
    <w:basedOn w:val="a1"/>
    <w:uiPriority w:val="59"/>
    <w:rsid w:val="00307A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Balloon Text"/>
    <w:basedOn w:val="a"/>
    <w:link w:val="af0"/>
    <w:uiPriority w:val="99"/>
    <w:semiHidden/>
    <w:unhideWhenUsed/>
    <w:rsid w:val="00307A0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07A06"/>
    <w:rPr>
      <w:rFonts w:ascii="Tahoma" w:hAnsi="Tahoma" w:cs="Tahoma"/>
      <w:sz w:val="16"/>
      <w:szCs w:val="16"/>
    </w:rPr>
  </w:style>
  <w:style w:type="paragraph" w:styleId="af1">
    <w:name w:val="Title"/>
    <w:basedOn w:val="a"/>
    <w:link w:val="af2"/>
    <w:uiPriority w:val="10"/>
    <w:qFormat/>
    <w:rsid w:val="00307A06"/>
    <w:pPr>
      <w:spacing w:after="0" w:line="240" w:lineRule="auto"/>
      <w:jc w:val="center"/>
    </w:pPr>
    <w:rPr>
      <w:rFonts w:ascii="Times New Roman" w:eastAsia="Times New Roman" w:hAnsi="Times New Roman" w:cs="Times New Roman"/>
      <w:b/>
      <w:spacing w:val="50"/>
      <w:sz w:val="28"/>
      <w:szCs w:val="20"/>
      <w:lang w:eastAsia="ru-RU"/>
    </w:rPr>
  </w:style>
  <w:style w:type="character" w:customStyle="1" w:styleId="af2">
    <w:name w:val="Название Знак"/>
    <w:basedOn w:val="a0"/>
    <w:link w:val="af1"/>
    <w:uiPriority w:val="10"/>
    <w:rsid w:val="00307A06"/>
    <w:rPr>
      <w:rFonts w:ascii="Times New Roman" w:eastAsia="Times New Roman" w:hAnsi="Times New Roman" w:cs="Times New Roman"/>
      <w:b/>
      <w:spacing w:val="50"/>
      <w:sz w:val="28"/>
      <w:szCs w:val="20"/>
      <w:lang w:eastAsia="ru-RU"/>
    </w:rPr>
  </w:style>
  <w:style w:type="paragraph" w:styleId="HTML">
    <w:name w:val="HTML Preformatted"/>
    <w:basedOn w:val="a"/>
    <w:link w:val="HTML0"/>
    <w:uiPriority w:val="99"/>
    <w:semiHidden/>
    <w:unhideWhenUsed/>
    <w:rsid w:val="00307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07A06"/>
    <w:rPr>
      <w:rFonts w:ascii="Courier New" w:eastAsia="Times New Roman" w:hAnsi="Courier New" w:cs="Courier New"/>
      <w:sz w:val="20"/>
      <w:szCs w:val="20"/>
      <w:lang w:eastAsia="ru-RU"/>
    </w:rPr>
  </w:style>
  <w:style w:type="paragraph" w:styleId="af3">
    <w:name w:val="header"/>
    <w:basedOn w:val="a"/>
    <w:link w:val="af4"/>
    <w:uiPriority w:val="99"/>
    <w:semiHidden/>
    <w:unhideWhenUsed/>
    <w:rsid w:val="00E37001"/>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E37001"/>
  </w:style>
  <w:style w:type="character" w:customStyle="1" w:styleId="20">
    <w:name w:val="Заголовок 2 Знак"/>
    <w:basedOn w:val="a0"/>
    <w:link w:val="2"/>
    <w:uiPriority w:val="9"/>
    <w:semiHidden/>
    <w:rsid w:val="00A17EED"/>
    <w:rPr>
      <w:rFonts w:asciiTheme="majorHAnsi" w:eastAsiaTheme="majorEastAsia" w:hAnsiTheme="majorHAnsi" w:cstheme="majorBidi"/>
      <w:b/>
      <w:bCs/>
      <w:color w:val="4F81BD" w:themeColor="accent1"/>
      <w:sz w:val="26"/>
      <w:szCs w:val="26"/>
    </w:rPr>
  </w:style>
  <w:style w:type="character" w:styleId="af5">
    <w:name w:val="FollowedHyperlink"/>
    <w:basedOn w:val="a0"/>
    <w:uiPriority w:val="99"/>
    <w:semiHidden/>
    <w:unhideWhenUsed/>
    <w:rsid w:val="00B63C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footer" Target="footer3.xml"/><Relationship Id="rId26" Type="http://schemas.openxmlformats.org/officeDocument/2006/relationships/hyperlink" Target="http://www.ukrstat.gov.ua/" TargetMode="External"/><Relationship Id="rId21" Type="http://schemas.openxmlformats.org/officeDocument/2006/relationships/hyperlink" Target="http://investycii.org/" TargetMode="External"/><Relationship Id="rId34" Type="http://schemas.openxmlformats.org/officeDocument/2006/relationships/hyperlink" Target="http://www.rainbow.gov.ua"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hyperlink" Target="http://www.epravda.com.ua/" TargetMode="External"/><Relationship Id="rId33" Type="http://schemas.openxmlformats.org/officeDocument/2006/relationships/hyperlink" Target="http://www.me.gov.u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ii-bank.com.ua/" TargetMode="External"/><Relationship Id="rId29" Type="http://schemas.openxmlformats.org/officeDocument/2006/relationships/hyperlink" Target="http://www.federalreserv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www.bank.gov.ua" TargetMode="External"/><Relationship Id="rId32" Type="http://schemas.openxmlformats.org/officeDocument/2006/relationships/hyperlink" Target="http://www.kmu.gov.ua"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politikan.com.ua/" TargetMode="External"/><Relationship Id="rId28" Type="http://schemas.openxmlformats.org/officeDocument/2006/relationships/hyperlink" Target="http://www.news.finance.ua" TargetMode="External"/><Relationship Id="rId36" Type="http://schemas.openxmlformats.org/officeDocument/2006/relationships/hyperlink" Target="http://www.wikipedia.org" TargetMode="External"/><Relationship Id="rId10" Type="http://schemas.openxmlformats.org/officeDocument/2006/relationships/chart" Target="charts/chart1.xml"/><Relationship Id="rId19" Type="http://schemas.openxmlformats.org/officeDocument/2006/relationships/hyperlink" Target="http://banker.ua/" TargetMode="External"/><Relationship Id="rId31" Type="http://schemas.openxmlformats.org/officeDocument/2006/relationships/hyperlink" Target="http://www.interfax.kiev.ua"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old.niss.gov.ua/" TargetMode="External"/><Relationship Id="rId27" Type="http://schemas.openxmlformats.org/officeDocument/2006/relationships/hyperlink" Target="http://www.nbuv.gov.ua" TargetMode="External"/><Relationship Id="rId30" Type="http://schemas.openxmlformats.org/officeDocument/2006/relationships/hyperlink" Target="http://www.fitchratings.com" TargetMode="External"/><Relationship Id="rId35" Type="http://schemas.openxmlformats.org/officeDocument/2006/relationships/hyperlink" Target="http://www.ubr.ua" TargetMode="External"/><Relationship Id="rId8" Type="http://schemas.openxmlformats.org/officeDocument/2006/relationships/endnotes" Target="endnotes.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8"/>
      <c:rotY val="20"/>
      <c:depthPercent val="100"/>
      <c:rAngAx val="1"/>
    </c:view3D>
    <c:floor>
      <c:thickness val="0"/>
      <c:spPr>
        <a:no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7.4211502782931371E-2"/>
          <c:y val="4.3478260869565223E-2"/>
          <c:w val="0.66604823747681086"/>
          <c:h val="0.78743961352657144"/>
        </c:manualLayout>
      </c:layout>
      <c:bar3DChart>
        <c:barDir val="col"/>
        <c:grouping val="standard"/>
        <c:varyColors val="0"/>
        <c:ser>
          <c:idx val="1"/>
          <c:order val="0"/>
          <c:tx>
            <c:strRef>
              <c:f>Sheet1!$A$2</c:f>
              <c:strCache>
                <c:ptCount val="1"/>
                <c:pt idx="0">
                  <c:v>Власні кошти Банку</c:v>
                </c:pt>
              </c:strCache>
            </c:strRef>
          </c:tx>
          <c:spPr>
            <a:solidFill>
              <a:srgbClr val="FFFFCC"/>
            </a:solidFill>
            <a:ln w="9525">
              <a:solidFill>
                <a:srgbClr val="000000"/>
              </a:solidFill>
              <a:prstDash val="solid"/>
            </a:ln>
          </c:spPr>
          <c:invertIfNegative val="0"/>
          <c:dLbls>
            <c:dLbl>
              <c:idx val="0"/>
              <c:layout>
                <c:manualLayout>
                  <c:x val="5.603338316901961E-2"/>
                  <c:y val="1.9172559751716934E-2"/>
                </c:manualLayout>
              </c:layout>
              <c:showLegendKey val="0"/>
              <c:showVal val="1"/>
              <c:showCatName val="0"/>
              <c:showSerName val="0"/>
              <c:showPercent val="0"/>
              <c:showBubbleSize val="0"/>
            </c:dLbl>
            <c:dLbl>
              <c:idx val="1"/>
              <c:layout>
                <c:manualLayout>
                  <c:x val="-2.8676755534861081E-2"/>
                  <c:y val="3.0717396321725612E-2"/>
                </c:manualLayout>
              </c:layout>
              <c:showLegendKey val="0"/>
              <c:showVal val="1"/>
              <c:showCatName val="0"/>
              <c:showSerName val="0"/>
              <c:showPercent val="0"/>
              <c:showBubbleSize val="0"/>
            </c:dLbl>
            <c:spPr>
              <a:noFill/>
              <a:ln w="19050">
                <a:noFill/>
              </a:ln>
            </c:spPr>
            <c:txPr>
              <a:bodyPr/>
              <a:lstStyle/>
              <a:p>
                <a:pPr>
                  <a:defRPr sz="675"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numRef>
              <c:f>Sheet1!$B$1:$E$1</c:f>
              <c:numCache>
                <c:formatCode>dd/mm/yyyy</c:formatCode>
                <c:ptCount val="4"/>
                <c:pt idx="0">
                  <c:v>39814</c:v>
                </c:pt>
                <c:pt idx="1">
                  <c:v>40179</c:v>
                </c:pt>
              </c:numCache>
            </c:numRef>
          </c:cat>
          <c:val>
            <c:numRef>
              <c:f>Sheet1!$B$2:$E$2</c:f>
              <c:numCache>
                <c:formatCode>General</c:formatCode>
                <c:ptCount val="4"/>
                <c:pt idx="0">
                  <c:v>72.2</c:v>
                </c:pt>
                <c:pt idx="1">
                  <c:v>75.900000000000006</c:v>
                </c:pt>
              </c:numCache>
            </c:numRef>
          </c:val>
        </c:ser>
        <c:ser>
          <c:idx val="2"/>
          <c:order val="1"/>
          <c:tx>
            <c:strRef>
              <c:f>Sheet1!$A$3</c:f>
              <c:strCache>
                <c:ptCount val="1"/>
                <c:pt idx="0">
                  <c:v>Балансовий капітал</c:v>
                </c:pt>
              </c:strCache>
            </c:strRef>
          </c:tx>
          <c:spPr>
            <a:solidFill>
              <a:srgbClr val="333333"/>
            </a:solidFill>
            <a:ln w="9525">
              <a:solidFill>
                <a:srgbClr val="000000"/>
              </a:solidFill>
              <a:prstDash val="solid"/>
            </a:ln>
          </c:spPr>
          <c:invertIfNegative val="1"/>
          <c:dLbls>
            <c:dLbl>
              <c:idx val="0"/>
              <c:layout>
                <c:manualLayout>
                  <c:x val="7.2913134979094185E-2"/>
                  <c:y val="7.3719746088020607E-3"/>
                </c:manualLayout>
              </c:layout>
              <c:showLegendKey val="0"/>
              <c:showVal val="1"/>
              <c:showCatName val="0"/>
              <c:showSerName val="0"/>
              <c:showPercent val="0"/>
              <c:showBubbleSize val="0"/>
            </c:dLbl>
            <c:spPr>
              <a:noFill/>
              <a:ln w="19050">
                <a:noFill/>
              </a:ln>
            </c:spPr>
            <c:txPr>
              <a:bodyPr/>
              <a:lstStyle/>
              <a:p>
                <a:pPr>
                  <a:defRPr sz="675" b="1" i="0" u="none" strike="noStrike" baseline="0">
                    <a:solidFill>
                      <a:srgbClr val="FFFFCC"/>
                    </a:solidFill>
                    <a:latin typeface="Calibri"/>
                    <a:ea typeface="Calibri"/>
                    <a:cs typeface="Calibri"/>
                  </a:defRPr>
                </a:pPr>
                <a:endParaRPr lang="uk-UA"/>
              </a:p>
            </c:txPr>
            <c:showLegendKey val="0"/>
            <c:showVal val="1"/>
            <c:showCatName val="0"/>
            <c:showSerName val="0"/>
            <c:showPercent val="0"/>
            <c:showBubbleSize val="0"/>
            <c:showLeaderLines val="0"/>
          </c:dLbls>
          <c:cat>
            <c:numRef>
              <c:f>Sheet1!$B$1:$E$1</c:f>
              <c:numCache>
                <c:formatCode>dd/mm/yyyy</c:formatCode>
                <c:ptCount val="4"/>
                <c:pt idx="0">
                  <c:v>39814</c:v>
                </c:pt>
                <c:pt idx="1">
                  <c:v>40179</c:v>
                </c:pt>
              </c:numCache>
            </c:numRef>
          </c:cat>
          <c:val>
            <c:numRef>
              <c:f>Sheet1!$B$3:$E$3</c:f>
              <c:numCache>
                <c:formatCode>General</c:formatCode>
                <c:ptCount val="4"/>
                <c:pt idx="0">
                  <c:v>211</c:v>
                </c:pt>
                <c:pt idx="1">
                  <c:v>979.4</c:v>
                </c:pt>
              </c:numCache>
            </c:numRef>
          </c:val>
          <c:extLst>
            <c:ext xmlns:c14="http://schemas.microsoft.com/office/drawing/2007/8/2/chart" uri="{6F2FDCE9-48DA-4B69-8628-5D25D57E5C99}">
              <c14:invertSolidFillFmt>
                <c14:spPr xmlns:c14="http://schemas.microsoft.com/office/drawing/2007/8/2/chart">
                  <a:solidFill>
                    <a:srgbClr val="FFFFFF"/>
                  </a:solidFill>
                  <a:ln w="9525">
                    <a:solidFill>
                      <a:srgbClr val="000000"/>
                    </a:solidFill>
                    <a:prstDash val="solid"/>
                  </a:ln>
                </c14:spPr>
              </c14:invertSolidFillFmt>
            </c:ext>
          </c:extLst>
        </c:ser>
        <c:dLbls>
          <c:showLegendKey val="0"/>
          <c:showVal val="0"/>
          <c:showCatName val="0"/>
          <c:showSerName val="0"/>
          <c:showPercent val="0"/>
          <c:showBubbleSize val="0"/>
        </c:dLbls>
        <c:gapWidth val="150"/>
        <c:gapDepth val="0"/>
        <c:shape val="box"/>
        <c:axId val="146171392"/>
        <c:axId val="150314304"/>
        <c:axId val="154938496"/>
      </c:bar3DChart>
      <c:dateAx>
        <c:axId val="146171392"/>
        <c:scaling>
          <c:orientation val="minMax"/>
        </c:scaling>
        <c:delete val="0"/>
        <c:axPos val="b"/>
        <c:numFmt formatCode="dd\.mm\.yyyy;@" sourceLinked="0"/>
        <c:majorTickMark val="out"/>
        <c:minorTickMark val="none"/>
        <c:tickLblPos val="low"/>
        <c:spPr>
          <a:ln w="2381">
            <a:solidFill>
              <a:srgbClr val="000000"/>
            </a:solidFill>
            <a:prstDash val="solid"/>
          </a:ln>
        </c:spPr>
        <c:txPr>
          <a:bodyPr rot="0" vert="horz"/>
          <a:lstStyle/>
          <a:p>
            <a:pPr>
              <a:defRPr sz="675" b="1" i="0" u="none" strike="noStrike" baseline="0">
                <a:solidFill>
                  <a:srgbClr val="000000"/>
                </a:solidFill>
                <a:latin typeface="Calibri"/>
                <a:ea typeface="Calibri"/>
                <a:cs typeface="Calibri"/>
              </a:defRPr>
            </a:pPr>
            <a:endParaRPr lang="uk-UA"/>
          </a:p>
        </c:txPr>
        <c:crossAx val="150314304"/>
        <c:crosses val="autoZero"/>
        <c:auto val="1"/>
        <c:lblOffset val="100"/>
        <c:baseTimeUnit val="years"/>
        <c:majorUnit val="1"/>
        <c:majorTimeUnit val="years"/>
        <c:minorUnit val="1"/>
        <c:minorTimeUnit val="years"/>
      </c:dateAx>
      <c:valAx>
        <c:axId val="150314304"/>
        <c:scaling>
          <c:orientation val="minMax"/>
        </c:scaling>
        <c:delete val="0"/>
        <c:axPos val="l"/>
        <c:majorGridlines>
          <c:spPr>
            <a:ln w="2381">
              <a:solidFill>
                <a:srgbClr val="000000"/>
              </a:solidFill>
              <a:prstDash val="solid"/>
            </a:ln>
          </c:spPr>
        </c:majorGridlines>
        <c:numFmt formatCode="General" sourceLinked="1"/>
        <c:majorTickMark val="out"/>
        <c:minorTickMark val="none"/>
        <c:tickLblPos val="nextTo"/>
        <c:spPr>
          <a:ln w="2381">
            <a:solidFill>
              <a:srgbClr val="000000"/>
            </a:solidFill>
            <a:prstDash val="solid"/>
          </a:ln>
        </c:spPr>
        <c:txPr>
          <a:bodyPr rot="0" vert="horz"/>
          <a:lstStyle/>
          <a:p>
            <a:pPr>
              <a:defRPr sz="675" b="1" i="0" u="none" strike="noStrike" baseline="0">
                <a:solidFill>
                  <a:srgbClr val="000000"/>
                </a:solidFill>
                <a:latin typeface="Calibri"/>
                <a:ea typeface="Calibri"/>
                <a:cs typeface="Calibri"/>
              </a:defRPr>
            </a:pPr>
            <a:endParaRPr lang="uk-UA"/>
          </a:p>
        </c:txPr>
        <c:crossAx val="146171392"/>
        <c:crosses val="autoZero"/>
        <c:crossBetween val="between"/>
      </c:valAx>
      <c:serAx>
        <c:axId val="154938496"/>
        <c:scaling>
          <c:orientation val="minMax"/>
        </c:scaling>
        <c:delete val="1"/>
        <c:axPos val="b"/>
        <c:majorTickMark val="out"/>
        <c:minorTickMark val="none"/>
        <c:tickLblPos val="none"/>
        <c:crossAx val="150314304"/>
        <c:crosses val="autoZero"/>
      </c:serAx>
      <c:spPr>
        <a:noFill/>
        <a:ln w="19050">
          <a:noFill/>
        </a:ln>
      </c:spPr>
    </c:plotArea>
    <c:legend>
      <c:legendPos val="r"/>
      <c:layout>
        <c:manualLayout>
          <c:xMode val="edge"/>
          <c:yMode val="edge"/>
          <c:x val="0.76066790352504665"/>
          <c:y val="0.40096618357488001"/>
          <c:w val="0.23191094619666081"/>
          <c:h val="0.19806763285024179"/>
        </c:manualLayout>
      </c:layout>
      <c:overlay val="0"/>
      <c:spPr>
        <a:noFill/>
        <a:ln w="2381">
          <a:solidFill>
            <a:srgbClr val="000000"/>
          </a:solidFill>
          <a:prstDash val="solid"/>
        </a:ln>
      </c:spPr>
      <c:txPr>
        <a:bodyPr/>
        <a:lstStyle/>
        <a:p>
          <a:pPr>
            <a:defRPr sz="619"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w="12700" cap="flat" cmpd="sng" algn="ctr">
      <a:solidFill>
        <a:srgbClr val="000000"/>
      </a:solidFill>
      <a:prstDash val="solid"/>
      <a:miter lim="800000"/>
      <a:headEnd type="none" w="med" len="med"/>
      <a:tailEnd type="none" w="med" len="med"/>
    </a:ln>
  </c:spPr>
  <c:txPr>
    <a:bodyPr/>
    <a:lstStyle/>
    <a:p>
      <a:pPr>
        <a:defRPr sz="675" b="1" i="0" u="none" strike="noStrike" baseline="0">
          <a:solidFill>
            <a:srgbClr val="000000"/>
          </a:solidFill>
          <a:latin typeface="Calibri"/>
          <a:ea typeface="Calibri"/>
          <a:cs typeface="Calibri"/>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8630136986323"/>
          <c:y val="3.1963470319634701E-2"/>
          <c:w val="0.5821917808219168"/>
          <c:h val="0.88584474885844744"/>
        </c:manualLayout>
      </c:layout>
      <c:barChart>
        <c:barDir val="col"/>
        <c:grouping val="clustered"/>
        <c:varyColors val="0"/>
        <c:ser>
          <c:idx val="0"/>
          <c:order val="0"/>
          <c:tx>
            <c:strRef>
              <c:f>Sheet1!$A$2</c:f>
              <c:strCache>
                <c:ptCount val="1"/>
                <c:pt idx="0">
                  <c:v>Кредити комерційних банків</c:v>
                </c:pt>
              </c:strCache>
            </c:strRef>
          </c:tx>
          <c:spPr>
            <a:solidFill>
              <a:srgbClr val="C0C0C0"/>
            </a:solidFill>
            <a:ln w="9508">
              <a:solidFill>
                <a:srgbClr val="000000"/>
              </a:solidFill>
              <a:prstDash val="solid"/>
            </a:ln>
          </c:spPr>
          <c:invertIfNegative val="0"/>
          <c:dLbls>
            <c:spPr>
              <a:noFill/>
              <a:ln w="19015">
                <a:noFill/>
              </a:ln>
            </c:spPr>
            <c:txPr>
              <a:bodyPr/>
              <a:lstStyle/>
              <a:p>
                <a:pPr>
                  <a:defRPr sz="412"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Sheet1!$B$1:$D$1</c:f>
              <c:strCache>
                <c:ptCount val="3"/>
                <c:pt idx="0">
                  <c:v>2008 рік</c:v>
                </c:pt>
                <c:pt idx="1">
                  <c:v>2009 рік</c:v>
                </c:pt>
                <c:pt idx="2">
                  <c:v>2010 рік</c:v>
                </c:pt>
              </c:strCache>
            </c:strRef>
          </c:cat>
          <c:val>
            <c:numRef>
              <c:f>Sheet1!$B$2:$D$2</c:f>
              <c:numCache>
                <c:formatCode>General</c:formatCode>
                <c:ptCount val="3"/>
                <c:pt idx="0">
                  <c:v>429817</c:v>
                </c:pt>
                <c:pt idx="1">
                  <c:v>741441</c:v>
                </c:pt>
                <c:pt idx="2">
                  <c:v>697529</c:v>
                </c:pt>
              </c:numCache>
            </c:numRef>
          </c:val>
        </c:ser>
        <c:ser>
          <c:idx val="1"/>
          <c:order val="1"/>
          <c:tx>
            <c:strRef>
              <c:f>Sheet1!$A$3</c:f>
              <c:strCache>
                <c:ptCount val="1"/>
                <c:pt idx="0">
                  <c:v>Кредити ПАТ "МІБ"</c:v>
                </c:pt>
              </c:strCache>
            </c:strRef>
          </c:tx>
          <c:spPr>
            <a:solidFill>
              <a:srgbClr val="333333"/>
            </a:solidFill>
            <a:ln w="9508">
              <a:solidFill>
                <a:srgbClr val="000000"/>
              </a:solidFill>
              <a:prstDash val="solid"/>
            </a:ln>
          </c:spPr>
          <c:invertIfNegative val="0"/>
          <c:dLbls>
            <c:dLbl>
              <c:idx val="0"/>
              <c:layout>
                <c:manualLayout>
                  <c:x val="4.1727064276046423E-2"/>
                  <c:y val="1.056256589765883E-2"/>
                </c:manualLayout>
              </c:layout>
              <c:dLblPos val="outEnd"/>
              <c:showLegendKey val="0"/>
              <c:showVal val="1"/>
              <c:showCatName val="0"/>
              <c:showSerName val="0"/>
              <c:showPercent val="0"/>
              <c:showBubbleSize val="0"/>
            </c:dLbl>
            <c:dLbl>
              <c:idx val="1"/>
              <c:layout>
                <c:manualLayout>
                  <c:x val="1.6664521000275035E-2"/>
                  <c:y val="-8.2650016319783179E-3"/>
                </c:manualLayout>
              </c:layout>
              <c:dLblPos val="outEnd"/>
              <c:showLegendKey val="0"/>
              <c:showVal val="1"/>
              <c:showCatName val="0"/>
              <c:showSerName val="0"/>
              <c:showPercent val="0"/>
              <c:showBubbleSize val="0"/>
            </c:dLbl>
            <c:dLbl>
              <c:idx val="2"/>
              <c:layout>
                <c:manualLayout>
                  <c:x val="2.1230963009871123E-2"/>
                  <c:y val="2.4836209026500206E-2"/>
                </c:manualLayout>
              </c:layout>
              <c:dLblPos val="outEnd"/>
              <c:showLegendKey val="0"/>
              <c:showVal val="1"/>
              <c:showCatName val="0"/>
              <c:showSerName val="0"/>
              <c:showPercent val="0"/>
              <c:showBubbleSize val="0"/>
            </c:dLbl>
            <c:spPr>
              <a:noFill/>
              <a:ln w="19015">
                <a:noFill/>
              </a:ln>
            </c:spPr>
            <c:txPr>
              <a:bodyPr/>
              <a:lstStyle/>
              <a:p>
                <a:pPr>
                  <a:defRPr sz="412"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Sheet1!$B$1:$D$1</c:f>
              <c:strCache>
                <c:ptCount val="3"/>
                <c:pt idx="0">
                  <c:v>2008 рік</c:v>
                </c:pt>
                <c:pt idx="1">
                  <c:v>2009 рік</c:v>
                </c:pt>
                <c:pt idx="2">
                  <c:v>2010 рік</c:v>
                </c:pt>
              </c:strCache>
            </c:strRef>
          </c:cat>
          <c:val>
            <c:numRef>
              <c:f>Sheet1!$B$3:$D$3</c:f>
              <c:numCache>
                <c:formatCode>General</c:formatCode>
                <c:ptCount val="3"/>
                <c:pt idx="0">
                  <c:v>54617</c:v>
                </c:pt>
                <c:pt idx="1">
                  <c:v>322150</c:v>
                </c:pt>
                <c:pt idx="2">
                  <c:v>459260</c:v>
                </c:pt>
              </c:numCache>
            </c:numRef>
          </c:val>
        </c:ser>
        <c:dLbls>
          <c:showLegendKey val="0"/>
          <c:showVal val="1"/>
          <c:showCatName val="0"/>
          <c:showSerName val="0"/>
          <c:showPercent val="0"/>
          <c:showBubbleSize val="0"/>
        </c:dLbls>
        <c:gapWidth val="150"/>
        <c:axId val="85521408"/>
        <c:axId val="132614976"/>
      </c:barChart>
      <c:catAx>
        <c:axId val="85521408"/>
        <c:scaling>
          <c:orientation val="minMax"/>
        </c:scaling>
        <c:delete val="0"/>
        <c:axPos val="b"/>
        <c:numFmt formatCode="General" sourceLinked="1"/>
        <c:majorTickMark val="out"/>
        <c:minorTickMark val="none"/>
        <c:tickLblPos val="nextTo"/>
        <c:spPr>
          <a:ln w="2377">
            <a:solidFill>
              <a:srgbClr val="000000"/>
            </a:solidFill>
            <a:prstDash val="solid"/>
          </a:ln>
        </c:spPr>
        <c:txPr>
          <a:bodyPr rot="0" vert="horz"/>
          <a:lstStyle/>
          <a:p>
            <a:pPr>
              <a:defRPr sz="412" b="1" i="0" u="none" strike="noStrike" baseline="0">
                <a:solidFill>
                  <a:srgbClr val="000000"/>
                </a:solidFill>
                <a:latin typeface="Calibri"/>
                <a:ea typeface="Calibri"/>
                <a:cs typeface="Calibri"/>
              </a:defRPr>
            </a:pPr>
            <a:endParaRPr lang="uk-UA"/>
          </a:p>
        </c:txPr>
        <c:crossAx val="132614976"/>
        <c:crosses val="autoZero"/>
        <c:auto val="1"/>
        <c:lblAlgn val="ctr"/>
        <c:lblOffset val="100"/>
        <c:tickLblSkip val="1"/>
        <c:tickMarkSkip val="1"/>
        <c:noMultiLvlLbl val="0"/>
      </c:catAx>
      <c:valAx>
        <c:axId val="132614976"/>
        <c:scaling>
          <c:orientation val="minMax"/>
        </c:scaling>
        <c:delete val="0"/>
        <c:axPos val="l"/>
        <c:majorGridlines>
          <c:spPr>
            <a:ln w="2377">
              <a:solidFill>
                <a:srgbClr val="000000"/>
              </a:solidFill>
              <a:prstDash val="solid"/>
            </a:ln>
          </c:spPr>
        </c:majorGridlines>
        <c:numFmt formatCode="General" sourceLinked="1"/>
        <c:majorTickMark val="out"/>
        <c:minorTickMark val="none"/>
        <c:tickLblPos val="nextTo"/>
        <c:spPr>
          <a:ln w="2377">
            <a:solidFill>
              <a:srgbClr val="000000"/>
            </a:solidFill>
            <a:prstDash val="solid"/>
          </a:ln>
        </c:spPr>
        <c:txPr>
          <a:bodyPr rot="0" vert="horz"/>
          <a:lstStyle/>
          <a:p>
            <a:pPr>
              <a:defRPr sz="412" b="1" i="0" u="none" strike="noStrike" baseline="0">
                <a:solidFill>
                  <a:srgbClr val="000000"/>
                </a:solidFill>
                <a:latin typeface="Calibri"/>
                <a:ea typeface="Calibri"/>
                <a:cs typeface="Calibri"/>
              </a:defRPr>
            </a:pPr>
            <a:endParaRPr lang="uk-UA"/>
          </a:p>
        </c:txPr>
        <c:crossAx val="85521408"/>
        <c:crosses val="autoZero"/>
        <c:crossBetween val="between"/>
      </c:valAx>
      <c:spPr>
        <a:noFill/>
        <a:ln w="2377">
          <a:solidFill>
            <a:srgbClr val="000000"/>
          </a:solidFill>
          <a:prstDash val="solid"/>
        </a:ln>
      </c:spPr>
    </c:plotArea>
    <c:legend>
      <c:legendPos val="r"/>
      <c:layout>
        <c:manualLayout>
          <c:xMode val="edge"/>
          <c:yMode val="edge"/>
          <c:x val="0.72945205479452069"/>
          <c:y val="0.21004566210045678"/>
          <c:w val="0.27054794520547948"/>
          <c:h val="0.41095890410958946"/>
        </c:manualLayout>
      </c:layout>
      <c:overlay val="0"/>
      <c:spPr>
        <a:noFill/>
        <a:ln w="19015">
          <a:noFill/>
        </a:ln>
      </c:spPr>
      <c:txPr>
        <a:bodyPr/>
        <a:lstStyle/>
        <a:p>
          <a:pPr>
            <a:defRPr sz="550"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w="12700" cap="flat" cmpd="sng" algn="ctr">
      <a:solidFill>
        <a:srgbClr val="000000"/>
      </a:solidFill>
      <a:prstDash val="solid"/>
      <a:miter lim="800000"/>
      <a:headEnd type="none" w="med" len="med"/>
      <a:tailEnd type="none" w="med" len="med"/>
    </a:ln>
  </c:spPr>
  <c:txPr>
    <a:bodyPr/>
    <a:lstStyle/>
    <a:p>
      <a:pPr>
        <a:defRPr sz="337" b="1" i="0" u="none" strike="noStrike" baseline="0">
          <a:solidFill>
            <a:srgbClr val="000000"/>
          </a:solidFill>
          <a:latin typeface="Calibri"/>
          <a:ea typeface="Calibri"/>
          <a:cs typeface="Calibri"/>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26027397260291"/>
          <c:y val="9.5454545454545528E-2"/>
          <c:w val="0.54452054794520477"/>
          <c:h val="0.71818181818181903"/>
        </c:manualLayout>
      </c:layout>
      <c:barChart>
        <c:barDir val="col"/>
        <c:grouping val="clustered"/>
        <c:varyColors val="0"/>
        <c:ser>
          <c:idx val="0"/>
          <c:order val="0"/>
          <c:tx>
            <c:strRef>
              <c:f>Sheet1!$A$2</c:f>
              <c:strCache>
                <c:ptCount val="1"/>
                <c:pt idx="0">
                  <c:v>ВВП</c:v>
                </c:pt>
              </c:strCache>
            </c:strRef>
          </c:tx>
          <c:spPr>
            <a:solidFill>
              <a:srgbClr val="333333"/>
            </a:solidFill>
            <a:ln w="9510">
              <a:solidFill>
                <a:srgbClr val="000000"/>
              </a:solidFill>
              <a:prstDash val="solid"/>
            </a:ln>
          </c:spPr>
          <c:invertIfNegative val="0"/>
          <c:cat>
            <c:strRef>
              <c:f>Sheet1!$B$1:$D$1</c:f>
              <c:strCache>
                <c:ptCount val="3"/>
                <c:pt idx="0">
                  <c:v>2008 рік</c:v>
                </c:pt>
                <c:pt idx="1">
                  <c:v>2009 рік</c:v>
                </c:pt>
                <c:pt idx="2">
                  <c:v>2010 рік</c:v>
                </c:pt>
              </c:strCache>
            </c:strRef>
          </c:cat>
          <c:val>
            <c:numRef>
              <c:f>Sheet1!$B$2:$D$2</c:f>
              <c:numCache>
                <c:formatCode>General</c:formatCode>
                <c:ptCount val="3"/>
                <c:pt idx="0">
                  <c:v>102.3</c:v>
                </c:pt>
                <c:pt idx="1">
                  <c:v>86.7</c:v>
                </c:pt>
                <c:pt idx="2">
                  <c:v>103.9</c:v>
                </c:pt>
              </c:numCache>
            </c:numRef>
          </c:val>
        </c:ser>
        <c:ser>
          <c:idx val="1"/>
          <c:order val="1"/>
          <c:tx>
            <c:strRef>
              <c:f>Sheet1!$A$3</c:f>
              <c:strCache>
                <c:ptCount val="1"/>
                <c:pt idx="0">
                  <c:v>Частка кредитів КБ у ВВП</c:v>
                </c:pt>
              </c:strCache>
            </c:strRef>
          </c:tx>
          <c:spPr>
            <a:solidFill>
              <a:srgbClr val="808080"/>
            </a:solidFill>
            <a:ln w="9510">
              <a:solidFill>
                <a:srgbClr val="000000"/>
              </a:solidFill>
              <a:prstDash val="solid"/>
            </a:ln>
          </c:spPr>
          <c:invertIfNegative val="0"/>
          <c:cat>
            <c:strRef>
              <c:f>Sheet1!$B$1:$D$1</c:f>
              <c:strCache>
                <c:ptCount val="3"/>
                <c:pt idx="0">
                  <c:v>2008 рік</c:v>
                </c:pt>
                <c:pt idx="1">
                  <c:v>2009 рік</c:v>
                </c:pt>
                <c:pt idx="2">
                  <c:v>2010 рік</c:v>
                </c:pt>
              </c:strCache>
            </c:strRef>
          </c:cat>
          <c:val>
            <c:numRef>
              <c:f>Sheet1!$B$3:$D$3</c:f>
              <c:numCache>
                <c:formatCode>General</c:formatCode>
                <c:ptCount val="3"/>
                <c:pt idx="0">
                  <c:v>45.34</c:v>
                </c:pt>
                <c:pt idx="1">
                  <c:v>81.179999999999978</c:v>
                </c:pt>
                <c:pt idx="2">
                  <c:v>63.7</c:v>
                </c:pt>
              </c:numCache>
            </c:numRef>
          </c:val>
        </c:ser>
        <c:ser>
          <c:idx val="2"/>
          <c:order val="2"/>
          <c:tx>
            <c:strRef>
              <c:f>Sheet1!$A$4</c:f>
              <c:strCache>
                <c:ptCount val="1"/>
                <c:pt idx="0">
                  <c:v>Частка кредитів "МІБ" у ВВП</c:v>
                </c:pt>
              </c:strCache>
            </c:strRef>
          </c:tx>
          <c:spPr>
            <a:solidFill>
              <a:srgbClr val="CCCCFF"/>
            </a:solidFill>
            <a:ln w="9510">
              <a:solidFill>
                <a:srgbClr val="000000"/>
              </a:solidFill>
              <a:prstDash val="solid"/>
            </a:ln>
          </c:spPr>
          <c:invertIfNegative val="0"/>
          <c:cat>
            <c:strRef>
              <c:f>Sheet1!$B$1:$D$1</c:f>
              <c:strCache>
                <c:ptCount val="3"/>
                <c:pt idx="0">
                  <c:v>2008 рік</c:v>
                </c:pt>
                <c:pt idx="1">
                  <c:v>2009 рік</c:v>
                </c:pt>
                <c:pt idx="2">
                  <c:v>2010 рік</c:v>
                </c:pt>
              </c:strCache>
            </c:strRef>
          </c:cat>
          <c:val>
            <c:numRef>
              <c:f>Sheet1!$B$4:$D$4</c:f>
              <c:numCache>
                <c:formatCode>General</c:formatCode>
                <c:ptCount val="3"/>
                <c:pt idx="0">
                  <c:v>5.76</c:v>
                </c:pt>
                <c:pt idx="1">
                  <c:v>35.270000000000003</c:v>
                </c:pt>
                <c:pt idx="2">
                  <c:v>41.94</c:v>
                </c:pt>
              </c:numCache>
            </c:numRef>
          </c:val>
        </c:ser>
        <c:dLbls>
          <c:showLegendKey val="0"/>
          <c:showVal val="0"/>
          <c:showCatName val="0"/>
          <c:showSerName val="0"/>
          <c:showPercent val="0"/>
          <c:showBubbleSize val="0"/>
        </c:dLbls>
        <c:gapWidth val="150"/>
        <c:axId val="85521920"/>
        <c:axId val="132616704"/>
      </c:barChart>
      <c:catAx>
        <c:axId val="85521920"/>
        <c:scaling>
          <c:orientation val="minMax"/>
        </c:scaling>
        <c:delete val="0"/>
        <c:axPos val="b"/>
        <c:numFmt formatCode="General" sourceLinked="1"/>
        <c:majorTickMark val="out"/>
        <c:minorTickMark val="none"/>
        <c:tickLblPos val="nextTo"/>
        <c:spPr>
          <a:ln w="2377">
            <a:solidFill>
              <a:srgbClr val="000000"/>
            </a:solidFill>
            <a:prstDash val="solid"/>
          </a:ln>
        </c:spPr>
        <c:txPr>
          <a:bodyPr rot="0" vert="horz"/>
          <a:lstStyle/>
          <a:p>
            <a:pPr>
              <a:defRPr sz="711" b="1" i="0" u="none" strike="noStrike" baseline="0">
                <a:solidFill>
                  <a:srgbClr val="000000"/>
                </a:solidFill>
                <a:latin typeface="Calibri"/>
                <a:ea typeface="Calibri"/>
                <a:cs typeface="Calibri"/>
              </a:defRPr>
            </a:pPr>
            <a:endParaRPr lang="uk-UA"/>
          </a:p>
        </c:txPr>
        <c:crossAx val="132616704"/>
        <c:crosses val="autoZero"/>
        <c:auto val="1"/>
        <c:lblAlgn val="ctr"/>
        <c:lblOffset val="100"/>
        <c:tickLblSkip val="1"/>
        <c:tickMarkSkip val="1"/>
        <c:noMultiLvlLbl val="0"/>
      </c:catAx>
      <c:valAx>
        <c:axId val="132616704"/>
        <c:scaling>
          <c:orientation val="minMax"/>
        </c:scaling>
        <c:delete val="0"/>
        <c:axPos val="l"/>
        <c:majorGridlines>
          <c:spPr>
            <a:ln w="2377">
              <a:solidFill>
                <a:srgbClr val="000000"/>
              </a:solidFill>
              <a:prstDash val="solid"/>
            </a:ln>
          </c:spPr>
        </c:majorGridlines>
        <c:numFmt formatCode="General" sourceLinked="1"/>
        <c:majorTickMark val="out"/>
        <c:minorTickMark val="none"/>
        <c:tickLblPos val="nextTo"/>
        <c:spPr>
          <a:ln w="2377">
            <a:solidFill>
              <a:srgbClr val="000000"/>
            </a:solidFill>
            <a:prstDash val="solid"/>
          </a:ln>
        </c:spPr>
        <c:txPr>
          <a:bodyPr rot="0" vert="horz"/>
          <a:lstStyle/>
          <a:p>
            <a:pPr>
              <a:defRPr sz="711" b="1" i="0" u="none" strike="noStrike" baseline="0">
                <a:solidFill>
                  <a:srgbClr val="000000"/>
                </a:solidFill>
                <a:latin typeface="Calibri"/>
                <a:ea typeface="Calibri"/>
                <a:cs typeface="Calibri"/>
              </a:defRPr>
            </a:pPr>
            <a:endParaRPr lang="uk-UA"/>
          </a:p>
        </c:txPr>
        <c:crossAx val="85521920"/>
        <c:crosses val="autoZero"/>
        <c:crossBetween val="between"/>
      </c:valAx>
      <c:spPr>
        <a:noFill/>
        <a:ln w="9510">
          <a:solidFill>
            <a:srgbClr val="808080"/>
          </a:solidFill>
          <a:prstDash val="solid"/>
        </a:ln>
      </c:spPr>
    </c:plotArea>
    <c:legend>
      <c:legendPos val="r"/>
      <c:layout>
        <c:manualLayout>
          <c:xMode val="edge"/>
          <c:yMode val="edge"/>
          <c:x val="0.70205479452054864"/>
          <c:y val="0.12727272727272718"/>
          <c:w val="0.2910958904109589"/>
          <c:h val="0.70909090909090911"/>
        </c:manualLayout>
      </c:layout>
      <c:overlay val="0"/>
      <c:spPr>
        <a:noFill/>
        <a:ln w="19019">
          <a:noFill/>
        </a:ln>
      </c:spPr>
      <c:txPr>
        <a:bodyPr/>
        <a:lstStyle/>
        <a:p>
          <a:pPr>
            <a:defRPr sz="636"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w="12700" cap="flat" cmpd="sng" algn="ctr">
      <a:solidFill>
        <a:srgbClr val="000000"/>
      </a:solidFill>
      <a:prstDash val="solid"/>
      <a:miter lim="800000"/>
      <a:headEnd type="none" w="med" len="med"/>
      <a:tailEnd type="none" w="med" len="med"/>
    </a:ln>
  </c:spPr>
  <c:txPr>
    <a:bodyPr/>
    <a:lstStyle/>
    <a:p>
      <a:pPr>
        <a:defRPr sz="636" b="1" i="0" u="none" strike="noStrike" baseline="0">
          <a:solidFill>
            <a:srgbClr val="000000"/>
          </a:solidFill>
          <a:latin typeface="Calibri"/>
          <a:ea typeface="Calibri"/>
          <a:cs typeface="Calibri"/>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11" b="1" i="0" u="none" strike="noStrike" baseline="0">
                <a:solidFill>
                  <a:srgbClr val="000000"/>
                </a:solidFill>
                <a:latin typeface="Calibri"/>
                <a:ea typeface="Calibri"/>
                <a:cs typeface="Calibri"/>
              </a:defRPr>
            </a:pPr>
            <a:r>
              <a:rPr lang="ru-RU"/>
              <a:t>Частка кредитів в структурі активів комерційних банків, млн.грн.</a:t>
            </a:r>
          </a:p>
        </c:rich>
      </c:tx>
      <c:layout>
        <c:manualLayout>
          <c:xMode val="edge"/>
          <c:yMode val="edge"/>
          <c:x val="0.1348314606741573"/>
          <c:y val="2.0100502512562814E-2"/>
        </c:manualLayout>
      </c:layout>
      <c:overlay val="0"/>
      <c:spPr>
        <a:noFill/>
        <a:ln w="19007">
          <a:noFill/>
        </a:ln>
      </c:spPr>
    </c:title>
    <c:autoTitleDeleted val="0"/>
    <c:plotArea>
      <c:layout>
        <c:manualLayout>
          <c:layoutTarget val="inner"/>
          <c:xMode val="edge"/>
          <c:yMode val="edge"/>
          <c:x val="0.2097378277153559"/>
          <c:y val="0.21608040201005024"/>
          <c:w val="0.70411985018726597"/>
          <c:h val="0.64824120603015212"/>
        </c:manualLayout>
      </c:layout>
      <c:barChart>
        <c:barDir val="col"/>
        <c:grouping val="clustered"/>
        <c:varyColors val="0"/>
        <c:ser>
          <c:idx val="0"/>
          <c:order val="0"/>
          <c:tx>
            <c:strRef>
              <c:f>Sheet1!$A$2</c:f>
              <c:strCache>
                <c:ptCount val="1"/>
                <c:pt idx="0">
                  <c:v>Активи КБ</c:v>
                </c:pt>
              </c:strCache>
            </c:strRef>
          </c:tx>
          <c:spPr>
            <a:solidFill>
              <a:srgbClr val="CCCCFF"/>
            </a:solidFill>
            <a:ln w="9504">
              <a:solidFill>
                <a:srgbClr val="000000"/>
              </a:solidFill>
              <a:prstDash val="solid"/>
            </a:ln>
          </c:spPr>
          <c:invertIfNegative val="0"/>
          <c:dLbls>
            <c:dLbl>
              <c:idx val="0"/>
              <c:layout>
                <c:manualLayout>
                  <c:x val="-1.5792236362498265E-2"/>
                  <c:y val="0.24644782580982386"/>
                </c:manualLayout>
              </c:layout>
              <c:dLblPos val="outEnd"/>
              <c:showLegendKey val="0"/>
              <c:showVal val="1"/>
              <c:showCatName val="0"/>
              <c:showSerName val="1"/>
              <c:showPercent val="0"/>
              <c:showBubbleSize val="0"/>
              <c:separator>
</c:separator>
            </c:dLbl>
            <c:spPr>
              <a:noFill/>
              <a:ln w="19007">
                <a:noFill/>
              </a:ln>
            </c:spPr>
            <c:txPr>
              <a:bodyPr/>
              <a:lstStyle/>
              <a:p>
                <a:pPr>
                  <a:defRPr sz="599" b="1" i="0" u="none" strike="noStrike" baseline="0">
                    <a:solidFill>
                      <a:srgbClr val="000000"/>
                    </a:solidFill>
                    <a:latin typeface="Calibri"/>
                    <a:ea typeface="Calibri"/>
                    <a:cs typeface="Calibri"/>
                  </a:defRPr>
                </a:pPr>
                <a:endParaRPr lang="uk-UA"/>
              </a:p>
            </c:txPr>
            <c:showLegendKey val="0"/>
            <c:showVal val="1"/>
            <c:showCatName val="0"/>
            <c:showSerName val="1"/>
            <c:showPercent val="0"/>
            <c:showBubbleSize val="0"/>
            <c:separator>
</c:separator>
            <c:showLeaderLines val="0"/>
          </c:dLbls>
          <c:cat>
            <c:numRef>
              <c:f>Sheet1!$B$1:$B$1</c:f>
              <c:numCache>
                <c:formatCode>dd/mm/yyyy</c:formatCode>
                <c:ptCount val="1"/>
                <c:pt idx="0">
                  <c:v>40179</c:v>
                </c:pt>
              </c:numCache>
            </c:numRef>
          </c:cat>
          <c:val>
            <c:numRef>
              <c:f>Sheet1!$B$2:$B$2</c:f>
              <c:numCache>
                <c:formatCode>General</c:formatCode>
                <c:ptCount val="1"/>
                <c:pt idx="0">
                  <c:v>880302</c:v>
                </c:pt>
              </c:numCache>
            </c:numRef>
          </c:val>
        </c:ser>
        <c:ser>
          <c:idx val="1"/>
          <c:order val="1"/>
          <c:tx>
            <c:strRef>
              <c:f>Sheet1!$A$3</c:f>
              <c:strCache>
                <c:ptCount val="1"/>
                <c:pt idx="0">
                  <c:v>Кредити КБ</c:v>
                </c:pt>
              </c:strCache>
            </c:strRef>
          </c:tx>
          <c:spPr>
            <a:solidFill>
              <a:srgbClr val="808080"/>
            </a:solidFill>
            <a:ln w="9504">
              <a:solidFill>
                <a:srgbClr val="000000"/>
              </a:solidFill>
              <a:prstDash val="solid"/>
            </a:ln>
          </c:spPr>
          <c:invertIfNegative val="0"/>
          <c:dLbls>
            <c:dLbl>
              <c:idx val="0"/>
              <c:layout>
                <c:manualLayout>
                  <c:x val="-6.2525943415645087E-3"/>
                  <c:y val="0.14290868705753632"/>
                </c:manualLayout>
              </c:layout>
              <c:dLblPos val="outEnd"/>
              <c:showLegendKey val="0"/>
              <c:showVal val="1"/>
              <c:showCatName val="0"/>
              <c:showSerName val="1"/>
              <c:showPercent val="0"/>
              <c:showBubbleSize val="0"/>
              <c:separator>
</c:separator>
            </c:dLbl>
            <c:numFmt formatCode="General" sourceLinked="0"/>
            <c:spPr>
              <a:noFill/>
              <a:ln w="19007">
                <a:noFill/>
              </a:ln>
            </c:spPr>
            <c:txPr>
              <a:bodyPr/>
              <a:lstStyle/>
              <a:p>
                <a:pPr>
                  <a:defRPr sz="599" b="1" i="0" u="none" strike="noStrike" baseline="0">
                    <a:solidFill>
                      <a:srgbClr val="000000"/>
                    </a:solidFill>
                    <a:latin typeface="Calibri"/>
                    <a:ea typeface="Calibri"/>
                    <a:cs typeface="Calibri"/>
                  </a:defRPr>
                </a:pPr>
                <a:endParaRPr lang="uk-UA"/>
              </a:p>
            </c:txPr>
            <c:showLegendKey val="0"/>
            <c:showVal val="1"/>
            <c:showCatName val="0"/>
            <c:showSerName val="1"/>
            <c:showPercent val="0"/>
            <c:showBubbleSize val="0"/>
            <c:separator>
</c:separator>
            <c:showLeaderLines val="0"/>
          </c:dLbls>
          <c:cat>
            <c:numRef>
              <c:f>Sheet1!$B$1:$B$1</c:f>
              <c:numCache>
                <c:formatCode>dd/mm/yyyy</c:formatCode>
                <c:ptCount val="1"/>
                <c:pt idx="0">
                  <c:v>40179</c:v>
                </c:pt>
              </c:numCache>
            </c:numRef>
          </c:cat>
          <c:val>
            <c:numRef>
              <c:f>Sheet1!$B$3:$B$3</c:f>
              <c:numCache>
                <c:formatCode>General</c:formatCode>
                <c:ptCount val="1"/>
                <c:pt idx="0">
                  <c:v>747348</c:v>
                </c:pt>
              </c:numCache>
            </c:numRef>
          </c:val>
        </c:ser>
        <c:dLbls>
          <c:showLegendKey val="0"/>
          <c:showVal val="1"/>
          <c:showCatName val="0"/>
          <c:showSerName val="1"/>
          <c:showPercent val="0"/>
          <c:showBubbleSize val="0"/>
          <c:separator>; </c:separator>
        </c:dLbls>
        <c:gapWidth val="150"/>
        <c:axId val="132644864"/>
        <c:axId val="132618432"/>
      </c:barChart>
      <c:dateAx>
        <c:axId val="132644864"/>
        <c:scaling>
          <c:orientation val="minMax"/>
        </c:scaling>
        <c:delete val="0"/>
        <c:axPos val="b"/>
        <c:numFmt formatCode="dd/mm/yyyy" sourceLinked="0"/>
        <c:majorTickMark val="out"/>
        <c:minorTickMark val="none"/>
        <c:tickLblPos val="nextTo"/>
        <c:spPr>
          <a:ln w="2376">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uk-UA"/>
          </a:p>
        </c:txPr>
        <c:crossAx val="132618432"/>
        <c:crosses val="autoZero"/>
        <c:auto val="1"/>
        <c:lblOffset val="100"/>
        <c:baseTimeUnit val="days"/>
        <c:majorUnit val="1"/>
        <c:majorTimeUnit val="days"/>
        <c:minorUnit val="1"/>
        <c:minorTimeUnit val="days"/>
      </c:dateAx>
      <c:valAx>
        <c:axId val="132618432"/>
        <c:scaling>
          <c:orientation val="minMax"/>
        </c:scaling>
        <c:delete val="0"/>
        <c:axPos val="l"/>
        <c:majorGridlines>
          <c:spPr>
            <a:ln w="2376">
              <a:solidFill>
                <a:srgbClr val="000000"/>
              </a:solidFill>
              <a:prstDash val="solid"/>
            </a:ln>
          </c:spPr>
        </c:majorGridlines>
        <c:numFmt formatCode="General" sourceLinked="1"/>
        <c:majorTickMark val="out"/>
        <c:minorTickMark val="none"/>
        <c:tickLblPos val="nextTo"/>
        <c:spPr>
          <a:ln w="2376">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uk-UA"/>
          </a:p>
        </c:txPr>
        <c:crossAx val="132644864"/>
        <c:crosses val="autoZero"/>
        <c:crossBetween val="between"/>
      </c:valAx>
      <c:spPr>
        <a:noFill/>
        <a:ln w="2376">
          <a:solidFill>
            <a:srgbClr val="000000"/>
          </a:solidFill>
          <a:prstDash val="solid"/>
        </a:ln>
      </c:spPr>
    </c:plotArea>
    <c:plotVisOnly val="1"/>
    <c:dispBlanksAs val="gap"/>
    <c:showDLblsOverMax val="0"/>
  </c:chart>
  <c:spPr>
    <a:noFill/>
    <a:ln w="12700" cap="flat" cmpd="sng" algn="ctr">
      <a:solidFill>
        <a:srgbClr val="000000"/>
      </a:solidFill>
      <a:prstDash val="solid"/>
      <a:miter lim="800000"/>
      <a:headEnd type="none" w="med" len="med"/>
      <a:tailEnd type="none" w="med" len="med"/>
    </a:ln>
  </c:spPr>
  <c:txPr>
    <a:bodyPr/>
    <a:lstStyle/>
    <a:p>
      <a:pPr>
        <a:defRPr sz="599" b="1" i="0" u="none" strike="noStrike" baseline="0">
          <a:solidFill>
            <a:srgbClr val="000000"/>
          </a:solidFill>
          <a:latin typeface="Calibri"/>
          <a:ea typeface="Calibri"/>
          <a:cs typeface="Calibri"/>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49" b="1" i="0" u="none" strike="noStrike" baseline="0">
                <a:solidFill>
                  <a:srgbClr val="000000"/>
                </a:solidFill>
                <a:latin typeface="Calibri"/>
                <a:ea typeface="Calibri"/>
                <a:cs typeface="Calibri"/>
              </a:defRPr>
            </a:pPr>
            <a:r>
              <a:rPr lang="ru-RU"/>
              <a:t>Частка кредитів у структурі активів ПАТ "МІБ", млн.грн.</a:t>
            </a:r>
          </a:p>
        </c:rich>
      </c:tx>
      <c:layout>
        <c:manualLayout>
          <c:xMode val="edge"/>
          <c:yMode val="edge"/>
          <c:x val="0.10431654676259006"/>
          <c:y val="2.0000000000000011E-2"/>
        </c:manualLayout>
      </c:layout>
      <c:overlay val="0"/>
      <c:spPr>
        <a:noFill/>
        <a:ln w="19014">
          <a:noFill/>
        </a:ln>
      </c:spPr>
    </c:title>
    <c:autoTitleDeleted val="0"/>
    <c:plotArea>
      <c:layout>
        <c:manualLayout>
          <c:layoutTarget val="inner"/>
          <c:xMode val="edge"/>
          <c:yMode val="edge"/>
          <c:x val="0.10431654676259006"/>
          <c:y val="0.21000000000000016"/>
          <c:w val="0.81294964028776984"/>
          <c:h val="0.65500000000000091"/>
        </c:manualLayout>
      </c:layout>
      <c:barChart>
        <c:barDir val="col"/>
        <c:grouping val="clustered"/>
        <c:varyColors val="0"/>
        <c:ser>
          <c:idx val="0"/>
          <c:order val="0"/>
          <c:tx>
            <c:strRef>
              <c:f>Sheet1!$A$2</c:f>
              <c:strCache>
                <c:ptCount val="1"/>
                <c:pt idx="0">
                  <c:v>Активи ПАТ "МІБ"</c:v>
                </c:pt>
              </c:strCache>
            </c:strRef>
          </c:tx>
          <c:spPr>
            <a:solidFill>
              <a:srgbClr val="C0C0C0"/>
            </a:solidFill>
            <a:ln w="9507">
              <a:solidFill>
                <a:srgbClr val="000000"/>
              </a:solidFill>
              <a:prstDash val="solid"/>
            </a:ln>
          </c:spPr>
          <c:invertIfNegative val="0"/>
          <c:dLbls>
            <c:dLbl>
              <c:idx val="0"/>
              <c:layout>
                <c:manualLayout>
                  <c:x val="-1.6744924270557345E-2"/>
                  <c:y val="0.18626483097996396"/>
                </c:manualLayout>
              </c:layout>
              <c:dLblPos val="outEnd"/>
              <c:showLegendKey val="0"/>
              <c:showVal val="1"/>
              <c:showCatName val="0"/>
              <c:showSerName val="1"/>
              <c:showPercent val="0"/>
              <c:showBubbleSize val="0"/>
              <c:separator>
</c:separator>
            </c:dLbl>
            <c:spPr>
              <a:noFill/>
              <a:ln w="19014">
                <a:noFill/>
              </a:ln>
            </c:spPr>
            <c:txPr>
              <a:bodyPr/>
              <a:lstStyle/>
              <a:p>
                <a:pPr>
                  <a:defRPr sz="636" b="1" i="0" u="none" strike="noStrike" baseline="0">
                    <a:solidFill>
                      <a:srgbClr val="000000"/>
                    </a:solidFill>
                    <a:latin typeface="Calibri"/>
                    <a:ea typeface="Calibri"/>
                    <a:cs typeface="Calibri"/>
                  </a:defRPr>
                </a:pPr>
                <a:endParaRPr lang="uk-UA"/>
              </a:p>
            </c:txPr>
            <c:showLegendKey val="0"/>
            <c:showVal val="1"/>
            <c:showCatName val="0"/>
            <c:showSerName val="1"/>
            <c:showPercent val="0"/>
            <c:showBubbleSize val="0"/>
            <c:separator>
</c:separator>
            <c:showLeaderLines val="0"/>
          </c:dLbls>
          <c:cat>
            <c:numRef>
              <c:f>Sheet1!$B$1:$B$1</c:f>
              <c:numCache>
                <c:formatCode>dd/mm/yyyy</c:formatCode>
                <c:ptCount val="1"/>
                <c:pt idx="0">
                  <c:v>40179</c:v>
                </c:pt>
              </c:numCache>
            </c:numRef>
          </c:cat>
          <c:val>
            <c:numRef>
              <c:f>Sheet1!$B$2:$B$2</c:f>
              <c:numCache>
                <c:formatCode>General</c:formatCode>
                <c:ptCount val="1"/>
                <c:pt idx="0">
                  <c:v>489.7</c:v>
                </c:pt>
              </c:numCache>
            </c:numRef>
          </c:val>
        </c:ser>
        <c:ser>
          <c:idx val="2"/>
          <c:order val="1"/>
          <c:tx>
            <c:strRef>
              <c:f>Sheet1!$A$3</c:f>
              <c:strCache>
                <c:ptCount val="1"/>
                <c:pt idx="0">
                  <c:v>Кредити ПАТ "МІБ"</c:v>
                </c:pt>
              </c:strCache>
            </c:strRef>
          </c:tx>
          <c:spPr>
            <a:solidFill>
              <a:srgbClr val="808080"/>
            </a:solidFill>
            <a:ln w="9507">
              <a:solidFill>
                <a:srgbClr val="000000"/>
              </a:solidFill>
              <a:prstDash val="solid"/>
            </a:ln>
          </c:spPr>
          <c:invertIfNegative val="0"/>
          <c:dLbls>
            <c:dLbl>
              <c:idx val="0"/>
              <c:layout>
                <c:manualLayout>
                  <c:x val="-1.011979392863646E-2"/>
                  <c:y val="0.24391576628500991"/>
                </c:manualLayout>
              </c:layout>
              <c:dLblPos val="outEnd"/>
              <c:showLegendKey val="0"/>
              <c:showVal val="1"/>
              <c:showCatName val="0"/>
              <c:showSerName val="1"/>
              <c:showPercent val="0"/>
              <c:showBubbleSize val="0"/>
              <c:separator>
</c:separator>
            </c:dLbl>
            <c:spPr>
              <a:noFill/>
              <a:ln w="19014">
                <a:noFill/>
              </a:ln>
            </c:spPr>
            <c:txPr>
              <a:bodyPr/>
              <a:lstStyle/>
              <a:p>
                <a:pPr>
                  <a:defRPr sz="636" b="1" i="0" u="none" strike="noStrike" baseline="0">
                    <a:solidFill>
                      <a:srgbClr val="000000"/>
                    </a:solidFill>
                    <a:latin typeface="Calibri"/>
                    <a:ea typeface="Calibri"/>
                    <a:cs typeface="Calibri"/>
                  </a:defRPr>
                </a:pPr>
                <a:endParaRPr lang="uk-UA"/>
              </a:p>
            </c:txPr>
            <c:showLegendKey val="0"/>
            <c:showVal val="1"/>
            <c:showCatName val="0"/>
            <c:showSerName val="1"/>
            <c:showPercent val="0"/>
            <c:showBubbleSize val="0"/>
            <c:separator>
</c:separator>
            <c:showLeaderLines val="0"/>
          </c:dLbls>
          <c:cat>
            <c:numRef>
              <c:f>Sheet1!$B$1:$B$1</c:f>
              <c:numCache>
                <c:formatCode>dd/mm/yyyy</c:formatCode>
                <c:ptCount val="1"/>
                <c:pt idx="0">
                  <c:v>40179</c:v>
                </c:pt>
              </c:numCache>
            </c:numRef>
          </c:cat>
          <c:val>
            <c:numRef>
              <c:f>Sheet1!$B$3:$B$3</c:f>
              <c:numCache>
                <c:formatCode>General</c:formatCode>
                <c:ptCount val="1"/>
                <c:pt idx="0">
                  <c:v>317.2</c:v>
                </c:pt>
              </c:numCache>
            </c:numRef>
          </c:val>
        </c:ser>
        <c:dLbls>
          <c:showLegendKey val="0"/>
          <c:showVal val="0"/>
          <c:showCatName val="0"/>
          <c:showSerName val="0"/>
          <c:showPercent val="0"/>
          <c:showBubbleSize val="0"/>
        </c:dLbls>
        <c:gapWidth val="150"/>
        <c:axId val="132645376"/>
        <c:axId val="138341760"/>
      </c:barChart>
      <c:dateAx>
        <c:axId val="132645376"/>
        <c:scaling>
          <c:orientation val="minMax"/>
        </c:scaling>
        <c:delete val="0"/>
        <c:axPos val="b"/>
        <c:numFmt formatCode="dd/mm/yyyy" sourceLinked="0"/>
        <c:majorTickMark val="out"/>
        <c:minorTickMark val="none"/>
        <c:tickLblPos val="nextTo"/>
        <c:spPr>
          <a:ln w="2377">
            <a:solidFill>
              <a:srgbClr val="000000"/>
            </a:solidFill>
            <a:prstDash val="solid"/>
          </a:ln>
        </c:spPr>
        <c:txPr>
          <a:bodyPr rot="0" vert="horz"/>
          <a:lstStyle/>
          <a:p>
            <a:pPr>
              <a:defRPr sz="636" b="1" i="0" u="none" strike="noStrike" baseline="0">
                <a:solidFill>
                  <a:srgbClr val="000000"/>
                </a:solidFill>
                <a:latin typeface="Calibri"/>
                <a:ea typeface="Calibri"/>
                <a:cs typeface="Calibri"/>
              </a:defRPr>
            </a:pPr>
            <a:endParaRPr lang="uk-UA"/>
          </a:p>
        </c:txPr>
        <c:crossAx val="138341760"/>
        <c:crosses val="autoZero"/>
        <c:auto val="1"/>
        <c:lblOffset val="100"/>
        <c:baseTimeUnit val="days"/>
        <c:majorUnit val="1"/>
        <c:majorTimeUnit val="days"/>
        <c:minorUnit val="1"/>
        <c:minorTimeUnit val="days"/>
      </c:dateAx>
      <c:valAx>
        <c:axId val="138341760"/>
        <c:scaling>
          <c:orientation val="minMax"/>
        </c:scaling>
        <c:delete val="0"/>
        <c:axPos val="l"/>
        <c:majorGridlines>
          <c:spPr>
            <a:ln w="2377">
              <a:solidFill>
                <a:srgbClr val="000000"/>
              </a:solidFill>
              <a:prstDash val="solid"/>
            </a:ln>
          </c:spPr>
        </c:majorGridlines>
        <c:numFmt formatCode="General" sourceLinked="1"/>
        <c:majorTickMark val="out"/>
        <c:minorTickMark val="none"/>
        <c:tickLblPos val="nextTo"/>
        <c:spPr>
          <a:ln w="2377">
            <a:solidFill>
              <a:srgbClr val="000000"/>
            </a:solidFill>
            <a:prstDash val="solid"/>
          </a:ln>
        </c:spPr>
        <c:txPr>
          <a:bodyPr rot="0" vert="horz"/>
          <a:lstStyle/>
          <a:p>
            <a:pPr>
              <a:defRPr sz="636" b="1" i="0" u="none" strike="noStrike" baseline="0">
                <a:solidFill>
                  <a:srgbClr val="000000"/>
                </a:solidFill>
                <a:latin typeface="Calibri"/>
                <a:ea typeface="Calibri"/>
                <a:cs typeface="Calibri"/>
              </a:defRPr>
            </a:pPr>
            <a:endParaRPr lang="uk-UA"/>
          </a:p>
        </c:txPr>
        <c:crossAx val="132645376"/>
        <c:crosses val="autoZero"/>
        <c:crossBetween val="between"/>
      </c:valAx>
      <c:spPr>
        <a:noFill/>
        <a:ln w="9507">
          <a:solidFill>
            <a:srgbClr val="000000"/>
          </a:solidFill>
          <a:prstDash val="solid"/>
        </a:ln>
      </c:spPr>
    </c:plotArea>
    <c:plotVisOnly val="1"/>
    <c:dispBlanksAs val="gap"/>
    <c:showDLblsOverMax val="0"/>
  </c:chart>
  <c:spPr>
    <a:noFill/>
    <a:ln w="12700" cap="flat" cmpd="sng" algn="ctr">
      <a:solidFill>
        <a:srgbClr val="000000"/>
      </a:solidFill>
      <a:prstDash val="solid"/>
      <a:miter lim="800000"/>
      <a:headEnd type="none" w="med" len="med"/>
      <a:tailEnd type="none" w="med" len="med"/>
    </a:ln>
  </c:spPr>
  <c:txPr>
    <a:bodyPr/>
    <a:lstStyle/>
    <a:p>
      <a:pPr>
        <a:defRPr sz="599" b="1" i="0" u="none" strike="noStrike" baseline="0">
          <a:solidFill>
            <a:srgbClr val="000000"/>
          </a:solidFill>
          <a:latin typeface="Calibri"/>
          <a:ea typeface="Calibri"/>
          <a:cs typeface="Calibri"/>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76460767946613"/>
          <c:y val="7.2289156626506021E-2"/>
          <c:w val="0.25709515859766274"/>
          <c:h val="0.92771084337349496"/>
        </c:manualLayout>
      </c:layout>
      <c:pieChart>
        <c:varyColors val="1"/>
        <c:ser>
          <c:idx val="0"/>
          <c:order val="0"/>
          <c:tx>
            <c:strRef>
              <c:f>Sheet1!$A$2</c:f>
              <c:strCache>
                <c:ptCount val="1"/>
              </c:strCache>
            </c:strRef>
          </c:tx>
          <c:spPr>
            <a:solidFill>
              <a:srgbClr val="9999FF"/>
            </a:solidFill>
            <a:ln w="9499">
              <a:solidFill>
                <a:srgbClr val="000000"/>
              </a:solidFill>
              <a:prstDash val="solid"/>
            </a:ln>
          </c:spPr>
          <c:explosion val="8"/>
          <c:dPt>
            <c:idx val="1"/>
            <c:bubble3D val="0"/>
            <c:spPr>
              <a:solidFill>
                <a:srgbClr val="993366"/>
              </a:solidFill>
              <a:ln w="9499">
                <a:solidFill>
                  <a:srgbClr val="000000"/>
                </a:solidFill>
                <a:prstDash val="solid"/>
              </a:ln>
            </c:spPr>
          </c:dPt>
          <c:dPt>
            <c:idx val="2"/>
            <c:bubble3D val="0"/>
            <c:explosion val="14"/>
            <c:spPr>
              <a:solidFill>
                <a:srgbClr val="FFFFCC"/>
              </a:solidFill>
              <a:ln w="9499">
                <a:solidFill>
                  <a:srgbClr val="000000"/>
                </a:solidFill>
                <a:prstDash val="solid"/>
              </a:ln>
            </c:spPr>
          </c:dPt>
          <c:dPt>
            <c:idx val="3"/>
            <c:bubble3D val="0"/>
            <c:spPr>
              <a:solidFill>
                <a:srgbClr val="CCFFFF"/>
              </a:solidFill>
              <a:ln w="9499">
                <a:solidFill>
                  <a:srgbClr val="000000"/>
                </a:solidFill>
                <a:prstDash val="solid"/>
              </a:ln>
            </c:spPr>
          </c:dPt>
          <c:dPt>
            <c:idx val="4"/>
            <c:bubble3D val="0"/>
            <c:spPr>
              <a:solidFill>
                <a:srgbClr val="660066"/>
              </a:solidFill>
              <a:ln w="9499">
                <a:solidFill>
                  <a:srgbClr val="000000"/>
                </a:solidFill>
                <a:prstDash val="solid"/>
              </a:ln>
            </c:spPr>
          </c:dPt>
          <c:dPt>
            <c:idx val="5"/>
            <c:bubble3D val="0"/>
            <c:spPr>
              <a:solidFill>
                <a:srgbClr val="FF8080"/>
              </a:solidFill>
              <a:ln w="9499">
                <a:solidFill>
                  <a:srgbClr val="000000"/>
                </a:solidFill>
                <a:prstDash val="solid"/>
              </a:ln>
            </c:spPr>
          </c:dPt>
          <c:dPt>
            <c:idx val="6"/>
            <c:bubble3D val="0"/>
            <c:spPr>
              <a:solidFill>
                <a:srgbClr val="0066CC"/>
              </a:solidFill>
              <a:ln w="9499">
                <a:solidFill>
                  <a:srgbClr val="000000"/>
                </a:solidFill>
                <a:prstDash val="solid"/>
              </a:ln>
            </c:spPr>
          </c:dPt>
          <c:dPt>
            <c:idx val="7"/>
            <c:bubble3D val="0"/>
            <c:spPr>
              <a:solidFill>
                <a:srgbClr val="CCCCFF"/>
              </a:solidFill>
              <a:ln w="9499">
                <a:solidFill>
                  <a:srgbClr val="000000"/>
                </a:solidFill>
                <a:prstDash val="solid"/>
              </a:ln>
            </c:spPr>
          </c:dPt>
          <c:dPt>
            <c:idx val="8"/>
            <c:bubble3D val="0"/>
            <c:spPr>
              <a:solidFill>
                <a:srgbClr val="000080"/>
              </a:solidFill>
              <a:ln w="9499">
                <a:solidFill>
                  <a:srgbClr val="000000"/>
                </a:solidFill>
                <a:prstDash val="solid"/>
              </a:ln>
            </c:spPr>
          </c:dPt>
          <c:dLbls>
            <c:numFmt formatCode="0%" sourceLinked="0"/>
            <c:spPr>
              <a:noFill/>
              <a:ln w="18999">
                <a:noFill/>
              </a:ln>
            </c:spPr>
            <c:txPr>
              <a:bodyPr/>
              <a:lstStyle/>
              <a:p>
                <a:pPr>
                  <a:defRPr sz="654"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1"/>
          </c:dLbls>
          <c:cat>
            <c:strRef>
              <c:f>Sheet1!$B$1:$J$1</c:f>
              <c:strCache>
                <c:ptCount val="9"/>
                <c:pt idx="0">
                  <c:v>Харчове виробництво</c:v>
                </c:pt>
                <c:pt idx="1">
                  <c:v>Лізинг</c:v>
                </c:pt>
                <c:pt idx="2">
                  <c:v>Машинобудування</c:v>
                </c:pt>
                <c:pt idx="3">
                  <c:v>Торгівля ЦП</c:v>
                </c:pt>
                <c:pt idx="4">
                  <c:v>Послуги</c:v>
                </c:pt>
                <c:pt idx="5">
                  <c:v>Оптова торгівля</c:v>
                </c:pt>
                <c:pt idx="6">
                  <c:v>Сировинне виробництво</c:v>
                </c:pt>
                <c:pt idx="7">
                  <c:v>Постачання газу</c:v>
                </c:pt>
                <c:pt idx="8">
                  <c:v>Суднобудівництво</c:v>
                </c:pt>
              </c:strCache>
            </c:strRef>
          </c:cat>
          <c:val>
            <c:numRef>
              <c:f>Sheet1!$B$2:$J$2</c:f>
              <c:numCache>
                <c:formatCode>General</c:formatCode>
                <c:ptCount val="9"/>
                <c:pt idx="0">
                  <c:v>0.48000000000000032</c:v>
                </c:pt>
                <c:pt idx="1">
                  <c:v>0.13</c:v>
                </c:pt>
                <c:pt idx="2">
                  <c:v>0.1</c:v>
                </c:pt>
                <c:pt idx="3">
                  <c:v>9.0000000000000024E-2</c:v>
                </c:pt>
                <c:pt idx="4">
                  <c:v>7.0000000000000021E-2</c:v>
                </c:pt>
                <c:pt idx="5">
                  <c:v>0.05</c:v>
                </c:pt>
                <c:pt idx="6">
                  <c:v>0.05</c:v>
                </c:pt>
                <c:pt idx="7">
                  <c:v>2.0000000000000011E-2</c:v>
                </c:pt>
                <c:pt idx="8">
                  <c:v>1.0000000000000005E-2</c:v>
                </c:pt>
              </c:numCache>
            </c:numRef>
          </c:val>
        </c:ser>
        <c:dLbls>
          <c:showLegendKey val="0"/>
          <c:showVal val="0"/>
          <c:showCatName val="0"/>
          <c:showSerName val="0"/>
          <c:showPercent val="0"/>
          <c:showBubbleSize val="0"/>
          <c:showLeaderLines val="1"/>
        </c:dLbls>
        <c:firstSliceAng val="50"/>
      </c:pieChart>
      <c:spPr>
        <a:noFill/>
        <a:ln w="18999">
          <a:noFill/>
        </a:ln>
      </c:spPr>
    </c:plotArea>
    <c:legend>
      <c:legendPos val="r"/>
      <c:layout>
        <c:manualLayout>
          <c:xMode val="edge"/>
          <c:yMode val="edge"/>
          <c:x val="0.58758283842271275"/>
          <c:y val="7.5630017781419367E-2"/>
          <c:w val="0.39927511798950927"/>
          <c:h val="0.84329185765426895"/>
        </c:manualLayout>
      </c:layout>
      <c:overlay val="0"/>
      <c:spPr>
        <a:noFill/>
        <a:ln w="2375">
          <a:solidFill>
            <a:srgbClr val="000000"/>
          </a:solidFill>
          <a:prstDash val="solid"/>
        </a:ln>
      </c:spPr>
      <c:txPr>
        <a:bodyPr/>
        <a:lstStyle/>
        <a:p>
          <a:pPr>
            <a:defRPr sz="550" b="1" i="0" u="none" strike="noStrike" baseline="0">
              <a:solidFill>
                <a:srgbClr val="000000"/>
              </a:solidFill>
              <a:latin typeface="Calibri"/>
              <a:ea typeface="Calibri"/>
              <a:cs typeface="Calibri"/>
            </a:defRPr>
          </a:pPr>
          <a:endParaRPr lang="uk-UA"/>
        </a:p>
      </c:txPr>
    </c:legend>
    <c:plotVisOnly val="1"/>
    <c:dispBlanksAs val="zero"/>
    <c:showDLblsOverMax val="0"/>
  </c:chart>
  <c:spPr>
    <a:noFill/>
    <a:ln>
      <a:noFill/>
    </a:ln>
  </c:spPr>
  <c:txPr>
    <a:bodyPr/>
    <a:lstStyle/>
    <a:p>
      <a:pPr>
        <a:defRPr sz="598" b="1" i="0" u="none" strike="noStrike" baseline="0">
          <a:solidFill>
            <a:srgbClr val="000000"/>
          </a:solidFill>
          <a:latin typeface="Calibri"/>
          <a:ea typeface="Calibri"/>
          <a:cs typeface="Calibri"/>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22222222222224"/>
          <c:y val="0.11805555555555559"/>
          <c:w val="0.34444444444444478"/>
          <c:h val="0.8611111111111116"/>
        </c:manualLayout>
      </c:layout>
      <c:pieChart>
        <c:varyColors val="1"/>
        <c:ser>
          <c:idx val="0"/>
          <c:order val="0"/>
          <c:tx>
            <c:strRef>
              <c:f>Sheet1!$A$2</c:f>
              <c:strCache>
                <c:ptCount val="1"/>
              </c:strCache>
            </c:strRef>
          </c:tx>
          <c:spPr>
            <a:solidFill>
              <a:srgbClr val="9999FF"/>
            </a:solidFill>
            <a:ln w="9511">
              <a:solidFill>
                <a:srgbClr val="000000"/>
              </a:solidFill>
              <a:prstDash val="solid"/>
            </a:ln>
          </c:spPr>
          <c:dPt>
            <c:idx val="1"/>
            <c:bubble3D val="0"/>
            <c:spPr>
              <a:solidFill>
                <a:srgbClr val="993366"/>
              </a:solidFill>
              <a:ln w="9511">
                <a:solidFill>
                  <a:srgbClr val="000000"/>
                </a:solidFill>
                <a:prstDash val="solid"/>
              </a:ln>
            </c:spPr>
          </c:dPt>
          <c:dLbls>
            <c:numFmt formatCode="0%" sourceLinked="0"/>
            <c:spPr>
              <a:noFill/>
              <a:ln w="19021">
                <a:noFill/>
              </a:ln>
            </c:spPr>
            <c:txPr>
              <a:bodyPr/>
              <a:lstStyle/>
              <a:p>
                <a:pPr>
                  <a:defRPr sz="786"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1"/>
          </c:dLbls>
          <c:cat>
            <c:strRef>
              <c:f>Sheet1!$B$1:$C$1</c:f>
              <c:strCache>
                <c:ptCount val="2"/>
                <c:pt idx="0">
                  <c:v>Короткострокові</c:v>
                </c:pt>
                <c:pt idx="1">
                  <c:v>Довгострокові</c:v>
                </c:pt>
              </c:strCache>
            </c:strRef>
          </c:cat>
          <c:val>
            <c:numRef>
              <c:f>Sheet1!$B$2:$C$2</c:f>
              <c:numCache>
                <c:formatCode>General</c:formatCode>
                <c:ptCount val="2"/>
                <c:pt idx="0">
                  <c:v>0.56999999999999995</c:v>
                </c:pt>
                <c:pt idx="1">
                  <c:v>0.43000000000000033</c:v>
                </c:pt>
              </c:numCache>
            </c:numRef>
          </c:val>
        </c:ser>
        <c:dLbls>
          <c:showLegendKey val="0"/>
          <c:showVal val="0"/>
          <c:showCatName val="0"/>
          <c:showSerName val="0"/>
          <c:showPercent val="0"/>
          <c:showBubbleSize val="0"/>
          <c:showLeaderLines val="1"/>
        </c:dLbls>
        <c:firstSliceAng val="0"/>
      </c:pieChart>
      <c:spPr>
        <a:noFill/>
        <a:ln w="19021">
          <a:noFill/>
        </a:ln>
      </c:spPr>
    </c:plotArea>
    <c:legend>
      <c:legendPos val="r"/>
      <c:layout>
        <c:manualLayout>
          <c:xMode val="edge"/>
          <c:yMode val="edge"/>
          <c:x val="0.67500000000000093"/>
          <c:y val="0.16666666666666666"/>
          <c:w val="0.31388888888888983"/>
          <c:h val="0.7361111111111116"/>
        </c:manualLayout>
      </c:layout>
      <c:overlay val="0"/>
      <c:spPr>
        <a:noFill/>
        <a:ln w="2378">
          <a:solidFill>
            <a:srgbClr val="000000"/>
          </a:solidFill>
          <a:prstDash val="solid"/>
        </a:ln>
      </c:spPr>
      <c:txPr>
        <a:bodyPr/>
        <a:lstStyle/>
        <a:p>
          <a:pPr>
            <a:defRPr sz="689" b="1" i="0" u="none" strike="noStrike" baseline="0">
              <a:solidFill>
                <a:srgbClr val="000000"/>
              </a:solidFill>
              <a:latin typeface="Calibri"/>
              <a:ea typeface="Calibri"/>
              <a:cs typeface="Calibri"/>
            </a:defRPr>
          </a:pPr>
          <a:endParaRPr lang="uk-UA"/>
        </a:p>
      </c:txPr>
    </c:legend>
    <c:plotVisOnly val="1"/>
    <c:dispBlanksAs val="zero"/>
    <c:showDLblsOverMax val="0"/>
  </c:chart>
  <c:spPr>
    <a:noFill/>
    <a:ln>
      <a:noFill/>
    </a:ln>
  </c:spPr>
  <c:txPr>
    <a:bodyPr/>
    <a:lstStyle/>
    <a:p>
      <a:pPr>
        <a:defRPr sz="599" b="1" i="0" u="none" strike="noStrike" baseline="0">
          <a:solidFill>
            <a:srgbClr val="000000"/>
          </a:solidFill>
          <a:latin typeface="Calibri"/>
          <a:ea typeface="Calibri"/>
          <a:cs typeface="Calibri"/>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E298-E0A8-4A37-87CE-F0BE63BC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115</Pages>
  <Words>115124</Words>
  <Characters>65621</Characters>
  <Application>Microsoft Office Word</Application>
  <DocSecurity>4</DocSecurity>
  <Lines>546</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Драницька Аня Василівна</dc:creator>
  <cp:lastModifiedBy>Черненко Єлизавета Павлівна</cp:lastModifiedBy>
  <cp:revision>2</cp:revision>
  <dcterms:created xsi:type="dcterms:W3CDTF">2011-05-16T07:58:00Z</dcterms:created>
  <dcterms:modified xsi:type="dcterms:W3CDTF">2011-05-16T07:58:00Z</dcterms:modified>
</cp:coreProperties>
</file>