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548A" w14:textId="77777777" w:rsidR="006957EB" w:rsidRDefault="006957EB" w:rsidP="006957EB">
      <w:pPr>
        <w:jc w:val="center"/>
        <w:rPr>
          <w:rFonts w:ascii="Times New Roman" w:hAnsi="Times New Roman" w:cs="Times New Roman"/>
          <w:sz w:val="28"/>
          <w:szCs w:val="28"/>
          <w:lang w:val="uk-UA"/>
        </w:rPr>
      </w:pPr>
      <w:r>
        <w:rPr>
          <w:rFonts w:ascii="Times New Roman" w:hAnsi="Times New Roman" w:cs="Times New Roman"/>
          <w:sz w:val="28"/>
          <w:szCs w:val="28"/>
          <w:lang w:val="ru-RU"/>
        </w:rPr>
        <w:t xml:space="preserve">ФАКУЛЬТЕТ </w:t>
      </w:r>
      <w:r>
        <w:rPr>
          <w:rFonts w:ascii="Times New Roman" w:hAnsi="Times New Roman" w:cs="Times New Roman"/>
          <w:sz w:val="28"/>
          <w:szCs w:val="28"/>
          <w:lang w:val="uk-UA"/>
        </w:rPr>
        <w:t>ІНОЗЕМНИХ МОВ</w:t>
      </w:r>
    </w:p>
    <w:p w14:paraId="2E070468" w14:textId="77777777" w:rsidR="006957EB" w:rsidRDefault="006957EB" w:rsidP="006957EB">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ТЕОРІЇ І ПРАКТИКИ ПЕРЕКЛАДУ</w:t>
      </w:r>
    </w:p>
    <w:p w14:paraId="5E40CE30" w14:textId="77777777" w:rsidR="006957EB" w:rsidRDefault="006957EB" w:rsidP="006957EB">
      <w:pPr>
        <w:jc w:val="center"/>
        <w:rPr>
          <w:rFonts w:ascii="Times New Roman" w:hAnsi="Times New Roman" w:cs="Times New Roman"/>
          <w:sz w:val="28"/>
          <w:szCs w:val="28"/>
          <w:lang w:val="uk-UA"/>
        </w:rPr>
      </w:pPr>
      <w:r>
        <w:rPr>
          <w:rFonts w:ascii="Times New Roman" w:hAnsi="Times New Roman" w:cs="Times New Roman"/>
          <w:sz w:val="28"/>
          <w:szCs w:val="28"/>
          <w:lang w:val="uk-UA"/>
        </w:rPr>
        <w:t>2021-2022 НАВЧАЛЬНИЙ РІК</w:t>
      </w:r>
    </w:p>
    <w:p w14:paraId="7733016B" w14:textId="77777777" w:rsidR="006957EB" w:rsidRDefault="006957EB" w:rsidP="006957EB">
      <w:pPr>
        <w:jc w:val="center"/>
        <w:rPr>
          <w:rFonts w:ascii="Times New Roman" w:hAnsi="Times New Roman" w:cs="Times New Roman"/>
          <w:sz w:val="28"/>
          <w:szCs w:val="28"/>
          <w:lang w:val="uk-UA"/>
        </w:rPr>
      </w:pPr>
    </w:p>
    <w:p w14:paraId="7ACA5AFB" w14:textId="0B26BB33" w:rsidR="006957EB" w:rsidRPr="00533A43" w:rsidRDefault="006957EB" w:rsidP="006957EB">
      <w:pPr>
        <w:rPr>
          <w:rFonts w:ascii="Times New Roman" w:hAnsi="Times New Roman" w:cs="Times New Roman"/>
          <w:b/>
          <w:bCs/>
          <w:sz w:val="28"/>
          <w:szCs w:val="28"/>
          <w:lang w:val="uk-UA"/>
        </w:rPr>
      </w:pPr>
      <w:r w:rsidRPr="00533A43">
        <w:rPr>
          <w:rFonts w:ascii="Times New Roman" w:hAnsi="Times New Roman" w:cs="Times New Roman"/>
          <w:b/>
          <w:bCs/>
          <w:sz w:val="28"/>
          <w:szCs w:val="28"/>
          <w:lang w:val="uk-UA"/>
        </w:rPr>
        <w:t>Завдання №</w:t>
      </w:r>
      <w:r w:rsidR="00383265">
        <w:rPr>
          <w:rFonts w:ascii="Times New Roman" w:hAnsi="Times New Roman" w:cs="Times New Roman"/>
          <w:b/>
          <w:bCs/>
          <w:sz w:val="28"/>
          <w:szCs w:val="28"/>
          <w:lang w:val="uk-UA"/>
        </w:rPr>
        <w:t>2</w:t>
      </w:r>
      <w:r w:rsidRPr="00533A43">
        <w:rPr>
          <w:rFonts w:ascii="Times New Roman" w:hAnsi="Times New Roman" w:cs="Times New Roman"/>
          <w:b/>
          <w:bCs/>
          <w:sz w:val="28"/>
          <w:szCs w:val="28"/>
          <w:lang w:val="ru-RU"/>
        </w:rPr>
        <w:t xml:space="preserve">: </w:t>
      </w:r>
      <w:r w:rsidRPr="00533A43">
        <w:rPr>
          <w:rFonts w:ascii="Times New Roman" w:hAnsi="Times New Roman" w:cs="Times New Roman"/>
          <w:b/>
          <w:bCs/>
          <w:sz w:val="28"/>
          <w:szCs w:val="28"/>
          <w:lang w:val="uk-UA"/>
        </w:rPr>
        <w:t xml:space="preserve">                 </w:t>
      </w:r>
      <w:r w:rsidR="009726A1">
        <w:rPr>
          <w:rFonts w:ascii="Times New Roman" w:hAnsi="Times New Roman" w:cs="Times New Roman"/>
          <w:b/>
          <w:bCs/>
          <w:sz w:val="28"/>
          <w:szCs w:val="28"/>
          <w:lang w:val="uk-UA"/>
        </w:rPr>
        <w:t xml:space="preserve">          </w:t>
      </w:r>
      <w:r w:rsidRPr="006957EB">
        <w:rPr>
          <w:rFonts w:ascii="Times New Roman" w:hAnsi="Times New Roman" w:cs="Times New Roman"/>
          <w:b/>
          <w:bCs/>
          <w:sz w:val="28"/>
          <w:szCs w:val="28"/>
          <w:lang w:val="uk-UA"/>
        </w:rPr>
        <w:t>Інструкція до лікарського засобу.</w:t>
      </w:r>
    </w:p>
    <w:p w14:paraId="14CFF42E" w14:textId="13268C86" w:rsidR="009726A1" w:rsidRPr="009570E2" w:rsidRDefault="009726A1" w:rsidP="009726A1">
      <w:pPr>
        <w:rPr>
          <w:rFonts w:ascii="Times New Roman" w:hAnsi="Times New Roman" w:cs="Times New Roman"/>
          <w:b/>
          <w:bCs/>
          <w:sz w:val="28"/>
          <w:szCs w:val="28"/>
        </w:rPr>
      </w:pPr>
      <w:r w:rsidRPr="009570E2">
        <w:rPr>
          <w:rFonts w:ascii="Times New Roman" w:hAnsi="Times New Roman" w:cs="Times New Roman"/>
          <w:b/>
          <w:bCs/>
          <w:sz w:val="28"/>
          <w:szCs w:val="28"/>
        </w:rPr>
        <w:t>Обсяг тексту</w:t>
      </w:r>
      <w:r w:rsidR="00545684">
        <w:rPr>
          <w:rFonts w:ascii="Times New Roman" w:hAnsi="Times New Roman" w:cs="Times New Roman"/>
          <w:b/>
          <w:bCs/>
          <w:sz w:val="28"/>
          <w:szCs w:val="28"/>
          <w:lang w:val="uk-UA"/>
        </w:rPr>
        <w:t xml:space="preserve"> </w:t>
      </w:r>
      <w:r w:rsidRPr="009570E2">
        <w:rPr>
          <w:rFonts w:ascii="Times New Roman" w:hAnsi="Times New Roman" w:cs="Times New Roman"/>
          <w:b/>
          <w:bCs/>
          <w:sz w:val="28"/>
          <w:szCs w:val="28"/>
        </w:rPr>
        <w:t xml:space="preserve">оригіналу:         </w:t>
      </w:r>
      <w:r>
        <w:rPr>
          <w:rFonts w:ascii="Times New Roman" w:hAnsi="Times New Roman" w:cs="Times New Roman"/>
          <w:b/>
          <w:bCs/>
          <w:sz w:val="28"/>
          <w:szCs w:val="28"/>
          <w:lang w:val="uk-UA"/>
        </w:rPr>
        <w:t>6 220</w:t>
      </w:r>
      <w:r w:rsidRPr="009570E2">
        <w:rPr>
          <w:rFonts w:ascii="Times New Roman" w:hAnsi="Times New Roman" w:cs="Times New Roman"/>
          <w:b/>
          <w:bCs/>
          <w:sz w:val="28"/>
          <w:szCs w:val="28"/>
        </w:rPr>
        <w:t xml:space="preserve"> знаків</w:t>
      </w:r>
    </w:p>
    <w:p w14:paraId="7C3272EB" w14:textId="473CD957" w:rsidR="009726A1" w:rsidRPr="009726A1" w:rsidRDefault="009726A1" w:rsidP="009726A1">
      <w:pPr>
        <w:rPr>
          <w:rFonts w:ascii="Times New Roman" w:hAnsi="Times New Roman" w:cs="Times New Roman"/>
          <w:b/>
          <w:bCs/>
          <w:sz w:val="28"/>
          <w:szCs w:val="28"/>
          <w:lang w:val="uk-UA"/>
        </w:rPr>
      </w:pPr>
      <w:r w:rsidRPr="009570E2">
        <w:rPr>
          <w:rFonts w:ascii="Times New Roman" w:hAnsi="Times New Roman" w:cs="Times New Roman"/>
          <w:b/>
          <w:bCs/>
          <w:sz w:val="28"/>
          <w:szCs w:val="28"/>
        </w:rPr>
        <w:t>Обсяг тексту</w:t>
      </w:r>
      <w:r w:rsidR="00545684">
        <w:rPr>
          <w:rFonts w:ascii="Times New Roman" w:hAnsi="Times New Roman" w:cs="Times New Roman"/>
          <w:b/>
          <w:bCs/>
          <w:sz w:val="28"/>
          <w:szCs w:val="28"/>
          <w:lang w:val="uk-UA"/>
        </w:rPr>
        <w:t xml:space="preserve"> </w:t>
      </w:r>
      <w:r w:rsidRPr="009570E2">
        <w:rPr>
          <w:rFonts w:ascii="Times New Roman" w:hAnsi="Times New Roman" w:cs="Times New Roman"/>
          <w:b/>
          <w:bCs/>
          <w:sz w:val="28"/>
          <w:szCs w:val="28"/>
        </w:rPr>
        <w:t xml:space="preserve">перекладу: </w:t>
      </w:r>
      <w:r>
        <w:rPr>
          <w:rFonts w:ascii="Times New Roman" w:hAnsi="Times New Roman" w:cs="Times New Roman"/>
          <w:b/>
          <w:bCs/>
          <w:sz w:val="28"/>
          <w:szCs w:val="28"/>
          <w:lang w:val="uk-UA"/>
        </w:rPr>
        <w:t xml:space="preserve">       5 878 знаків</w:t>
      </w:r>
    </w:p>
    <w:p w14:paraId="729560EB" w14:textId="33529A87" w:rsidR="006957EB" w:rsidRDefault="006957EB" w:rsidP="009726A1">
      <w:pPr>
        <w:rPr>
          <w:rFonts w:ascii="Times New Roman" w:hAnsi="Times New Roman" w:cs="Times New Roman"/>
          <w:b/>
          <w:bCs/>
          <w:sz w:val="28"/>
          <w:szCs w:val="28"/>
          <w:lang w:val="uk-UA"/>
        </w:rPr>
      </w:pPr>
      <w:r w:rsidRPr="00533A43">
        <w:rPr>
          <w:rFonts w:ascii="Times New Roman" w:hAnsi="Times New Roman" w:cs="Times New Roman"/>
          <w:b/>
          <w:bCs/>
          <w:sz w:val="28"/>
          <w:szCs w:val="28"/>
          <w:lang w:val="uk-UA"/>
        </w:rPr>
        <w:t>Термін виконання</w:t>
      </w:r>
      <w:r w:rsidRPr="00533A43">
        <w:rPr>
          <w:rFonts w:ascii="Times New Roman" w:hAnsi="Times New Roman" w:cs="Times New Roman"/>
          <w:b/>
          <w:bCs/>
          <w:sz w:val="28"/>
          <w:szCs w:val="28"/>
          <w:lang w:val="ru-RU"/>
        </w:rPr>
        <w:t>:</w:t>
      </w:r>
      <w:r w:rsidRPr="00533A43">
        <w:rPr>
          <w:rFonts w:ascii="Times New Roman" w:hAnsi="Times New Roman" w:cs="Times New Roman"/>
          <w:b/>
          <w:bCs/>
          <w:sz w:val="28"/>
          <w:szCs w:val="28"/>
          <w:lang w:val="uk-UA"/>
        </w:rPr>
        <w:t xml:space="preserve">       </w:t>
      </w:r>
      <w:r w:rsidR="009726A1">
        <w:rPr>
          <w:rFonts w:ascii="Times New Roman" w:hAnsi="Times New Roman" w:cs="Times New Roman"/>
          <w:b/>
          <w:bCs/>
          <w:sz w:val="28"/>
          <w:szCs w:val="28"/>
          <w:lang w:val="uk-UA"/>
        </w:rPr>
        <w:t xml:space="preserve">      </w:t>
      </w:r>
      <w:r w:rsidRPr="00533A43">
        <w:rPr>
          <w:rFonts w:ascii="Times New Roman" w:hAnsi="Times New Roman" w:cs="Times New Roman"/>
          <w:b/>
          <w:bCs/>
          <w:sz w:val="28"/>
          <w:szCs w:val="28"/>
          <w:lang w:val="uk-UA"/>
        </w:rPr>
        <w:t xml:space="preserve">  </w:t>
      </w:r>
      <w:r w:rsidR="009726A1">
        <w:rPr>
          <w:rFonts w:ascii="Times New Roman" w:hAnsi="Times New Roman" w:cs="Times New Roman"/>
          <w:b/>
          <w:bCs/>
          <w:sz w:val="28"/>
          <w:szCs w:val="28"/>
          <w:lang w:val="uk-UA"/>
        </w:rPr>
        <w:t xml:space="preserve">    </w:t>
      </w:r>
      <w:r w:rsidRPr="00533A43">
        <w:rPr>
          <w:rFonts w:ascii="Times New Roman" w:hAnsi="Times New Roman" w:cs="Times New Roman"/>
          <w:b/>
          <w:bCs/>
          <w:sz w:val="28"/>
          <w:szCs w:val="28"/>
          <w:lang w:val="uk-UA"/>
        </w:rPr>
        <w:t>до 1</w:t>
      </w:r>
      <w:r w:rsidR="009726A1">
        <w:rPr>
          <w:rFonts w:ascii="Times New Roman" w:hAnsi="Times New Roman" w:cs="Times New Roman"/>
          <w:b/>
          <w:bCs/>
          <w:sz w:val="28"/>
          <w:szCs w:val="28"/>
          <w:lang w:val="uk-UA"/>
        </w:rPr>
        <w:t>2</w:t>
      </w:r>
      <w:r w:rsidRPr="00533A43">
        <w:rPr>
          <w:rFonts w:ascii="Times New Roman" w:hAnsi="Times New Roman" w:cs="Times New Roman"/>
          <w:b/>
          <w:bCs/>
          <w:sz w:val="28"/>
          <w:szCs w:val="28"/>
          <w:lang w:val="uk-UA"/>
        </w:rPr>
        <w:t>.04.2022</w:t>
      </w:r>
    </w:p>
    <w:p w14:paraId="67B3FDB9" w14:textId="77777777" w:rsidR="006957EB" w:rsidRDefault="006957EB" w:rsidP="006957EB">
      <w:pPr>
        <w:rPr>
          <w:rFonts w:ascii="Times New Roman" w:hAnsi="Times New Roman" w:cs="Times New Roman"/>
          <w:b/>
          <w:bCs/>
          <w:sz w:val="28"/>
          <w:szCs w:val="28"/>
          <w:lang w:val="uk-UA"/>
        </w:rPr>
      </w:pPr>
    </w:p>
    <w:p w14:paraId="16EA7BC8" w14:textId="40F8F024" w:rsidR="006957EB" w:rsidRDefault="006957EB">
      <w:pPr>
        <w:rPr>
          <w:rFonts w:ascii="Times New Roman" w:hAnsi="Times New Roman" w:cs="Times New Roman"/>
          <w:sz w:val="28"/>
          <w:szCs w:val="28"/>
          <w:lang w:val="uk-UA"/>
        </w:rPr>
      </w:pPr>
      <w:r>
        <w:rPr>
          <w:rFonts w:ascii="Times New Roman" w:hAnsi="Times New Roman" w:cs="Times New Roman"/>
          <w:b/>
          <w:bCs/>
          <w:sz w:val="28"/>
          <w:szCs w:val="28"/>
          <w:lang w:val="uk-UA"/>
        </w:rPr>
        <w:t>Виконавець</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Підгорна Карина</w:t>
      </w:r>
    </w:p>
    <w:p w14:paraId="29215957" w14:textId="7F6D2449" w:rsidR="007A6644" w:rsidRDefault="007A6644">
      <w:pPr>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5240"/>
        <w:gridCol w:w="5240"/>
      </w:tblGrid>
      <w:tr w:rsidR="007A6644" w14:paraId="1AF207A0" w14:textId="77777777" w:rsidTr="0044782C">
        <w:tc>
          <w:tcPr>
            <w:tcW w:w="5240" w:type="dxa"/>
          </w:tcPr>
          <w:p w14:paraId="7C52C3DD" w14:textId="77777777" w:rsidR="007A6644" w:rsidRPr="001F354B" w:rsidRDefault="007A6644" w:rsidP="0044782C">
            <w:pPr>
              <w:pStyle w:val="a4"/>
              <w:ind w:left="28" w:right="168"/>
              <w:jc w:val="right"/>
            </w:pPr>
            <w:r w:rsidRPr="001F354B">
              <w:rPr>
                <w:rStyle w:val="a5"/>
              </w:rPr>
              <w:t>ЗАТВЕРДЖЕНО</w:t>
            </w:r>
          </w:p>
          <w:p w14:paraId="0E30FF28" w14:textId="77777777" w:rsidR="007A6644" w:rsidRPr="001F354B" w:rsidRDefault="007A6644" w:rsidP="0044782C">
            <w:pPr>
              <w:pStyle w:val="a4"/>
              <w:ind w:left="28" w:right="168"/>
              <w:jc w:val="right"/>
            </w:pPr>
            <w:r w:rsidRPr="001F354B">
              <w:rPr>
                <w:rStyle w:val="a5"/>
              </w:rPr>
              <w:t>Наказ Міністерства охорони здоровʼя України</w:t>
            </w:r>
          </w:p>
          <w:p w14:paraId="08B95D67" w14:textId="77777777" w:rsidR="007A6644" w:rsidRPr="001F354B" w:rsidRDefault="007A6644" w:rsidP="0044782C">
            <w:pPr>
              <w:pStyle w:val="a4"/>
              <w:ind w:left="28" w:right="168"/>
              <w:jc w:val="right"/>
            </w:pPr>
            <w:r w:rsidRPr="001F354B">
              <w:rPr>
                <w:rStyle w:val="a5"/>
              </w:rPr>
              <w:t>29.03.2021 № 592</w:t>
            </w:r>
          </w:p>
          <w:p w14:paraId="4A40F0EA" w14:textId="77777777" w:rsidR="007A6644" w:rsidRPr="001F354B" w:rsidRDefault="007A6644" w:rsidP="0044782C">
            <w:pPr>
              <w:pStyle w:val="a4"/>
              <w:ind w:left="28" w:right="168"/>
              <w:jc w:val="right"/>
            </w:pPr>
            <w:r w:rsidRPr="001F354B">
              <w:rPr>
                <w:rStyle w:val="a5"/>
              </w:rPr>
              <w:t>Реєстраційне посвідчення</w:t>
            </w:r>
          </w:p>
          <w:p w14:paraId="38671933" w14:textId="77777777" w:rsidR="007A6644" w:rsidRPr="001F354B" w:rsidRDefault="007A6644" w:rsidP="0044782C">
            <w:pPr>
              <w:pStyle w:val="a4"/>
              <w:ind w:left="28" w:right="168"/>
              <w:jc w:val="right"/>
            </w:pPr>
            <w:r w:rsidRPr="001F354B">
              <w:rPr>
                <w:rStyle w:val="a5"/>
              </w:rPr>
              <w:t>№ UA/4369/01/03</w:t>
            </w:r>
          </w:p>
          <w:p w14:paraId="663E8B59" w14:textId="77777777" w:rsidR="007A6644" w:rsidRPr="001F354B" w:rsidRDefault="007A6644" w:rsidP="0044782C">
            <w:pPr>
              <w:pStyle w:val="a4"/>
              <w:ind w:left="28" w:right="168"/>
              <w:jc w:val="center"/>
            </w:pPr>
            <w:r w:rsidRPr="001F354B">
              <w:rPr>
                <w:rStyle w:val="a5"/>
              </w:rPr>
              <w:t>ІНСТРУКЦІЯ</w:t>
            </w:r>
          </w:p>
          <w:p w14:paraId="0874BCA9" w14:textId="77777777" w:rsidR="007A6644" w:rsidRPr="001F354B" w:rsidRDefault="007A6644" w:rsidP="0044782C">
            <w:pPr>
              <w:pStyle w:val="a4"/>
              <w:ind w:left="28" w:right="168"/>
              <w:jc w:val="center"/>
            </w:pPr>
            <w:r w:rsidRPr="001F354B">
              <w:rPr>
                <w:rStyle w:val="a5"/>
              </w:rPr>
              <w:t>для медичного застосування лікарського засобу</w:t>
            </w:r>
          </w:p>
          <w:p w14:paraId="01766562" w14:textId="77777777" w:rsidR="007A6644" w:rsidRPr="001F354B" w:rsidRDefault="007A6644" w:rsidP="0044782C">
            <w:pPr>
              <w:pStyle w:val="a4"/>
              <w:ind w:left="28" w:right="168"/>
              <w:jc w:val="center"/>
            </w:pPr>
            <w:r w:rsidRPr="001F354B">
              <w:rPr>
                <w:rStyle w:val="a5"/>
              </w:rPr>
              <w:t>ПАРАЦЕТАМОЛ-ДАРНИЦЯ</w:t>
            </w:r>
          </w:p>
          <w:p w14:paraId="361C06BE" w14:textId="77777777" w:rsidR="007A6644" w:rsidRPr="001F354B" w:rsidRDefault="007A6644" w:rsidP="0044782C">
            <w:pPr>
              <w:pStyle w:val="a4"/>
              <w:ind w:left="28" w:right="168"/>
              <w:jc w:val="center"/>
            </w:pPr>
            <w:r w:rsidRPr="001F354B">
              <w:rPr>
                <w:rStyle w:val="a5"/>
              </w:rPr>
              <w:t>(PARACETAMOL-DARNITSA)</w:t>
            </w:r>
          </w:p>
          <w:p w14:paraId="6C3B6BF5" w14:textId="77777777" w:rsidR="007A6644" w:rsidRPr="001F354B" w:rsidRDefault="007A6644" w:rsidP="0044782C">
            <w:pPr>
              <w:pStyle w:val="a4"/>
              <w:ind w:left="28" w:right="168"/>
              <w:jc w:val="both"/>
            </w:pPr>
            <w:r w:rsidRPr="001F354B">
              <w:rPr>
                <w:rStyle w:val="a6"/>
              </w:rPr>
              <w:t>Склад:</w:t>
            </w:r>
          </w:p>
          <w:p w14:paraId="3EA97F81" w14:textId="77777777" w:rsidR="007A6644" w:rsidRPr="001F354B" w:rsidRDefault="007A6644" w:rsidP="0044782C">
            <w:pPr>
              <w:pStyle w:val="a4"/>
              <w:ind w:left="28" w:right="168"/>
              <w:jc w:val="both"/>
            </w:pPr>
            <w:r w:rsidRPr="001F354B">
              <w:rPr>
                <w:rStyle w:val="a6"/>
              </w:rPr>
              <w:t>діюча речовина:</w:t>
            </w:r>
            <w:r w:rsidRPr="001F354B">
              <w:t xml:space="preserve"> paracetamol;</w:t>
            </w:r>
          </w:p>
          <w:p w14:paraId="078D481E" w14:textId="77777777" w:rsidR="007A6644" w:rsidRPr="001F354B" w:rsidRDefault="007A6644" w:rsidP="0044782C">
            <w:pPr>
              <w:pStyle w:val="a4"/>
              <w:ind w:left="28" w:right="168"/>
              <w:jc w:val="both"/>
            </w:pPr>
            <w:r w:rsidRPr="001F354B">
              <w:t>1 таблетка містить парацетамолу 500 мг;</w:t>
            </w:r>
          </w:p>
          <w:p w14:paraId="5214489E" w14:textId="77777777" w:rsidR="007A6644" w:rsidRPr="001F354B" w:rsidRDefault="007A6644" w:rsidP="0044782C">
            <w:pPr>
              <w:pStyle w:val="a4"/>
              <w:ind w:left="28" w:right="168"/>
              <w:jc w:val="both"/>
            </w:pPr>
            <w:r w:rsidRPr="001F354B">
              <w:rPr>
                <w:rStyle w:val="a6"/>
              </w:rPr>
              <w:t>допоміжні речовини:</w:t>
            </w:r>
            <w:r w:rsidRPr="001F354B">
              <w:t xml:space="preserve"> крохмаль прежелатинізований, повідон, целюлоза мікрокристалічна, натрію кроскармелоза, кальцію стеарат.</w:t>
            </w:r>
          </w:p>
          <w:p w14:paraId="6F32A532" w14:textId="77777777" w:rsidR="007A6644" w:rsidRPr="001F354B" w:rsidRDefault="007A6644" w:rsidP="0044782C">
            <w:pPr>
              <w:pStyle w:val="a4"/>
              <w:ind w:left="28" w:right="168"/>
              <w:jc w:val="both"/>
            </w:pPr>
            <w:r w:rsidRPr="001F354B">
              <w:rPr>
                <w:rStyle w:val="a5"/>
              </w:rPr>
              <w:t>Лікарська форма.</w:t>
            </w:r>
            <w:r w:rsidRPr="001F354B">
              <w:t xml:space="preserve"> Таблетки.</w:t>
            </w:r>
          </w:p>
          <w:p w14:paraId="04F85A2A" w14:textId="77777777" w:rsidR="007A6644" w:rsidRPr="001F354B" w:rsidRDefault="007A6644" w:rsidP="0044782C">
            <w:pPr>
              <w:pStyle w:val="a4"/>
              <w:ind w:left="28" w:right="168"/>
              <w:jc w:val="both"/>
            </w:pPr>
            <w:r w:rsidRPr="001F354B">
              <w:rPr>
                <w:rStyle w:val="a6"/>
              </w:rPr>
              <w:t xml:space="preserve">Основні фізико-хімічні властивості: </w:t>
            </w:r>
            <w:r w:rsidRPr="001F354B">
              <w:t>таблетки білого або майже білого кольору, плоскоциліндричної форми, з фаскою та рискою. Допускається сіруватий відтінок.</w:t>
            </w:r>
          </w:p>
          <w:p w14:paraId="46A7BF6B" w14:textId="77777777" w:rsidR="007A6644" w:rsidRPr="001F354B" w:rsidRDefault="007A6644" w:rsidP="0044782C">
            <w:pPr>
              <w:pStyle w:val="a4"/>
              <w:autoSpaceDE w:val="0"/>
              <w:autoSpaceDN w:val="0"/>
              <w:ind w:left="28" w:right="168"/>
              <w:jc w:val="both"/>
            </w:pPr>
            <w:r w:rsidRPr="001F354B">
              <w:rPr>
                <w:rStyle w:val="a5"/>
              </w:rPr>
              <w:t>Фармакотерапевтична група.</w:t>
            </w:r>
          </w:p>
          <w:p w14:paraId="2C67549F" w14:textId="77777777" w:rsidR="007A6644" w:rsidRPr="001F354B" w:rsidRDefault="007A6644" w:rsidP="0044782C">
            <w:pPr>
              <w:pStyle w:val="a4"/>
              <w:ind w:left="28" w:right="168"/>
              <w:jc w:val="both"/>
            </w:pPr>
            <w:r w:rsidRPr="001F354B">
              <w:t>Аналгетики та антипіретики. Аніліди. Парацетамол. Код АТХ N02B E01.</w:t>
            </w:r>
          </w:p>
          <w:p w14:paraId="13262F0E" w14:textId="77777777" w:rsidR="007A6644" w:rsidRPr="001F354B" w:rsidRDefault="007A6644" w:rsidP="0044782C">
            <w:pPr>
              <w:pStyle w:val="a4"/>
              <w:ind w:left="28" w:right="168"/>
            </w:pPr>
            <w:r w:rsidRPr="001F354B">
              <w:rPr>
                <w:rStyle w:val="a6"/>
              </w:rPr>
              <w:lastRenderedPageBreak/>
              <w:t>Фармакологічні властивості.</w:t>
            </w:r>
          </w:p>
          <w:p w14:paraId="3AE7F704" w14:textId="77777777" w:rsidR="007A6644" w:rsidRPr="001F354B" w:rsidRDefault="007A6644" w:rsidP="0044782C">
            <w:pPr>
              <w:pStyle w:val="a4"/>
              <w:snapToGrid w:val="0"/>
              <w:ind w:left="28" w:right="168"/>
              <w:jc w:val="both"/>
            </w:pPr>
            <w:r w:rsidRPr="001F354B">
              <w:rPr>
                <w:rStyle w:val="a6"/>
              </w:rPr>
              <w:t>Фармакодинаміка.</w:t>
            </w:r>
          </w:p>
          <w:p w14:paraId="6FFC2081" w14:textId="77777777" w:rsidR="007A6644" w:rsidRPr="001F354B" w:rsidRDefault="007A6644" w:rsidP="0044782C">
            <w:pPr>
              <w:pStyle w:val="a4"/>
              <w:ind w:left="28" w:right="168"/>
              <w:jc w:val="both"/>
            </w:pPr>
            <w:r w:rsidRPr="001F354B">
              <w:t>Ненаркотичний аналгетик. Неселективно інгібує циклооксигеназу (ЦОГ), впливаючи на центри болю і терморегуляції. У запалених тканинах клітинні пероксидази нейтралізують вплив парацетамолу на ЦОГ, що пояснює незначний протизапальний ефект. Відсутній вплив на синтез простагландинів у периферичних тканинах, що зумовлює відсутність у парацетамолу негативного впливу на водно-сольовий обмін (затримка натрію і води) і слизову оболонку шлунково-кишкового тракту. Можливість утворення метгемоглобіну і сульфгемоглобіну малоймовірна.</w:t>
            </w:r>
          </w:p>
          <w:p w14:paraId="3677DCB7" w14:textId="77777777" w:rsidR="007A6644" w:rsidRPr="001F354B" w:rsidRDefault="007A6644" w:rsidP="0044782C">
            <w:pPr>
              <w:pStyle w:val="a4"/>
              <w:ind w:left="28" w:right="168"/>
              <w:jc w:val="both"/>
            </w:pPr>
            <w:r w:rsidRPr="001F354B">
              <w:rPr>
                <w:rStyle w:val="a6"/>
              </w:rPr>
              <w:t>Фармакокінетика.</w:t>
            </w:r>
          </w:p>
          <w:p w14:paraId="2F5B2908" w14:textId="77777777" w:rsidR="007A6644" w:rsidRPr="001F354B" w:rsidRDefault="007A6644" w:rsidP="0044782C">
            <w:pPr>
              <w:pStyle w:val="a4"/>
              <w:ind w:left="28" w:right="168"/>
              <w:jc w:val="both"/>
            </w:pPr>
            <w:r w:rsidRPr="001F354B">
              <w:t>Абсорбція – висока, практично 100 %. У системному кровотоку 15 % препарату, що всмоктався, зв’язується з білками плазми крові. Час досягнення максимальної концентрації у крові (T</w:t>
            </w:r>
            <w:r w:rsidRPr="001F354B">
              <w:rPr>
                <w:vertAlign w:val="subscript"/>
              </w:rPr>
              <w:t>Cmax</w:t>
            </w:r>
            <w:r w:rsidRPr="001F354B">
              <w:t>) становить 20−30 хвилин. Терапевтично ефективна концентрація парацетамолу у плазмі крові досягається при його призначенні в дозі 10−15 мг/кг. Проникає крізь гематоенцефалічний бар’єр і в грудне молоко. Кількість препарату у грудному молоці становить менше 1 % від прийнятої матір’ю-годувальницею дози парацетамолу. Метаболізується у печінці: 80 % вступає в реакції кон’югації з глюкуроновою кислотою і сульфатами з утворенням неактивних метаболітів. 17 % препарату піддається гідроксилюванню з утворенням активних метаболітів, що кон’югують із глутатіоном і утворюють неактивні метаболіти. При нестачі глутатіону ці метаболіти можуть блокувати ферментні системи гепатоцитів і зумовлювати їхній некроз. Період напіввиведення (T</w:t>
            </w:r>
            <w:r w:rsidRPr="001F354B">
              <w:rPr>
                <w:vertAlign w:val="subscript"/>
              </w:rPr>
              <w:t>1/2</w:t>
            </w:r>
            <w:r w:rsidRPr="001F354B">
              <w:t>) парацетамолу – 2−3 години. У хворих літнього віку знижується кліренс препарату і збільшується T</w:t>
            </w:r>
            <w:r w:rsidRPr="001F354B">
              <w:rPr>
                <w:vertAlign w:val="subscript"/>
              </w:rPr>
              <w:t>1/2</w:t>
            </w:r>
            <w:r w:rsidRPr="001F354B">
              <w:t>. Виводиться нирками – 3 % у незміненому вигляді.</w:t>
            </w:r>
          </w:p>
          <w:p w14:paraId="5741D57F" w14:textId="77777777" w:rsidR="007A6644" w:rsidRPr="001F354B" w:rsidRDefault="007A6644" w:rsidP="0044782C">
            <w:pPr>
              <w:pStyle w:val="a4"/>
              <w:ind w:left="28" w:right="168"/>
            </w:pPr>
            <w:r w:rsidRPr="001F354B">
              <w:rPr>
                <w:rStyle w:val="a5"/>
              </w:rPr>
              <w:t>Клінічні характеристики.</w:t>
            </w:r>
          </w:p>
          <w:p w14:paraId="13A84ED1" w14:textId="77777777" w:rsidR="007A6644" w:rsidRPr="001F354B" w:rsidRDefault="007A6644" w:rsidP="0044782C">
            <w:pPr>
              <w:pStyle w:val="a4"/>
              <w:ind w:left="28" w:right="168"/>
            </w:pPr>
            <w:r w:rsidRPr="001F354B">
              <w:rPr>
                <w:rStyle w:val="a6"/>
              </w:rPr>
              <w:t>Показання.</w:t>
            </w:r>
          </w:p>
          <w:p w14:paraId="3AE46E0F" w14:textId="77777777" w:rsidR="007A6644" w:rsidRPr="001F354B" w:rsidRDefault="007A6644" w:rsidP="0044782C">
            <w:pPr>
              <w:pStyle w:val="a4"/>
              <w:autoSpaceDE w:val="0"/>
              <w:autoSpaceDN w:val="0"/>
              <w:ind w:left="28" w:right="168"/>
              <w:jc w:val="both"/>
            </w:pPr>
            <w:r w:rsidRPr="001F354B">
              <w:t xml:space="preserve">Головний біль, включаючи мігрень та головний біль напруження, зубний біль, біль у спині, ревматичний біль, біль у м’язах, періодичні болі у жінок, помірний біль при </w:t>
            </w:r>
            <w:r w:rsidRPr="001F354B">
              <w:lastRenderedPageBreak/>
              <w:t>артритах; полегшення симптомів гарячки та болю при застуді та грипі.</w:t>
            </w:r>
          </w:p>
          <w:p w14:paraId="685F0FE3" w14:textId="77777777" w:rsidR="007A6644" w:rsidRPr="001F354B" w:rsidRDefault="007A6644" w:rsidP="0044782C">
            <w:pPr>
              <w:pStyle w:val="a4"/>
              <w:ind w:left="28" w:right="168"/>
            </w:pPr>
            <w:r w:rsidRPr="001F354B">
              <w:rPr>
                <w:rStyle w:val="a6"/>
              </w:rPr>
              <w:t>Протипоказання.</w:t>
            </w:r>
          </w:p>
          <w:p w14:paraId="21F15A86" w14:textId="77777777" w:rsidR="007A6644" w:rsidRPr="001F354B" w:rsidRDefault="007A6644" w:rsidP="0044782C">
            <w:pPr>
              <w:pStyle w:val="a4"/>
              <w:autoSpaceDE w:val="0"/>
              <w:autoSpaceDN w:val="0"/>
              <w:ind w:left="28" w:right="168"/>
              <w:jc w:val="both"/>
            </w:pPr>
            <w:r w:rsidRPr="001F354B">
              <w:t>Підвищена чутливість до компонентів лікарського засобу, тяжкі порушення функції печінки та/або нирок, вроджена гіпербілірубінемія, дефіцит глюкозо-6-фосфатдегідрогенази, алкоголізм, захворювання крові, синдром Жильбера, виражена анемія, лейкопенія.</w:t>
            </w:r>
          </w:p>
          <w:p w14:paraId="432A7F1A" w14:textId="77777777" w:rsidR="007A6644" w:rsidRPr="001F354B" w:rsidRDefault="007A6644" w:rsidP="0044782C">
            <w:pPr>
              <w:pStyle w:val="a4"/>
              <w:snapToGrid w:val="0"/>
              <w:ind w:left="28" w:right="168"/>
            </w:pPr>
            <w:r w:rsidRPr="001F354B">
              <w:rPr>
                <w:rStyle w:val="a6"/>
              </w:rPr>
              <w:t>Взаємодія з іншими лікарськими засобами та інші види взаємодій.</w:t>
            </w:r>
          </w:p>
          <w:p w14:paraId="505AD9AB" w14:textId="77777777" w:rsidR="007A6644" w:rsidRPr="001F354B" w:rsidRDefault="007A6644" w:rsidP="0044782C">
            <w:pPr>
              <w:pStyle w:val="a4"/>
              <w:autoSpaceDE w:val="0"/>
              <w:autoSpaceDN w:val="0"/>
              <w:ind w:left="28" w:right="168"/>
              <w:jc w:val="both"/>
            </w:pPr>
            <w:r w:rsidRPr="001F354B">
              <w:t xml:space="preserve">Швидкість всмоктування парацетамолу може збільшуватися при застосуванні </w:t>
            </w:r>
            <w:r w:rsidRPr="001F354B">
              <w:rPr>
                <w:rStyle w:val="a6"/>
              </w:rPr>
              <w:t>метоклопраміду</w:t>
            </w:r>
            <w:r w:rsidRPr="001F354B">
              <w:t xml:space="preserve"> та </w:t>
            </w:r>
            <w:r w:rsidRPr="001F354B">
              <w:rPr>
                <w:rStyle w:val="a6"/>
              </w:rPr>
              <w:t>домперидону</w:t>
            </w:r>
            <w:r w:rsidRPr="001F354B">
              <w:t xml:space="preserve"> і зменшуватися при застосуванні </w:t>
            </w:r>
            <w:r w:rsidRPr="001F354B">
              <w:rPr>
                <w:rStyle w:val="a6"/>
              </w:rPr>
              <w:t>холестираміну</w:t>
            </w:r>
            <w:r w:rsidRPr="001F354B">
              <w:t>.</w:t>
            </w:r>
          </w:p>
          <w:p w14:paraId="485D4B10" w14:textId="77777777" w:rsidR="007A6644" w:rsidRPr="001F354B" w:rsidRDefault="007A6644" w:rsidP="0044782C">
            <w:pPr>
              <w:pStyle w:val="a4"/>
              <w:autoSpaceDE w:val="0"/>
              <w:autoSpaceDN w:val="0"/>
              <w:ind w:left="28" w:right="168"/>
              <w:jc w:val="both"/>
            </w:pPr>
            <w:r w:rsidRPr="001F354B">
              <w:t>Парацетамол слід застосовувати за 1 годину до або через 4−6 годин після прийому холестираміну.</w:t>
            </w:r>
          </w:p>
          <w:p w14:paraId="3E158BC4" w14:textId="77777777" w:rsidR="007A6644" w:rsidRPr="001F354B" w:rsidRDefault="007A6644" w:rsidP="0044782C">
            <w:pPr>
              <w:pStyle w:val="a4"/>
              <w:autoSpaceDE w:val="0"/>
              <w:autoSpaceDN w:val="0"/>
              <w:ind w:left="28" w:right="168"/>
              <w:jc w:val="both"/>
            </w:pPr>
            <w:r w:rsidRPr="001F354B">
              <w:t xml:space="preserve">Антикоагулянтний ефект </w:t>
            </w:r>
            <w:r w:rsidRPr="001F354B">
              <w:rPr>
                <w:rStyle w:val="a6"/>
              </w:rPr>
              <w:t>варфарину</w:t>
            </w:r>
            <w:r w:rsidRPr="001F354B">
              <w:t xml:space="preserve"> та інших </w:t>
            </w:r>
            <w:r w:rsidRPr="001F354B">
              <w:rPr>
                <w:rStyle w:val="a6"/>
              </w:rPr>
              <w:t>кумаринів</w:t>
            </w:r>
            <w:r w:rsidRPr="001F354B">
              <w:t xml:space="preserve"> із підвищенням ризику кровотечі може бути посилений при одночасному тривалому застосуванні парацетамолу. Періодичний прийом не має значного ефекту.</w:t>
            </w:r>
          </w:p>
          <w:p w14:paraId="5B9FA7B5" w14:textId="77777777" w:rsidR="007A6644" w:rsidRPr="001F354B" w:rsidRDefault="007A6644" w:rsidP="0044782C">
            <w:pPr>
              <w:pStyle w:val="a4"/>
              <w:autoSpaceDE w:val="0"/>
              <w:autoSpaceDN w:val="0"/>
              <w:ind w:left="28" w:right="168"/>
              <w:jc w:val="both"/>
            </w:pPr>
            <w:r w:rsidRPr="001F354B">
              <w:rPr>
                <w:rStyle w:val="a6"/>
              </w:rPr>
              <w:t>Барбітурати</w:t>
            </w:r>
            <w:r w:rsidRPr="001F354B">
              <w:t xml:space="preserve"> зменшують жарознижувальний ефект парацетамолу.</w:t>
            </w:r>
          </w:p>
          <w:p w14:paraId="16F1ABDD" w14:textId="77777777" w:rsidR="007A6644" w:rsidRPr="001F354B" w:rsidRDefault="007A6644" w:rsidP="0044782C">
            <w:pPr>
              <w:pStyle w:val="a4"/>
              <w:autoSpaceDE w:val="0"/>
              <w:autoSpaceDN w:val="0"/>
              <w:ind w:left="28" w:right="168"/>
              <w:jc w:val="both"/>
            </w:pPr>
            <w:r w:rsidRPr="001F354B">
              <w:rPr>
                <w:rStyle w:val="a6"/>
              </w:rPr>
              <w:t>Антисудомні препарати (включаючи фенітоїн, барбітурати, карбамазепін)</w:t>
            </w:r>
            <w:r w:rsidRPr="001F354B">
              <w:t xml:space="preserve">, що стимулюють активність мікросомальних ферментів печінки, можуть посилювати токсичний вплив парацетамолу на печінку внаслідок підвищення ступеня перетворення препарату на гепатотоксичні метаболіти. При одночасному застосуванні парацетамолу із гепатотоксичними засобами збільшується токсичний вплив препаратів на печінку. Одночасне застосування великих доз парацетамолу з </w:t>
            </w:r>
            <w:r w:rsidRPr="001F354B">
              <w:rPr>
                <w:rStyle w:val="a6"/>
              </w:rPr>
              <w:t>ізоніазидом</w:t>
            </w:r>
            <w:r w:rsidRPr="001F354B">
              <w:t xml:space="preserve"> підвищує ризик розвитку гепатотоксичного синдрому.</w:t>
            </w:r>
          </w:p>
          <w:p w14:paraId="505B0058" w14:textId="77777777" w:rsidR="007A6644" w:rsidRPr="001F354B" w:rsidRDefault="007A6644" w:rsidP="0044782C">
            <w:pPr>
              <w:pStyle w:val="a4"/>
              <w:ind w:left="28" w:right="168"/>
              <w:jc w:val="both"/>
            </w:pPr>
            <w:r w:rsidRPr="001F354B">
              <w:t>Пробенецид вдвічі знижує кліренс парацетамолу шляхом блокування його зв’язування з глюкуроновою кислотою, тому у разі комбінованої терапії з пробенецидом доза парацетамолу має бути зниженою.</w:t>
            </w:r>
          </w:p>
          <w:p w14:paraId="4E291F9D" w14:textId="77777777" w:rsidR="007A6644" w:rsidRPr="001F354B" w:rsidRDefault="007A6644" w:rsidP="0044782C">
            <w:pPr>
              <w:pStyle w:val="a4"/>
              <w:ind w:left="28" w:right="168"/>
              <w:jc w:val="both"/>
            </w:pPr>
            <w:r w:rsidRPr="007B487D">
              <w:t xml:space="preserve">Парацетамол слід застосовувати з обережністю з хлорамфеніколом через подовження періоду </w:t>
            </w:r>
            <w:r w:rsidRPr="007B487D">
              <w:lastRenderedPageBreak/>
              <w:t>напіввиведення та збільшення токсичної дії останнього.</w:t>
            </w:r>
          </w:p>
          <w:p w14:paraId="1AAE963D" w14:textId="77777777" w:rsidR="007A6644" w:rsidRPr="001F354B" w:rsidRDefault="007A6644" w:rsidP="0044782C">
            <w:pPr>
              <w:pStyle w:val="a4"/>
              <w:autoSpaceDE w:val="0"/>
              <w:autoSpaceDN w:val="0"/>
              <w:ind w:left="28" w:right="168"/>
              <w:jc w:val="both"/>
            </w:pPr>
            <w:r w:rsidRPr="001F354B">
              <w:t xml:space="preserve">Парацетамол знижує ефективність </w:t>
            </w:r>
            <w:r w:rsidRPr="001F354B">
              <w:rPr>
                <w:rStyle w:val="a6"/>
              </w:rPr>
              <w:t>діуретиків.</w:t>
            </w:r>
          </w:p>
          <w:p w14:paraId="36C67196" w14:textId="77777777" w:rsidR="007A6644" w:rsidRPr="001F354B" w:rsidRDefault="007A6644" w:rsidP="0044782C">
            <w:pPr>
              <w:pStyle w:val="a4"/>
              <w:autoSpaceDE w:val="0"/>
              <w:autoSpaceDN w:val="0"/>
              <w:ind w:left="28" w:right="168"/>
            </w:pPr>
            <w:r w:rsidRPr="001F354B">
              <w:t>Не застосовувати одночасно з</w:t>
            </w:r>
            <w:r w:rsidRPr="001F354B">
              <w:rPr>
                <w:rStyle w:val="a6"/>
              </w:rPr>
              <w:t xml:space="preserve"> алкоголем.</w:t>
            </w:r>
          </w:p>
          <w:p w14:paraId="76004FA5" w14:textId="77777777" w:rsidR="007A6644" w:rsidRPr="007B487D" w:rsidRDefault="007A6644" w:rsidP="0044782C">
            <w:pPr>
              <w:pStyle w:val="a4"/>
              <w:ind w:left="28" w:right="168"/>
            </w:pPr>
            <w:r w:rsidRPr="007B487D">
              <w:rPr>
                <w:rStyle w:val="a6"/>
              </w:rPr>
              <w:t>Особливості застосування.</w:t>
            </w:r>
          </w:p>
          <w:p w14:paraId="04FC6A13" w14:textId="77777777" w:rsidR="007A6644" w:rsidRPr="007B487D" w:rsidRDefault="007A6644" w:rsidP="0044782C">
            <w:pPr>
              <w:pStyle w:val="a4"/>
              <w:autoSpaceDE w:val="0"/>
              <w:autoSpaceDN w:val="0"/>
              <w:ind w:left="28" w:right="168"/>
              <w:jc w:val="both"/>
            </w:pPr>
            <w:r w:rsidRPr="007B487D">
              <w:t>Не перевищувати зазначених доз. Не приймати препарат з іншими засобами, що містять парацетамол, − це може призвести до передозування. Передозування парацетамолу може спричинити печінкову недостатність, що може призвести до необхідності пересадки печінки або до летального наслідку.</w:t>
            </w:r>
          </w:p>
          <w:p w14:paraId="627E1B90" w14:textId="77777777" w:rsidR="007A6644" w:rsidRPr="004416DA" w:rsidRDefault="007A6644" w:rsidP="0044782C">
            <w:pPr>
              <w:pStyle w:val="a4"/>
              <w:autoSpaceDE w:val="0"/>
              <w:autoSpaceDN w:val="0"/>
              <w:ind w:left="28" w:right="168"/>
              <w:jc w:val="both"/>
            </w:pPr>
            <w:r w:rsidRPr="004416DA">
              <w:t>Слід враховувати, що у хворих на алкогольні нециротичні ураження печінки збільшується ризик гепатотоксичної дії парацетамолу.</w:t>
            </w:r>
          </w:p>
          <w:p w14:paraId="1AF45A27" w14:textId="77777777" w:rsidR="007A6644" w:rsidRPr="007B487D" w:rsidRDefault="007A6644" w:rsidP="0044782C">
            <w:pPr>
              <w:pStyle w:val="a4"/>
              <w:ind w:left="28" w:right="168"/>
              <w:jc w:val="both"/>
            </w:pPr>
            <w:r w:rsidRPr="007B487D">
              <w:t>Зафіксовано випадки порушення функції печінки/печінкової недостатності у пацієнтів, що мали знижений рівень глутатіону, наприклад при серйозному виснаженні організму, анорексії, низькому індексі маси тіла, хронічному алкоголізмі або сепсисі.</w:t>
            </w:r>
          </w:p>
          <w:p w14:paraId="2B3340CB" w14:textId="77777777" w:rsidR="007A6644" w:rsidRPr="00C9034B" w:rsidRDefault="007A6644" w:rsidP="0044782C">
            <w:pPr>
              <w:pStyle w:val="a4"/>
              <w:ind w:left="28" w:right="168"/>
              <w:jc w:val="both"/>
            </w:pPr>
            <w:r w:rsidRPr="00C9034B">
              <w:t>Необхідно проконсультуватися з лікарем стосовно можливості застосування лікарського засобу:</w:t>
            </w:r>
          </w:p>
          <w:p w14:paraId="68496F2E" w14:textId="77777777" w:rsidR="007A6644" w:rsidRPr="00C9034B" w:rsidRDefault="007A6644" w:rsidP="0044782C">
            <w:pPr>
              <w:pStyle w:val="a4"/>
              <w:ind w:left="28" w:right="168"/>
            </w:pPr>
            <w:r w:rsidRPr="00C9034B">
              <w:t>– пацієнтам із порушеннями функції нирок і печінки;</w:t>
            </w:r>
          </w:p>
          <w:p w14:paraId="643B23D5" w14:textId="77777777" w:rsidR="007A6644" w:rsidRPr="00C9034B" w:rsidRDefault="007A6644" w:rsidP="0044782C">
            <w:pPr>
              <w:pStyle w:val="a4"/>
              <w:ind w:left="28" w:right="168"/>
            </w:pPr>
            <w:r w:rsidRPr="00C9034B">
              <w:t>– пацієнтам, які застосовують варфарин чи подібні препарати, які мають антикоагулянтний ефект;</w:t>
            </w:r>
          </w:p>
          <w:p w14:paraId="4BDA8057" w14:textId="77777777" w:rsidR="007A6644" w:rsidRPr="00C9034B" w:rsidRDefault="007A6644" w:rsidP="0044782C">
            <w:pPr>
              <w:pStyle w:val="a4"/>
              <w:ind w:left="28" w:right="168"/>
            </w:pPr>
            <w:r w:rsidRPr="00C9034B">
              <w:t>– пацієнтам, які вживають аналгетики при артритах легкої форми;</w:t>
            </w:r>
          </w:p>
          <w:p w14:paraId="187A5AE8" w14:textId="77777777" w:rsidR="007A6644" w:rsidRPr="001F354B" w:rsidRDefault="007A6644" w:rsidP="0044782C">
            <w:pPr>
              <w:pStyle w:val="a4"/>
              <w:ind w:left="28" w:right="168"/>
            </w:pPr>
            <w:r w:rsidRPr="00C9034B">
              <w:t>− у разі якщо головний біль набуває постійного характеру.</w:t>
            </w:r>
          </w:p>
          <w:p w14:paraId="28FE2CD5" w14:textId="77777777" w:rsidR="007A6644" w:rsidRPr="001F354B" w:rsidRDefault="007A6644" w:rsidP="0044782C">
            <w:pPr>
              <w:pStyle w:val="a4"/>
              <w:autoSpaceDE w:val="0"/>
              <w:autoSpaceDN w:val="0"/>
              <w:ind w:left="28" w:right="168"/>
              <w:jc w:val="both"/>
            </w:pPr>
            <w:r w:rsidRPr="001F354B">
              <w:t>У пацієнтів з тяжкими інфекціями, такими як сепсис, які супроводжуються зниженням рівня глутатіону, при прийомі парацетамолу підвищується ризик виникнення метаболічного ацидозу. Симптомами метаболічного ацидозу є глибоке, прискорене чи утруднене дихання, нудота, блювання, втрата апетиту. У разі появи цих симптомів слід негайно звернутися до лікаря.</w:t>
            </w:r>
          </w:p>
          <w:p w14:paraId="3A0AA3D9" w14:textId="77777777" w:rsidR="007A6644" w:rsidRPr="001F354B" w:rsidRDefault="007A6644" w:rsidP="0044782C">
            <w:pPr>
              <w:pStyle w:val="a4"/>
              <w:autoSpaceDE w:val="0"/>
              <w:autoSpaceDN w:val="0"/>
              <w:ind w:left="28" w:right="168"/>
              <w:jc w:val="both"/>
            </w:pPr>
            <w:r w:rsidRPr="001F354B">
              <w:lastRenderedPageBreak/>
              <w:t>Препарат може впливати на результати лабораторних досліджень щодо вмісту в крові глюкози та сечової кислоти.</w:t>
            </w:r>
          </w:p>
          <w:p w14:paraId="453C85B6" w14:textId="77777777" w:rsidR="007A6644" w:rsidRPr="001F354B" w:rsidRDefault="007A6644" w:rsidP="0044782C">
            <w:pPr>
              <w:pStyle w:val="a4"/>
              <w:autoSpaceDE w:val="0"/>
              <w:autoSpaceDN w:val="0"/>
              <w:ind w:left="28" w:right="168"/>
              <w:jc w:val="both"/>
            </w:pPr>
            <w:r w:rsidRPr="001F354B">
              <w:t>Під час лікування парацетамолом не можна вживати алкогольні напої.</w:t>
            </w:r>
          </w:p>
          <w:p w14:paraId="3DE274B4" w14:textId="77777777" w:rsidR="007A6644" w:rsidRPr="001F354B" w:rsidRDefault="007A6644" w:rsidP="0044782C">
            <w:pPr>
              <w:pStyle w:val="a4"/>
              <w:autoSpaceDE w:val="0"/>
              <w:autoSpaceDN w:val="0"/>
              <w:ind w:left="28" w:right="168"/>
              <w:jc w:val="both"/>
            </w:pPr>
            <w:r w:rsidRPr="001F354B">
              <w:t>Якщо симптоми не зникають, слід звернутися до лікаря.</w:t>
            </w:r>
          </w:p>
          <w:p w14:paraId="33A3F236" w14:textId="77777777" w:rsidR="007A6644" w:rsidRPr="001F354B" w:rsidRDefault="007A6644" w:rsidP="0044782C">
            <w:pPr>
              <w:pStyle w:val="a4"/>
              <w:ind w:left="28" w:right="168"/>
            </w:pPr>
            <w:r w:rsidRPr="001F354B">
              <w:rPr>
                <w:rStyle w:val="a6"/>
              </w:rPr>
              <w:t>Застосування у період вагітності або годування груддю.</w:t>
            </w:r>
          </w:p>
          <w:p w14:paraId="338FCCC5" w14:textId="77777777" w:rsidR="007A6644" w:rsidRPr="001F354B" w:rsidRDefault="007A6644" w:rsidP="0044782C">
            <w:pPr>
              <w:pStyle w:val="a4"/>
              <w:autoSpaceDE w:val="0"/>
              <w:autoSpaceDN w:val="0"/>
              <w:ind w:left="28" w:right="168"/>
              <w:jc w:val="both"/>
            </w:pPr>
            <w:r w:rsidRPr="001F354B">
              <w:rPr>
                <w:rStyle w:val="a6"/>
              </w:rPr>
              <w:t>Вагітність</w:t>
            </w:r>
            <w:r w:rsidRPr="001F354B">
              <w:t>. Призначення препарату у ці періоди можливе лише у випадку, коли очікувана користь для матері перевищує потенційний ризик для плода або дитини.</w:t>
            </w:r>
          </w:p>
          <w:p w14:paraId="2EAF8286" w14:textId="77777777" w:rsidR="007A6644" w:rsidRPr="001F354B" w:rsidRDefault="007A6644" w:rsidP="0044782C">
            <w:pPr>
              <w:pStyle w:val="a4"/>
              <w:autoSpaceDE w:val="0"/>
              <w:autoSpaceDN w:val="0"/>
              <w:ind w:left="28" w:right="168"/>
              <w:jc w:val="both"/>
            </w:pPr>
            <w:r w:rsidRPr="007B487D">
              <w:t>Як і при застосуванні інших лікарських засобів, перед прийомом парацетамолу у період вагітності слід проконсультуватися з лікарем. Велика кількість даних про вагітних не вказує ні на мальформативну, ні на фето/неонатальну токсичність. Епідеміологічні дослідження розвитку нервової системи у дітей, які піддавалися внутрішньоутробному впливу парацетамолу, не дають переконливих результатів. Якщо це клінічно необхідно, парацетамол можна використовувати під час вагітності, однак його слід застосовувати у найнижчій ефективній дозі протягом найкоротшого часу і з найменшою можливою частотою.</w:t>
            </w:r>
          </w:p>
          <w:p w14:paraId="1E2F2A2B" w14:textId="77777777" w:rsidR="007A6644" w:rsidRPr="001F354B" w:rsidRDefault="007A6644" w:rsidP="0044782C">
            <w:pPr>
              <w:pStyle w:val="a4"/>
              <w:autoSpaceDE w:val="0"/>
              <w:autoSpaceDN w:val="0"/>
              <w:ind w:left="28" w:right="168"/>
              <w:jc w:val="both"/>
            </w:pPr>
            <w:r w:rsidRPr="001F354B">
              <w:rPr>
                <w:rStyle w:val="a6"/>
              </w:rPr>
              <w:t>Період годування груддю</w:t>
            </w:r>
            <w:r w:rsidRPr="001F354B">
              <w:t>. Парацетамол проникає у грудне молоко, але у клінічно незначних кількостях. Доступні опубліковані дані не містять протипоказань щодо годування груддю.</w:t>
            </w:r>
          </w:p>
          <w:p w14:paraId="12718525" w14:textId="77777777" w:rsidR="007A6644" w:rsidRPr="001F354B" w:rsidRDefault="007A6644" w:rsidP="0044782C">
            <w:pPr>
              <w:pStyle w:val="a4"/>
              <w:ind w:left="28" w:right="168"/>
              <w:jc w:val="both"/>
            </w:pPr>
            <w:r w:rsidRPr="001F354B">
              <w:rPr>
                <w:rStyle w:val="a6"/>
              </w:rPr>
              <w:t>Здатність впливати на швидкість реакції при керуванні автотранспортом або іншими механізмами.</w:t>
            </w:r>
          </w:p>
          <w:p w14:paraId="280DA7E5" w14:textId="77777777" w:rsidR="007A6644" w:rsidRPr="00C46BD6" w:rsidRDefault="007A6644" w:rsidP="0044782C">
            <w:pPr>
              <w:pStyle w:val="a4"/>
              <w:ind w:left="28" w:right="168"/>
            </w:pPr>
            <w:r w:rsidRPr="001F354B">
              <w:t>Не впливає.</w:t>
            </w:r>
          </w:p>
        </w:tc>
        <w:tc>
          <w:tcPr>
            <w:tcW w:w="5240" w:type="dxa"/>
          </w:tcPr>
          <w:p w14:paraId="2EEED2A9" w14:textId="77777777" w:rsidR="007A6644" w:rsidRPr="001F354B" w:rsidRDefault="007A6644" w:rsidP="0044782C">
            <w:pPr>
              <w:pStyle w:val="a4"/>
              <w:ind w:right="66"/>
              <w:jc w:val="right"/>
              <w:rPr>
                <w:b/>
                <w:bCs/>
              </w:rPr>
            </w:pPr>
            <w:r w:rsidRPr="001F354B">
              <w:rPr>
                <w:b/>
                <w:bCs/>
              </w:rPr>
              <w:lastRenderedPageBreak/>
              <w:t xml:space="preserve">APPROVED </w:t>
            </w:r>
          </w:p>
          <w:p w14:paraId="1B146866" w14:textId="77777777" w:rsidR="007A6644" w:rsidRPr="001F354B" w:rsidRDefault="007A6644" w:rsidP="0044782C">
            <w:pPr>
              <w:pStyle w:val="a4"/>
              <w:ind w:right="66"/>
              <w:jc w:val="right"/>
              <w:rPr>
                <w:b/>
                <w:bCs/>
              </w:rPr>
            </w:pPr>
            <w:r w:rsidRPr="001F354B">
              <w:rPr>
                <w:b/>
                <w:bCs/>
              </w:rPr>
              <w:t>Order of the Ministry of Health of Ukraine</w:t>
            </w:r>
          </w:p>
          <w:p w14:paraId="78F5E412" w14:textId="77777777" w:rsidR="007A6644" w:rsidRPr="001F354B" w:rsidRDefault="007A6644" w:rsidP="0044782C">
            <w:pPr>
              <w:pStyle w:val="a4"/>
              <w:ind w:right="66"/>
              <w:jc w:val="right"/>
              <w:rPr>
                <w:b/>
                <w:bCs/>
              </w:rPr>
            </w:pPr>
            <w:r w:rsidRPr="001F354B">
              <w:rPr>
                <w:b/>
                <w:bCs/>
              </w:rPr>
              <w:t>2</w:t>
            </w:r>
            <w:r w:rsidRPr="001F354B">
              <w:rPr>
                <w:b/>
                <w:bCs/>
                <w:lang w:val="en-US"/>
              </w:rPr>
              <w:t>9</w:t>
            </w:r>
            <w:r w:rsidRPr="001F354B">
              <w:rPr>
                <w:b/>
                <w:bCs/>
              </w:rPr>
              <w:t>.0</w:t>
            </w:r>
            <w:r w:rsidRPr="001F354B">
              <w:rPr>
                <w:b/>
                <w:bCs/>
                <w:lang w:val="en-US"/>
              </w:rPr>
              <w:t>3</w:t>
            </w:r>
            <w:r w:rsidRPr="001F354B">
              <w:rPr>
                <w:b/>
                <w:bCs/>
              </w:rPr>
              <w:t>.20</w:t>
            </w:r>
            <w:r w:rsidRPr="001F354B">
              <w:rPr>
                <w:b/>
                <w:bCs/>
                <w:lang w:val="en-US"/>
              </w:rPr>
              <w:t>21</w:t>
            </w:r>
            <w:r w:rsidRPr="001F354B">
              <w:rPr>
                <w:b/>
                <w:bCs/>
              </w:rPr>
              <w:t xml:space="preserve"> No. </w:t>
            </w:r>
            <w:r w:rsidRPr="001F354B">
              <w:rPr>
                <w:b/>
                <w:bCs/>
                <w:lang w:val="en-US"/>
              </w:rPr>
              <w:t>592</w:t>
            </w:r>
            <w:r w:rsidRPr="001F354B">
              <w:rPr>
                <w:b/>
                <w:bCs/>
              </w:rPr>
              <w:t xml:space="preserve"> </w:t>
            </w:r>
          </w:p>
          <w:p w14:paraId="0C3B90A3" w14:textId="77777777" w:rsidR="007A6644" w:rsidRPr="001F354B" w:rsidRDefault="007A6644" w:rsidP="0044782C">
            <w:pPr>
              <w:pStyle w:val="a4"/>
              <w:ind w:right="66"/>
              <w:jc w:val="right"/>
              <w:rPr>
                <w:b/>
                <w:bCs/>
              </w:rPr>
            </w:pPr>
            <w:r w:rsidRPr="001F354B">
              <w:rPr>
                <w:b/>
                <w:bCs/>
              </w:rPr>
              <w:t xml:space="preserve">Marketing Authorization </w:t>
            </w:r>
          </w:p>
          <w:p w14:paraId="642867B3" w14:textId="77777777" w:rsidR="007A6644" w:rsidRPr="001F354B" w:rsidRDefault="007A6644" w:rsidP="0044782C">
            <w:pPr>
              <w:pStyle w:val="a4"/>
              <w:ind w:right="66"/>
              <w:jc w:val="right"/>
            </w:pPr>
            <w:r w:rsidRPr="001F354B">
              <w:rPr>
                <w:b/>
                <w:bCs/>
                <w:lang w:val="uk-UA"/>
              </w:rPr>
              <w:t>№</w:t>
            </w:r>
            <w:r w:rsidRPr="001F354B">
              <w:rPr>
                <w:b/>
                <w:bCs/>
              </w:rPr>
              <w:t xml:space="preserve"> UA/4369/01/03 </w:t>
            </w:r>
          </w:p>
          <w:p w14:paraId="7D1F177D" w14:textId="77777777" w:rsidR="007A6644" w:rsidRPr="001F354B" w:rsidRDefault="007A6644" w:rsidP="0044782C">
            <w:pPr>
              <w:pStyle w:val="a4"/>
              <w:ind w:right="66"/>
              <w:jc w:val="center"/>
              <w:rPr>
                <w:b/>
                <w:bCs/>
              </w:rPr>
            </w:pPr>
            <w:r w:rsidRPr="001F354B">
              <w:rPr>
                <w:b/>
                <w:bCs/>
              </w:rPr>
              <w:t>PACKAGE LEAFLET</w:t>
            </w:r>
          </w:p>
          <w:p w14:paraId="2CD511F8" w14:textId="77777777" w:rsidR="007A6644" w:rsidRPr="001F354B" w:rsidRDefault="007A6644" w:rsidP="0044782C">
            <w:pPr>
              <w:pStyle w:val="a4"/>
              <w:ind w:right="66"/>
              <w:jc w:val="center"/>
              <w:rPr>
                <w:b/>
                <w:bCs/>
              </w:rPr>
            </w:pPr>
            <w:r w:rsidRPr="001F354B">
              <w:rPr>
                <w:b/>
                <w:bCs/>
              </w:rPr>
              <w:t>for medical use of a medicinal product</w:t>
            </w:r>
          </w:p>
          <w:p w14:paraId="051F1ECE" w14:textId="77777777" w:rsidR="007A6644" w:rsidRPr="001F354B" w:rsidRDefault="007A6644" w:rsidP="0044782C">
            <w:pPr>
              <w:pStyle w:val="a4"/>
              <w:ind w:right="66"/>
              <w:jc w:val="center"/>
            </w:pPr>
            <w:r w:rsidRPr="001F354B">
              <w:rPr>
                <w:b/>
                <w:bCs/>
              </w:rPr>
              <w:t>PARACETAMOL</w:t>
            </w:r>
            <w:r w:rsidRPr="001F354B">
              <w:rPr>
                <w:b/>
                <w:bCs/>
                <w:lang w:val="uk-UA"/>
              </w:rPr>
              <w:t>-</w:t>
            </w:r>
            <w:r w:rsidRPr="001F354B">
              <w:rPr>
                <w:b/>
                <w:bCs/>
              </w:rPr>
              <w:t>DARNITSA</w:t>
            </w:r>
          </w:p>
          <w:p w14:paraId="15ED71CC" w14:textId="77777777" w:rsidR="007A6644" w:rsidRPr="001F354B" w:rsidRDefault="007A6644" w:rsidP="0044782C">
            <w:pPr>
              <w:pStyle w:val="a4"/>
              <w:ind w:right="66"/>
            </w:pPr>
            <w:r>
              <w:rPr>
                <w:i/>
                <w:iCs/>
              </w:rPr>
              <w:t>C</w:t>
            </w:r>
            <w:r w:rsidRPr="001F354B">
              <w:rPr>
                <w:i/>
                <w:iCs/>
              </w:rPr>
              <w:t xml:space="preserve">omposition: </w:t>
            </w:r>
          </w:p>
          <w:p w14:paraId="513351FC" w14:textId="77777777" w:rsidR="007A6644" w:rsidRPr="001F354B" w:rsidRDefault="007A6644" w:rsidP="0044782C">
            <w:pPr>
              <w:pStyle w:val="a4"/>
              <w:ind w:right="66"/>
            </w:pPr>
            <w:r w:rsidRPr="001F354B">
              <w:rPr>
                <w:i/>
                <w:iCs/>
              </w:rPr>
              <w:t xml:space="preserve">active substance: </w:t>
            </w:r>
            <w:r w:rsidRPr="001F354B">
              <w:t>paracetamol;</w:t>
            </w:r>
          </w:p>
          <w:p w14:paraId="38DD1733" w14:textId="77777777" w:rsidR="007A6644" w:rsidRPr="001F354B" w:rsidRDefault="007A6644" w:rsidP="0044782C">
            <w:pPr>
              <w:pStyle w:val="a4"/>
              <w:ind w:right="66"/>
            </w:pPr>
            <w:r w:rsidRPr="001F354B">
              <w:t>1 tablet contains paracetamol 500 mg;</w:t>
            </w:r>
          </w:p>
          <w:p w14:paraId="14CFD386" w14:textId="77777777" w:rsidR="007A6644" w:rsidRPr="001F354B" w:rsidRDefault="007A6644" w:rsidP="0044782C">
            <w:pPr>
              <w:pStyle w:val="a4"/>
              <w:ind w:right="66"/>
            </w:pPr>
            <w:r w:rsidRPr="001F354B">
              <w:rPr>
                <w:i/>
                <w:iCs/>
              </w:rPr>
              <w:t xml:space="preserve">excipients: </w:t>
            </w:r>
            <w:r w:rsidRPr="001F354B">
              <w:t xml:space="preserve">pregelatinized starch, povidone, microcrystalline cellulose, croscarmellose sodium, calcium stearate. </w:t>
            </w:r>
          </w:p>
          <w:p w14:paraId="03F286E9" w14:textId="77777777" w:rsidR="007A6644" w:rsidRPr="001F354B" w:rsidRDefault="007A6644" w:rsidP="0044782C">
            <w:pPr>
              <w:pStyle w:val="a4"/>
              <w:ind w:right="66"/>
            </w:pPr>
            <w:r w:rsidRPr="001F354B">
              <w:rPr>
                <w:b/>
                <w:bCs/>
              </w:rPr>
              <w:t xml:space="preserve">Pharmaceutical form. </w:t>
            </w:r>
            <w:r w:rsidRPr="001F354B">
              <w:t>Tablets.</w:t>
            </w:r>
          </w:p>
          <w:p w14:paraId="0A2E5A36" w14:textId="77777777" w:rsidR="007A6644" w:rsidRPr="001F354B" w:rsidRDefault="007A6644" w:rsidP="0044782C">
            <w:pPr>
              <w:pStyle w:val="a4"/>
              <w:ind w:right="66"/>
            </w:pPr>
            <w:r w:rsidRPr="001F354B">
              <w:rPr>
                <w:i/>
                <w:iCs/>
              </w:rPr>
              <w:t xml:space="preserve">Basic physical and chemical properties: </w:t>
            </w:r>
            <w:r w:rsidRPr="001F354B">
              <w:t xml:space="preserve">tablets white or almost white, flat cylindrical, with beveled and dashed. A grayish tint is allowed. </w:t>
            </w:r>
          </w:p>
          <w:p w14:paraId="2F477A9F" w14:textId="77777777" w:rsidR="007A6644" w:rsidRPr="001F354B" w:rsidRDefault="007A6644" w:rsidP="0044782C">
            <w:pPr>
              <w:pStyle w:val="a4"/>
              <w:ind w:right="66"/>
            </w:pPr>
            <w:r w:rsidRPr="001F354B">
              <w:rPr>
                <w:b/>
                <w:bCs/>
              </w:rPr>
              <w:t xml:space="preserve">Pharmacotherapeutic group. </w:t>
            </w:r>
          </w:p>
          <w:p w14:paraId="6437F7A8" w14:textId="77777777" w:rsidR="007A6644" w:rsidRPr="001F354B" w:rsidRDefault="007A6644" w:rsidP="0044782C">
            <w:pPr>
              <w:pStyle w:val="a4"/>
              <w:ind w:right="66"/>
            </w:pPr>
            <w:r w:rsidRPr="001F354B">
              <w:t>Analgesic and Antipyretic. Anilides. Paracetamol.</w:t>
            </w:r>
            <w:r w:rsidRPr="001F354B">
              <w:rPr>
                <w:lang w:val="uk-UA"/>
              </w:rPr>
              <w:t xml:space="preserve"> </w:t>
            </w:r>
            <w:r w:rsidRPr="001F354B">
              <w:t xml:space="preserve">ATC code N02B E01. </w:t>
            </w:r>
          </w:p>
          <w:p w14:paraId="5224D653" w14:textId="77777777" w:rsidR="007A6644" w:rsidRPr="001F354B" w:rsidRDefault="007A6644" w:rsidP="0044782C">
            <w:pPr>
              <w:pStyle w:val="a4"/>
              <w:ind w:right="66"/>
            </w:pPr>
            <w:r w:rsidRPr="001F354B">
              <w:rPr>
                <w:i/>
                <w:iCs/>
              </w:rPr>
              <w:t xml:space="preserve">Pharmacological properties. </w:t>
            </w:r>
          </w:p>
          <w:p w14:paraId="6A3F1660" w14:textId="77777777" w:rsidR="007A6644" w:rsidRPr="00192A6D" w:rsidRDefault="007A6644" w:rsidP="0044782C">
            <w:pPr>
              <w:pStyle w:val="a4"/>
              <w:ind w:right="66"/>
              <w:rPr>
                <w:lang w:val="en-US"/>
              </w:rPr>
            </w:pPr>
            <w:r w:rsidRPr="001F354B">
              <w:rPr>
                <w:i/>
                <w:iCs/>
              </w:rPr>
              <w:t>Pharmacodynamic</w:t>
            </w:r>
            <w:r>
              <w:rPr>
                <w:i/>
                <w:iCs/>
                <w:lang w:val="en-US"/>
              </w:rPr>
              <w:t>s.</w:t>
            </w:r>
          </w:p>
          <w:p w14:paraId="114A541E" w14:textId="77777777" w:rsidR="007A6644" w:rsidRPr="007B487D" w:rsidRDefault="007A6644" w:rsidP="0044782C">
            <w:pPr>
              <w:pStyle w:val="a4"/>
              <w:ind w:right="66"/>
            </w:pPr>
            <w:r w:rsidRPr="001F354B">
              <w:t xml:space="preserve">Non-narcotic analgesic. Nonselective inhibits </w:t>
            </w:r>
            <w:r>
              <w:rPr>
                <w:lang w:val="en-US"/>
              </w:rPr>
              <w:t>cyclooxygenase (</w:t>
            </w:r>
            <w:r w:rsidRPr="001F354B">
              <w:t>COX</w:t>
            </w:r>
            <w:r>
              <w:rPr>
                <w:lang w:val="en-US"/>
              </w:rPr>
              <w:t>)</w:t>
            </w:r>
            <w:r w:rsidRPr="001F354B">
              <w:t xml:space="preserve">, affecting the centers of pain and thermoregulation. In inflamed tissues, </w:t>
            </w:r>
            <w:r w:rsidRPr="001F354B">
              <w:lastRenderedPageBreak/>
              <w:t>cellular peroxidases neutralize the effect of paracetamol on COX, which explains the slight anti-inflammatory effect. There is no effect on the synthesis of prostaglandins in peripheral tissues, which causes the absence of paracetamol negative effect on water-salt metabolism (sodium and water retention) and the mucous membrane of the gastrointestinal tract. The possibility of methemoglobin and sulfhemoglobin formation is unlikely.</w:t>
            </w:r>
          </w:p>
          <w:p w14:paraId="6B89C44F" w14:textId="77777777" w:rsidR="007A6644" w:rsidRPr="00B14589" w:rsidRDefault="007A6644" w:rsidP="0044782C">
            <w:pPr>
              <w:pStyle w:val="a4"/>
              <w:ind w:right="66"/>
              <w:rPr>
                <w:lang w:val="en-US"/>
              </w:rPr>
            </w:pPr>
            <w:r w:rsidRPr="001F354B">
              <w:rPr>
                <w:i/>
                <w:iCs/>
              </w:rPr>
              <w:t>Pharmacokinetics</w:t>
            </w:r>
            <w:r>
              <w:rPr>
                <w:i/>
                <w:iCs/>
                <w:lang w:val="en-US"/>
              </w:rPr>
              <w:t>.</w:t>
            </w:r>
          </w:p>
          <w:p w14:paraId="1F3CFA7F" w14:textId="77777777" w:rsidR="007A6644" w:rsidRPr="001F354B" w:rsidRDefault="007A6644" w:rsidP="0044782C">
            <w:pPr>
              <w:pStyle w:val="a4"/>
              <w:ind w:right="66"/>
            </w:pPr>
            <w:r w:rsidRPr="001F354B">
              <w:t>Absorption is high, almost 100 %. In the systemic circulation, 15 % of the medicinal product, that absorbed, binds to plasma proteins. The time to reach the maximum blood concentration (T</w:t>
            </w:r>
            <w:r w:rsidRPr="001F354B">
              <w:rPr>
                <w:position w:val="-2"/>
                <w:sz w:val="16"/>
                <w:szCs w:val="16"/>
              </w:rPr>
              <w:t>Cmax</w:t>
            </w:r>
            <w:r w:rsidRPr="001F354B">
              <w:t>) is</w:t>
            </w:r>
            <w:r w:rsidRPr="001F354B">
              <w:rPr>
                <w:lang w:val="uk-UA"/>
              </w:rPr>
              <w:t xml:space="preserve"> 20-30 </w:t>
            </w:r>
            <w:r w:rsidRPr="001F354B">
              <w:t>minutes. The therapeutically effective concentration of paracetamol in blood plasma is achieved when it is administered at a dose of</w:t>
            </w:r>
            <w:r w:rsidRPr="001F354B">
              <w:rPr>
                <w:lang w:val="uk-UA"/>
              </w:rPr>
              <w:t xml:space="preserve"> 10-15 </w:t>
            </w:r>
            <w:r w:rsidRPr="001F354B">
              <w:t>mg/kg. It penetrates the blood-brain barrier and into breast milk. The amount of the medicinal product in breast milk is less than 1 % of the dose of paracetamol taken by a nursing mother. Metabolized in the liver: 80 % enter into a conjugation reaction with glucuronic acid and sulfates to form inactive metabolites. Seventeen percent (17 %) of the medicinal product undergoes hydroxylation to form active metabolites that conjugated to glutathione to form inactive metabolites. With a lack of glutathione, these metabolites can block the enzyme systems of hepatocytes and cause their necrosis. The half-life (T</w:t>
            </w:r>
            <w:r w:rsidRPr="001F354B">
              <w:rPr>
                <w:position w:val="-2"/>
                <w:sz w:val="16"/>
                <w:szCs w:val="16"/>
              </w:rPr>
              <w:t>1/2</w:t>
            </w:r>
            <w:r w:rsidRPr="001F354B">
              <w:t>) of paracetamol is 2–3 hours. In elderly patients, the clearance of the medicinal product decreases and increases T</w:t>
            </w:r>
            <w:r w:rsidRPr="001F354B">
              <w:rPr>
                <w:position w:val="-2"/>
                <w:sz w:val="16"/>
                <w:szCs w:val="16"/>
              </w:rPr>
              <w:t>1/2</w:t>
            </w:r>
            <w:r w:rsidRPr="001F354B">
              <w:t xml:space="preserve">. Excreted by the kidneys – 3 % unchanged. </w:t>
            </w:r>
          </w:p>
          <w:p w14:paraId="01628DEB" w14:textId="77777777" w:rsidR="007A6644" w:rsidRPr="001F354B" w:rsidRDefault="007A6644" w:rsidP="0044782C">
            <w:pPr>
              <w:pStyle w:val="a4"/>
              <w:ind w:right="66"/>
            </w:pPr>
            <w:r w:rsidRPr="001F354B">
              <w:rPr>
                <w:b/>
                <w:bCs/>
              </w:rPr>
              <w:t xml:space="preserve">Clinical particulars. </w:t>
            </w:r>
          </w:p>
          <w:p w14:paraId="3CEB1131" w14:textId="77777777" w:rsidR="007A6644" w:rsidRPr="001F354B" w:rsidRDefault="007A6644" w:rsidP="0044782C">
            <w:pPr>
              <w:pStyle w:val="a4"/>
              <w:ind w:right="66"/>
            </w:pPr>
            <w:r w:rsidRPr="001F354B">
              <w:rPr>
                <w:i/>
                <w:iCs/>
              </w:rPr>
              <w:t xml:space="preserve">Therapeutic indications. </w:t>
            </w:r>
          </w:p>
          <w:p w14:paraId="20FF4DB6" w14:textId="77777777" w:rsidR="007A6644" w:rsidRPr="001F354B" w:rsidRDefault="007A6644" w:rsidP="0044782C">
            <w:pPr>
              <w:pStyle w:val="a4"/>
              <w:ind w:right="66"/>
            </w:pPr>
            <w:r w:rsidRPr="001F354B">
              <w:t xml:space="preserve">Headache, including migraine and tension headache, toothache, back pain, rheumatic pain, muscle pain, recurrent pain in women, mild arthritis pain; relief of fever symptoms and pain from colds and flu. </w:t>
            </w:r>
          </w:p>
          <w:p w14:paraId="7D54F3F0" w14:textId="77777777" w:rsidR="007A6644" w:rsidRPr="001F354B" w:rsidRDefault="007A6644" w:rsidP="0044782C">
            <w:pPr>
              <w:pStyle w:val="a4"/>
              <w:ind w:right="66"/>
            </w:pPr>
            <w:r w:rsidRPr="001F354B">
              <w:rPr>
                <w:i/>
                <w:iCs/>
              </w:rPr>
              <w:t xml:space="preserve">Contraindications. </w:t>
            </w:r>
          </w:p>
          <w:p w14:paraId="3F1F4090" w14:textId="77777777" w:rsidR="007A6644" w:rsidRPr="001F354B" w:rsidRDefault="007A6644" w:rsidP="0044782C">
            <w:pPr>
              <w:pStyle w:val="a4"/>
              <w:ind w:right="66"/>
            </w:pPr>
            <w:r w:rsidRPr="001F354B">
              <w:t xml:space="preserve">Hypersensitivity to the components of the medicinal product, severe liver and/or renal dysfunction, congenital hyperbilirubinemia, glucose-6-phosphate dehydrogenase deficiency, alcoholism, blood diseases, Gilbert's syndrome, severe anemia, leukopenia. </w:t>
            </w:r>
          </w:p>
          <w:p w14:paraId="2CFCB040" w14:textId="77777777" w:rsidR="007A6644" w:rsidRPr="001F354B" w:rsidRDefault="007A6644" w:rsidP="0044782C">
            <w:pPr>
              <w:pStyle w:val="a4"/>
              <w:ind w:right="66"/>
            </w:pPr>
            <w:r w:rsidRPr="001F354B">
              <w:rPr>
                <w:i/>
                <w:iCs/>
              </w:rPr>
              <w:lastRenderedPageBreak/>
              <w:t xml:space="preserve">Interaction with other medicinal products and other forms of interaction. </w:t>
            </w:r>
          </w:p>
          <w:p w14:paraId="75025C37" w14:textId="77777777" w:rsidR="007A6644" w:rsidRDefault="007A6644" w:rsidP="0044782C">
            <w:pPr>
              <w:pStyle w:val="a4"/>
              <w:ind w:right="66"/>
            </w:pPr>
            <w:r w:rsidRPr="001F354B">
              <w:t xml:space="preserve">The absorption rate of paracetamol may increase with the use of </w:t>
            </w:r>
            <w:r w:rsidRPr="001F354B">
              <w:rPr>
                <w:i/>
                <w:iCs/>
              </w:rPr>
              <w:t xml:space="preserve">metoclopramide </w:t>
            </w:r>
            <w:r w:rsidRPr="001F354B">
              <w:t xml:space="preserve">and </w:t>
            </w:r>
            <w:r w:rsidRPr="001F354B">
              <w:rPr>
                <w:i/>
                <w:iCs/>
              </w:rPr>
              <w:t xml:space="preserve">domperidone </w:t>
            </w:r>
            <w:r w:rsidRPr="001F354B">
              <w:t xml:space="preserve">and decrease with the use of </w:t>
            </w:r>
            <w:r w:rsidRPr="001F354B">
              <w:rPr>
                <w:i/>
                <w:iCs/>
              </w:rPr>
              <w:t>cholestyramine</w:t>
            </w:r>
            <w:r w:rsidRPr="001F354B">
              <w:t>.</w:t>
            </w:r>
          </w:p>
          <w:p w14:paraId="7698A96E" w14:textId="77777777" w:rsidR="007A6644" w:rsidRPr="001F354B" w:rsidRDefault="007A6644" w:rsidP="0044782C">
            <w:pPr>
              <w:pStyle w:val="a4"/>
              <w:ind w:right="66"/>
            </w:pPr>
            <w:r w:rsidRPr="00D86E06">
              <w:t>Paracetamol should be used 1 hour before or 4-6 hours after cholestyramine.</w:t>
            </w:r>
          </w:p>
          <w:p w14:paraId="59A8E01D" w14:textId="77777777" w:rsidR="007A6644" w:rsidRPr="001F354B" w:rsidRDefault="007A6644" w:rsidP="0044782C">
            <w:pPr>
              <w:pStyle w:val="a4"/>
              <w:ind w:right="66"/>
            </w:pPr>
            <w:r w:rsidRPr="001F354B">
              <w:t xml:space="preserve">The anticoagulant effect of </w:t>
            </w:r>
            <w:r w:rsidRPr="001F354B">
              <w:rPr>
                <w:i/>
                <w:iCs/>
              </w:rPr>
              <w:t xml:space="preserve">warfarin </w:t>
            </w:r>
            <w:r w:rsidRPr="001F354B">
              <w:t xml:space="preserve">and other </w:t>
            </w:r>
            <w:r w:rsidRPr="001F354B">
              <w:rPr>
                <w:i/>
                <w:iCs/>
              </w:rPr>
              <w:t xml:space="preserve">coumarins </w:t>
            </w:r>
            <w:r w:rsidRPr="001F354B">
              <w:t xml:space="preserve">with an increased risk of bleeding can be enhanced by concomitant long-term use of paracetamol. Periodic intake has no significant effect. </w:t>
            </w:r>
          </w:p>
          <w:p w14:paraId="3EAA9BD1" w14:textId="77777777" w:rsidR="007A6644" w:rsidRDefault="007A6644" w:rsidP="0044782C">
            <w:pPr>
              <w:pStyle w:val="a4"/>
              <w:ind w:right="66"/>
            </w:pPr>
            <w:r w:rsidRPr="001F354B">
              <w:rPr>
                <w:i/>
                <w:iCs/>
              </w:rPr>
              <w:t>Barbiturate</w:t>
            </w:r>
            <w:r w:rsidRPr="001F354B">
              <w:t>s reduce the antipyretic effect of paracetamol.</w:t>
            </w:r>
          </w:p>
          <w:p w14:paraId="32286E41" w14:textId="77777777" w:rsidR="007A6644" w:rsidRDefault="007A6644" w:rsidP="0044782C">
            <w:pPr>
              <w:pStyle w:val="a4"/>
              <w:ind w:right="66"/>
            </w:pPr>
            <w:r w:rsidRPr="001F354B">
              <w:rPr>
                <w:i/>
                <w:iCs/>
              </w:rPr>
              <w:t>Anticonvulsants (including phenytoin, barbiturates, carbamazepine)</w:t>
            </w:r>
            <w:r w:rsidRPr="001F354B">
              <w:t xml:space="preserve">, which stimulate the activity of liver microsomal enzymes, may increase the toxic effects of paracetamol on the liver due to increase in the degree of conversion of the medicinal product to hepatotoxic metabolites. Concomitant use of paracetamol with hepatotoxic medicinal product increases the toxic effects of medicinal products on the liver. Concomitant use of large doses of paracetamol with </w:t>
            </w:r>
            <w:r w:rsidRPr="001F354B">
              <w:rPr>
                <w:i/>
                <w:iCs/>
              </w:rPr>
              <w:t xml:space="preserve">isoniazid </w:t>
            </w:r>
            <w:r w:rsidRPr="001F354B">
              <w:t>increases the risk of developing hepatotoxic syndrome.</w:t>
            </w:r>
          </w:p>
          <w:p w14:paraId="541A7879" w14:textId="77777777" w:rsidR="007A6644" w:rsidRDefault="007A6644" w:rsidP="0044782C">
            <w:pPr>
              <w:pStyle w:val="a4"/>
              <w:ind w:right="66"/>
            </w:pPr>
            <w:r>
              <w:t>Probenecid halves the clearance of paracetamol by blocking its binding to glucuronic acid, so in the case of combination therapy with probenecid, the dose of paracetamol should be reduced.</w:t>
            </w:r>
          </w:p>
          <w:p w14:paraId="168C9107" w14:textId="77777777" w:rsidR="007A6644" w:rsidRDefault="007A6644" w:rsidP="0044782C">
            <w:pPr>
              <w:pStyle w:val="a4"/>
              <w:ind w:right="66"/>
            </w:pPr>
            <w:r>
              <w:t>Paracetamol should be used with caution with chloramphenicol due to the prolongation of the half-life and increase the toxic effect of the latter.</w:t>
            </w:r>
          </w:p>
          <w:p w14:paraId="29A46F91" w14:textId="77777777" w:rsidR="007A6644" w:rsidRPr="00CE7BD3" w:rsidRDefault="007A6644" w:rsidP="0044782C">
            <w:pPr>
              <w:pStyle w:val="a4"/>
              <w:ind w:right="66"/>
            </w:pPr>
            <w:r w:rsidRPr="001F354B">
              <w:t xml:space="preserve">Paracetamol reduces the effectiveness of </w:t>
            </w:r>
            <w:r w:rsidRPr="001F354B">
              <w:rPr>
                <w:i/>
                <w:iCs/>
              </w:rPr>
              <w:t>diuretics.</w:t>
            </w:r>
          </w:p>
          <w:p w14:paraId="2458E618" w14:textId="77777777" w:rsidR="007A6644" w:rsidRPr="00CE7BD3" w:rsidRDefault="007A6644" w:rsidP="0044782C">
            <w:pPr>
              <w:pStyle w:val="a4"/>
              <w:ind w:right="66"/>
              <w:rPr>
                <w:i/>
                <w:iCs/>
              </w:rPr>
            </w:pPr>
            <w:r w:rsidRPr="001F354B">
              <w:t xml:space="preserve">Do not use concomitantly with </w:t>
            </w:r>
            <w:r w:rsidRPr="001F354B">
              <w:rPr>
                <w:i/>
                <w:iCs/>
              </w:rPr>
              <w:t xml:space="preserve">alcohol. </w:t>
            </w:r>
          </w:p>
          <w:p w14:paraId="017FE716" w14:textId="77777777" w:rsidR="007A6644" w:rsidRPr="00CE7BD3" w:rsidRDefault="007A6644" w:rsidP="0044782C">
            <w:pPr>
              <w:pStyle w:val="a4"/>
              <w:ind w:right="66"/>
            </w:pPr>
            <w:r w:rsidRPr="00CE7BD3">
              <w:rPr>
                <w:i/>
                <w:iCs/>
              </w:rPr>
              <w:t xml:space="preserve">Special warnings and precautions for use. </w:t>
            </w:r>
          </w:p>
          <w:p w14:paraId="22D0EB98" w14:textId="77777777" w:rsidR="007A6644" w:rsidRDefault="007A6644" w:rsidP="0044782C">
            <w:pPr>
              <w:pStyle w:val="a4"/>
              <w:ind w:right="66"/>
              <w:rPr>
                <w:lang w:val="en-US"/>
              </w:rPr>
            </w:pPr>
            <w:r w:rsidRPr="001F354B">
              <w:t>Do not exceed these doses.</w:t>
            </w:r>
            <w:r>
              <w:rPr>
                <w:lang w:val="en-US"/>
              </w:rPr>
              <w:t xml:space="preserve"> </w:t>
            </w:r>
            <w:r w:rsidRPr="001F354B">
              <w:t>Do not take the medicinal product with other medicines containing paracetamol</w:t>
            </w:r>
            <w:r>
              <w:rPr>
                <w:lang w:val="en-US"/>
              </w:rPr>
              <w:t xml:space="preserve"> - </w:t>
            </w:r>
            <w:r w:rsidRPr="0013092E">
              <w:rPr>
                <w:lang w:val="en-US"/>
              </w:rPr>
              <w:t>this may lead to overdose.</w:t>
            </w:r>
            <w:r>
              <w:rPr>
                <w:lang w:val="en-US"/>
              </w:rPr>
              <w:t xml:space="preserve"> </w:t>
            </w:r>
            <w:r w:rsidRPr="0013092E">
              <w:rPr>
                <w:lang w:val="en-US"/>
              </w:rPr>
              <w:t>An overdose of paracetamol can cause liver failure, which can lead to liver transplantation or death.</w:t>
            </w:r>
          </w:p>
          <w:p w14:paraId="43EAED54" w14:textId="77777777" w:rsidR="007A6644" w:rsidRDefault="007A6644" w:rsidP="0044782C">
            <w:pPr>
              <w:pStyle w:val="a4"/>
            </w:pPr>
            <w:r>
              <w:rPr>
                <w:rFonts w:ascii="TimesNewRomanPSMT" w:hAnsi="TimesNewRomanPSMT"/>
              </w:rPr>
              <w:t xml:space="preserve">It should be borne in mind that patients with alcoholic non-cirrhotic liver damage, the risk of hepatotoxic action of paracetamol increases. </w:t>
            </w:r>
          </w:p>
          <w:p w14:paraId="269F7CF5" w14:textId="77777777" w:rsidR="007A6644" w:rsidRDefault="007A6644" w:rsidP="0044782C">
            <w:pPr>
              <w:pStyle w:val="a4"/>
              <w:ind w:right="66"/>
            </w:pPr>
            <w:r w:rsidRPr="008B22D0">
              <w:lastRenderedPageBreak/>
              <w:t>Cases of hepatic impairment /</w:t>
            </w:r>
            <w:r>
              <w:rPr>
                <w:lang w:val="uk-UA"/>
              </w:rPr>
              <w:t xml:space="preserve"> </w:t>
            </w:r>
            <w:r w:rsidRPr="0013092E">
              <w:rPr>
                <w:lang w:val="en-US"/>
              </w:rPr>
              <w:t>liver failure</w:t>
            </w:r>
            <w:r w:rsidRPr="008B22D0">
              <w:t xml:space="preserve"> have been reported in patients with reduced glutathione levels, such as severe depletion, anorexia, low body mass index, chronic alcoholism or sepsis.</w:t>
            </w:r>
          </w:p>
          <w:p w14:paraId="4F897F19" w14:textId="77777777" w:rsidR="007A6644" w:rsidRPr="00397AA1" w:rsidRDefault="007A6644" w:rsidP="0044782C">
            <w:pPr>
              <w:pStyle w:val="a4"/>
              <w:rPr>
                <w:lang w:val="en-US"/>
              </w:rPr>
            </w:pPr>
            <w:r>
              <w:rPr>
                <w:rFonts w:ascii="TimesNewRomanPSMT" w:hAnsi="TimesNewRomanPSMT"/>
              </w:rPr>
              <w:t>Before using the medicinal product, it is necessary to consult a doctor</w:t>
            </w:r>
            <w:r>
              <w:rPr>
                <w:rFonts w:ascii="TimesNewRomanPSMT" w:hAnsi="TimesNewRomanPSMT"/>
                <w:lang w:val="en-US"/>
              </w:rPr>
              <w:t>:</w:t>
            </w:r>
          </w:p>
          <w:p w14:paraId="68DDAF7B" w14:textId="77777777" w:rsidR="007A6644" w:rsidRPr="004416DA" w:rsidRDefault="007A6644" w:rsidP="0044782C">
            <w:pPr>
              <w:pStyle w:val="a4"/>
            </w:pPr>
            <w:r>
              <w:t>- in</w:t>
            </w:r>
            <w:r>
              <w:rPr>
                <w:rFonts w:ascii="TimesNewRomanPSMT" w:hAnsi="TimesNewRomanPSMT"/>
              </w:rPr>
              <w:t xml:space="preserve"> case of liver or renal diseases;</w:t>
            </w:r>
          </w:p>
          <w:p w14:paraId="1BA1F3E0" w14:textId="77777777" w:rsidR="007A6644" w:rsidRPr="00397AA1" w:rsidRDefault="007A6644" w:rsidP="0044782C">
            <w:pPr>
              <w:pStyle w:val="a4"/>
              <w:rPr>
                <w:lang w:val="en-US"/>
              </w:rPr>
            </w:pPr>
            <w:r>
              <w:t xml:space="preserve">- </w:t>
            </w:r>
            <w:r>
              <w:rPr>
                <w:lang w:val="en-US"/>
              </w:rPr>
              <w:t xml:space="preserve">if </w:t>
            </w:r>
            <w:r>
              <w:rPr>
                <w:rFonts w:ascii="TimesNewRomanPSMT" w:hAnsi="TimesNewRomanPSMT"/>
              </w:rPr>
              <w:t>the patient is using warfarin or similar drugs that have an anticoagulant effect</w:t>
            </w:r>
            <w:r>
              <w:rPr>
                <w:rFonts w:ascii="TimesNewRomanPSMT" w:hAnsi="TimesNewRomanPSMT"/>
                <w:lang w:val="en-US"/>
              </w:rPr>
              <w:t>;</w:t>
            </w:r>
          </w:p>
          <w:p w14:paraId="2F15AB52" w14:textId="77777777" w:rsidR="007A6644" w:rsidRDefault="007A6644" w:rsidP="0044782C">
            <w:pPr>
              <w:pStyle w:val="a4"/>
            </w:pPr>
            <w:r>
              <w:t xml:space="preserve">- </w:t>
            </w:r>
            <w:r>
              <w:rPr>
                <w:rFonts w:ascii="TimesNewRomanPSMT" w:hAnsi="TimesNewRomanPSMT"/>
              </w:rPr>
              <w:t xml:space="preserve">if </w:t>
            </w:r>
            <w:r>
              <w:rPr>
                <w:rFonts w:ascii="TimesNewRomanPSMT" w:hAnsi="TimesNewRomanPSMT"/>
                <w:lang w:val="en-US"/>
              </w:rPr>
              <w:t>the patient</w:t>
            </w:r>
            <w:r>
              <w:rPr>
                <w:rFonts w:ascii="TimesNewRomanPSMT" w:hAnsi="TimesNewRomanPSMT"/>
              </w:rPr>
              <w:t xml:space="preserve"> experience mild arthritis pain and need to take analgesics daily.</w:t>
            </w:r>
          </w:p>
          <w:p w14:paraId="6D5A458C" w14:textId="77777777" w:rsidR="007A6644" w:rsidRPr="00397AA1" w:rsidRDefault="007A6644" w:rsidP="0044782C">
            <w:pPr>
              <w:pStyle w:val="a4"/>
              <w:ind w:right="66"/>
              <w:rPr>
                <w:lang w:val="en-US"/>
              </w:rPr>
            </w:pPr>
            <w:r>
              <w:t xml:space="preserve">- if the headache becomes </w:t>
            </w:r>
            <w:r>
              <w:rPr>
                <w:lang w:val="en-US"/>
              </w:rPr>
              <w:t>persistent.</w:t>
            </w:r>
          </w:p>
          <w:p w14:paraId="3B2B071E" w14:textId="77777777" w:rsidR="007A6644" w:rsidRDefault="007A6644" w:rsidP="0044782C">
            <w:pPr>
              <w:pStyle w:val="a4"/>
            </w:pPr>
            <w:r>
              <w:rPr>
                <w:rFonts w:ascii="TimesNewRomanPSMT" w:hAnsi="TimesNewRomanPSMT"/>
              </w:rPr>
              <w:t xml:space="preserve">Patients with severe infections, such as sepsis, that are accompanied by a decrease in glutathione levels while taking paracetamol, have an increased risk of metabolic acidosis. Symptoms of metabolic acidosis are deep, rapid or difficult breathing, nausea, vomiting, loss of appetite. If these symptoms occur, you should immediately consult a doctor. </w:t>
            </w:r>
          </w:p>
          <w:p w14:paraId="7CBCDC17" w14:textId="77777777" w:rsidR="007A6644" w:rsidRDefault="007A6644" w:rsidP="0044782C">
            <w:pPr>
              <w:pStyle w:val="a4"/>
              <w:rPr>
                <w:rFonts w:ascii="TimesNewRomanPSMT" w:hAnsi="TimesNewRomanPSMT"/>
              </w:rPr>
            </w:pPr>
            <w:r>
              <w:rPr>
                <w:rFonts w:ascii="TimesNewRomanPSMT" w:hAnsi="TimesNewRomanPSMT"/>
              </w:rPr>
              <w:t xml:space="preserve">The medicinal product may affect the results of laboratory tests on the content of uric acid </w:t>
            </w:r>
            <w:r>
              <w:rPr>
                <w:rFonts w:ascii="TimesNewRomanPSMT" w:hAnsi="TimesNewRomanPSMT"/>
                <w:lang w:val="en-US"/>
              </w:rPr>
              <w:t xml:space="preserve">and </w:t>
            </w:r>
            <w:r>
              <w:rPr>
                <w:rFonts w:ascii="TimesNewRomanPSMT" w:hAnsi="TimesNewRomanPSMT"/>
              </w:rPr>
              <w:t>glucose in the blood.</w:t>
            </w:r>
          </w:p>
          <w:p w14:paraId="74546885" w14:textId="77777777" w:rsidR="007A6644" w:rsidRDefault="007A6644" w:rsidP="0044782C">
            <w:pPr>
              <w:pStyle w:val="a4"/>
            </w:pPr>
            <w:r>
              <w:rPr>
                <w:rFonts w:ascii="TimesNewRomanPSMT" w:hAnsi="TimesNewRomanPSMT"/>
              </w:rPr>
              <w:t>Do not use</w:t>
            </w:r>
            <w:r>
              <w:rPr>
                <w:rFonts w:ascii="TimesNewRomanPSMT" w:hAnsi="TimesNewRomanPSMT"/>
                <w:lang w:val="en-US"/>
              </w:rPr>
              <w:t xml:space="preserve"> paracetamol</w:t>
            </w:r>
            <w:r>
              <w:rPr>
                <w:rFonts w:ascii="TimesNewRomanPSMT" w:hAnsi="TimesNewRomanPSMT"/>
              </w:rPr>
              <w:t xml:space="preserve"> concomitantly with </w:t>
            </w:r>
            <w:r w:rsidRPr="00056B7F">
              <w:rPr>
                <w:rFonts w:ascii="TimesNewRomanPS" w:hAnsi="TimesNewRomanPS"/>
              </w:rPr>
              <w:t>alcohol</w:t>
            </w:r>
            <w:r>
              <w:rPr>
                <w:rFonts w:ascii="TimesNewRomanPS" w:hAnsi="TimesNewRomanPS"/>
                <w:i/>
                <w:iCs/>
              </w:rPr>
              <w:t xml:space="preserve">. </w:t>
            </w:r>
          </w:p>
          <w:p w14:paraId="653AB46B" w14:textId="77777777" w:rsidR="007A6644" w:rsidRDefault="007A6644" w:rsidP="0044782C">
            <w:pPr>
              <w:pStyle w:val="a4"/>
            </w:pPr>
            <w:r>
              <w:rPr>
                <w:rFonts w:ascii="TimesNewRomanPSMT" w:hAnsi="TimesNewRomanPSMT"/>
              </w:rPr>
              <w:t xml:space="preserve">If symptoms persist, you should consult a doctor. </w:t>
            </w:r>
          </w:p>
          <w:p w14:paraId="182861B0" w14:textId="77777777" w:rsidR="007A6644" w:rsidRPr="001F354B" w:rsidRDefault="007A6644" w:rsidP="0044782C">
            <w:pPr>
              <w:pStyle w:val="a4"/>
              <w:ind w:right="66"/>
            </w:pPr>
            <w:r>
              <w:rPr>
                <w:i/>
                <w:iCs/>
                <w:lang w:val="en-US"/>
              </w:rPr>
              <w:t>P</w:t>
            </w:r>
            <w:r w:rsidRPr="001F354B">
              <w:rPr>
                <w:i/>
                <w:iCs/>
              </w:rPr>
              <w:t xml:space="preserve">regnancy and lactation. </w:t>
            </w:r>
          </w:p>
          <w:p w14:paraId="6038573B" w14:textId="77777777" w:rsidR="007A6644" w:rsidRDefault="007A6644" w:rsidP="0044782C">
            <w:pPr>
              <w:pStyle w:val="a4"/>
              <w:ind w:right="66"/>
            </w:pPr>
            <w:r>
              <w:rPr>
                <w:i/>
                <w:iCs/>
                <w:lang w:val="en-US"/>
              </w:rPr>
              <w:t xml:space="preserve">Pregnancy. </w:t>
            </w:r>
            <w:r w:rsidRPr="001F354B">
              <w:t xml:space="preserve">Prescription of the medicinal product during these periods is possible only when the expected benefit to the mother outweighs the potential risk to the fetus or child. </w:t>
            </w:r>
          </w:p>
          <w:p w14:paraId="6C775869" w14:textId="77777777" w:rsidR="007A6644" w:rsidRDefault="007A6644" w:rsidP="0044782C">
            <w:pPr>
              <w:pStyle w:val="a4"/>
              <w:ind w:right="66"/>
            </w:pPr>
            <w:r w:rsidRPr="00056B7F">
              <w:t>As with other medicines, consult your doctor before taking paracetamol during pregnancy. Extensive data on pregnant women do not indicate malformative or feto / neonatal toxicity. Epidemiological studies of the development of the nervous system in children exposed to paracetamol in utero do not give convincing results. If clinically necessary, paracetamol can be used during pregnancy, but it should be used in the lowest effective dose for the shortest time and with the lowest possible frequency.</w:t>
            </w:r>
          </w:p>
          <w:p w14:paraId="39879627" w14:textId="77777777" w:rsidR="007A6644" w:rsidRPr="001F354B" w:rsidRDefault="007A6644" w:rsidP="0044782C">
            <w:pPr>
              <w:pStyle w:val="a4"/>
              <w:ind w:right="66"/>
            </w:pPr>
            <w:r>
              <w:rPr>
                <w:i/>
                <w:iCs/>
                <w:lang w:val="en-US"/>
              </w:rPr>
              <w:t>Lactation.</w:t>
            </w:r>
            <w:r>
              <w:rPr>
                <w:i/>
                <w:iCs/>
                <w:lang w:val="uk-UA"/>
              </w:rPr>
              <w:t xml:space="preserve"> </w:t>
            </w:r>
            <w:r w:rsidRPr="001F354B">
              <w:t xml:space="preserve">Paracetamol passes into breast milk, but in clinically insignificant amounts. Available </w:t>
            </w:r>
            <w:r w:rsidRPr="001F354B">
              <w:lastRenderedPageBreak/>
              <w:t xml:space="preserve">published data do not contain contraindications to breastfeeding. </w:t>
            </w:r>
          </w:p>
          <w:p w14:paraId="21982020" w14:textId="77777777" w:rsidR="007A6644" w:rsidRPr="001F354B" w:rsidRDefault="007A6644" w:rsidP="0044782C">
            <w:pPr>
              <w:pStyle w:val="a4"/>
              <w:ind w:right="66"/>
            </w:pPr>
            <w:r w:rsidRPr="001F354B">
              <w:rPr>
                <w:i/>
                <w:iCs/>
              </w:rPr>
              <w:t xml:space="preserve">Effects on ability to drive and use machines. </w:t>
            </w:r>
          </w:p>
          <w:p w14:paraId="641529D0" w14:textId="77777777" w:rsidR="007A6644" w:rsidRPr="00C46BD6" w:rsidRDefault="007A6644" w:rsidP="0044782C">
            <w:pPr>
              <w:pStyle w:val="a4"/>
              <w:ind w:right="66"/>
            </w:pPr>
            <w:r w:rsidRPr="001F354B">
              <w:t xml:space="preserve">Not applicable. </w:t>
            </w:r>
          </w:p>
        </w:tc>
      </w:tr>
    </w:tbl>
    <w:p w14:paraId="17707764" w14:textId="77777777" w:rsidR="00A47936" w:rsidRPr="0085510D" w:rsidRDefault="00A47936" w:rsidP="007A6644">
      <w:pPr>
        <w:rPr>
          <w:rFonts w:ascii="Times New Roman" w:hAnsi="Times New Roman" w:cs="Times New Roman"/>
        </w:rPr>
      </w:pPr>
    </w:p>
    <w:sectPr w:rsidR="00A47936" w:rsidRPr="0085510D" w:rsidSect="0085510D">
      <w:pgSz w:w="11906" w:h="16838"/>
      <w:pgMar w:top="516" w:right="543" w:bottom="501" w:left="58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0D"/>
    <w:rsid w:val="00056B7F"/>
    <w:rsid w:val="0013092E"/>
    <w:rsid w:val="00192A6D"/>
    <w:rsid w:val="00326381"/>
    <w:rsid w:val="00383265"/>
    <w:rsid w:val="00397AA1"/>
    <w:rsid w:val="004416DA"/>
    <w:rsid w:val="00545684"/>
    <w:rsid w:val="006957EB"/>
    <w:rsid w:val="00704959"/>
    <w:rsid w:val="007A6644"/>
    <w:rsid w:val="007B487D"/>
    <w:rsid w:val="0085510D"/>
    <w:rsid w:val="008B22D0"/>
    <w:rsid w:val="008B297D"/>
    <w:rsid w:val="00914B4C"/>
    <w:rsid w:val="009726A1"/>
    <w:rsid w:val="00A47936"/>
    <w:rsid w:val="00B14589"/>
    <w:rsid w:val="00C9034B"/>
    <w:rsid w:val="00CD079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9C9C215"/>
  <w15:chartTrackingRefBased/>
  <w15:docId w15:val="{C6C3275C-5D75-044C-BCAA-17BD8807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5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5510D"/>
    <w:pPr>
      <w:spacing w:before="100" w:beforeAutospacing="1" w:after="100" w:afterAutospacing="1"/>
    </w:pPr>
    <w:rPr>
      <w:rFonts w:ascii="Times New Roman" w:eastAsia="Times New Roman" w:hAnsi="Times New Roman" w:cs="Times New Roman"/>
      <w:lang w:eastAsia="ru-UA"/>
    </w:rPr>
  </w:style>
  <w:style w:type="character" w:styleId="a5">
    <w:name w:val="Strong"/>
    <w:basedOn w:val="a0"/>
    <w:uiPriority w:val="22"/>
    <w:qFormat/>
    <w:rsid w:val="0085510D"/>
    <w:rPr>
      <w:b/>
      <w:bCs/>
    </w:rPr>
  </w:style>
  <w:style w:type="character" w:styleId="a6">
    <w:name w:val="Emphasis"/>
    <w:basedOn w:val="a0"/>
    <w:uiPriority w:val="20"/>
    <w:qFormat/>
    <w:rsid w:val="008551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5977">
      <w:bodyDiv w:val="1"/>
      <w:marLeft w:val="0"/>
      <w:marRight w:val="0"/>
      <w:marTop w:val="0"/>
      <w:marBottom w:val="0"/>
      <w:divBdr>
        <w:top w:val="none" w:sz="0" w:space="0" w:color="auto"/>
        <w:left w:val="none" w:sz="0" w:space="0" w:color="auto"/>
        <w:bottom w:val="none" w:sz="0" w:space="0" w:color="auto"/>
        <w:right w:val="none" w:sz="0" w:space="0" w:color="auto"/>
      </w:divBdr>
      <w:divsChild>
        <w:div w:id="1171917608">
          <w:marLeft w:val="0"/>
          <w:marRight w:val="0"/>
          <w:marTop w:val="0"/>
          <w:marBottom w:val="0"/>
          <w:divBdr>
            <w:top w:val="none" w:sz="0" w:space="0" w:color="auto"/>
            <w:left w:val="none" w:sz="0" w:space="0" w:color="auto"/>
            <w:bottom w:val="none" w:sz="0" w:space="0" w:color="auto"/>
            <w:right w:val="none" w:sz="0" w:space="0" w:color="auto"/>
          </w:divBdr>
          <w:divsChild>
            <w:div w:id="257523636">
              <w:marLeft w:val="0"/>
              <w:marRight w:val="0"/>
              <w:marTop w:val="0"/>
              <w:marBottom w:val="0"/>
              <w:divBdr>
                <w:top w:val="none" w:sz="0" w:space="0" w:color="auto"/>
                <w:left w:val="none" w:sz="0" w:space="0" w:color="auto"/>
                <w:bottom w:val="none" w:sz="0" w:space="0" w:color="auto"/>
                <w:right w:val="none" w:sz="0" w:space="0" w:color="auto"/>
              </w:divBdr>
              <w:divsChild>
                <w:div w:id="17558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998479">
      <w:bodyDiv w:val="1"/>
      <w:marLeft w:val="0"/>
      <w:marRight w:val="0"/>
      <w:marTop w:val="0"/>
      <w:marBottom w:val="0"/>
      <w:divBdr>
        <w:top w:val="none" w:sz="0" w:space="0" w:color="auto"/>
        <w:left w:val="none" w:sz="0" w:space="0" w:color="auto"/>
        <w:bottom w:val="none" w:sz="0" w:space="0" w:color="auto"/>
        <w:right w:val="none" w:sz="0" w:space="0" w:color="auto"/>
      </w:divBdr>
      <w:divsChild>
        <w:div w:id="1147740700">
          <w:marLeft w:val="0"/>
          <w:marRight w:val="0"/>
          <w:marTop w:val="0"/>
          <w:marBottom w:val="0"/>
          <w:divBdr>
            <w:top w:val="none" w:sz="0" w:space="0" w:color="auto"/>
            <w:left w:val="none" w:sz="0" w:space="0" w:color="auto"/>
            <w:bottom w:val="none" w:sz="0" w:space="0" w:color="auto"/>
            <w:right w:val="none" w:sz="0" w:space="0" w:color="auto"/>
          </w:divBdr>
          <w:divsChild>
            <w:div w:id="1159927628">
              <w:marLeft w:val="0"/>
              <w:marRight w:val="0"/>
              <w:marTop w:val="0"/>
              <w:marBottom w:val="0"/>
              <w:divBdr>
                <w:top w:val="none" w:sz="0" w:space="0" w:color="auto"/>
                <w:left w:val="none" w:sz="0" w:space="0" w:color="auto"/>
                <w:bottom w:val="none" w:sz="0" w:space="0" w:color="auto"/>
                <w:right w:val="none" w:sz="0" w:space="0" w:color="auto"/>
              </w:divBdr>
              <w:divsChild>
                <w:div w:id="17964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28884">
      <w:bodyDiv w:val="1"/>
      <w:marLeft w:val="0"/>
      <w:marRight w:val="0"/>
      <w:marTop w:val="0"/>
      <w:marBottom w:val="0"/>
      <w:divBdr>
        <w:top w:val="none" w:sz="0" w:space="0" w:color="auto"/>
        <w:left w:val="none" w:sz="0" w:space="0" w:color="auto"/>
        <w:bottom w:val="none" w:sz="0" w:space="0" w:color="auto"/>
        <w:right w:val="none" w:sz="0" w:space="0" w:color="auto"/>
      </w:divBdr>
      <w:divsChild>
        <w:div w:id="318576095">
          <w:marLeft w:val="0"/>
          <w:marRight w:val="0"/>
          <w:marTop w:val="0"/>
          <w:marBottom w:val="0"/>
          <w:divBdr>
            <w:top w:val="none" w:sz="0" w:space="0" w:color="auto"/>
            <w:left w:val="none" w:sz="0" w:space="0" w:color="auto"/>
            <w:bottom w:val="none" w:sz="0" w:space="0" w:color="auto"/>
            <w:right w:val="none" w:sz="0" w:space="0" w:color="auto"/>
          </w:divBdr>
          <w:divsChild>
            <w:div w:id="134763036">
              <w:marLeft w:val="0"/>
              <w:marRight w:val="0"/>
              <w:marTop w:val="0"/>
              <w:marBottom w:val="0"/>
              <w:divBdr>
                <w:top w:val="none" w:sz="0" w:space="0" w:color="auto"/>
                <w:left w:val="none" w:sz="0" w:space="0" w:color="auto"/>
                <w:bottom w:val="none" w:sz="0" w:space="0" w:color="auto"/>
                <w:right w:val="none" w:sz="0" w:space="0" w:color="auto"/>
              </w:divBdr>
              <w:divsChild>
                <w:div w:id="20656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63370">
      <w:bodyDiv w:val="1"/>
      <w:marLeft w:val="0"/>
      <w:marRight w:val="0"/>
      <w:marTop w:val="0"/>
      <w:marBottom w:val="0"/>
      <w:divBdr>
        <w:top w:val="none" w:sz="0" w:space="0" w:color="auto"/>
        <w:left w:val="none" w:sz="0" w:space="0" w:color="auto"/>
        <w:bottom w:val="none" w:sz="0" w:space="0" w:color="auto"/>
        <w:right w:val="none" w:sz="0" w:space="0" w:color="auto"/>
      </w:divBdr>
      <w:divsChild>
        <w:div w:id="692654113">
          <w:marLeft w:val="0"/>
          <w:marRight w:val="0"/>
          <w:marTop w:val="0"/>
          <w:marBottom w:val="0"/>
          <w:divBdr>
            <w:top w:val="none" w:sz="0" w:space="0" w:color="auto"/>
            <w:left w:val="none" w:sz="0" w:space="0" w:color="auto"/>
            <w:bottom w:val="none" w:sz="0" w:space="0" w:color="auto"/>
            <w:right w:val="none" w:sz="0" w:space="0" w:color="auto"/>
          </w:divBdr>
          <w:divsChild>
            <w:div w:id="1473018693">
              <w:marLeft w:val="0"/>
              <w:marRight w:val="0"/>
              <w:marTop w:val="0"/>
              <w:marBottom w:val="0"/>
              <w:divBdr>
                <w:top w:val="none" w:sz="0" w:space="0" w:color="auto"/>
                <w:left w:val="none" w:sz="0" w:space="0" w:color="auto"/>
                <w:bottom w:val="none" w:sz="0" w:space="0" w:color="auto"/>
                <w:right w:val="none" w:sz="0" w:space="0" w:color="auto"/>
              </w:divBdr>
              <w:divsChild>
                <w:div w:id="1276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63313">
      <w:bodyDiv w:val="1"/>
      <w:marLeft w:val="0"/>
      <w:marRight w:val="0"/>
      <w:marTop w:val="0"/>
      <w:marBottom w:val="0"/>
      <w:divBdr>
        <w:top w:val="none" w:sz="0" w:space="0" w:color="auto"/>
        <w:left w:val="none" w:sz="0" w:space="0" w:color="auto"/>
        <w:bottom w:val="none" w:sz="0" w:space="0" w:color="auto"/>
        <w:right w:val="none" w:sz="0" w:space="0" w:color="auto"/>
      </w:divBdr>
      <w:divsChild>
        <w:div w:id="1367095155">
          <w:marLeft w:val="0"/>
          <w:marRight w:val="0"/>
          <w:marTop w:val="0"/>
          <w:marBottom w:val="0"/>
          <w:divBdr>
            <w:top w:val="none" w:sz="0" w:space="0" w:color="auto"/>
            <w:left w:val="none" w:sz="0" w:space="0" w:color="auto"/>
            <w:bottom w:val="none" w:sz="0" w:space="0" w:color="auto"/>
            <w:right w:val="none" w:sz="0" w:space="0" w:color="auto"/>
          </w:divBdr>
          <w:divsChild>
            <w:div w:id="422382695">
              <w:marLeft w:val="0"/>
              <w:marRight w:val="0"/>
              <w:marTop w:val="0"/>
              <w:marBottom w:val="0"/>
              <w:divBdr>
                <w:top w:val="none" w:sz="0" w:space="0" w:color="auto"/>
                <w:left w:val="none" w:sz="0" w:space="0" w:color="auto"/>
                <w:bottom w:val="none" w:sz="0" w:space="0" w:color="auto"/>
                <w:right w:val="none" w:sz="0" w:space="0" w:color="auto"/>
              </w:divBdr>
              <w:divsChild>
                <w:div w:id="14778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17255">
      <w:bodyDiv w:val="1"/>
      <w:marLeft w:val="0"/>
      <w:marRight w:val="0"/>
      <w:marTop w:val="0"/>
      <w:marBottom w:val="0"/>
      <w:divBdr>
        <w:top w:val="none" w:sz="0" w:space="0" w:color="auto"/>
        <w:left w:val="none" w:sz="0" w:space="0" w:color="auto"/>
        <w:bottom w:val="none" w:sz="0" w:space="0" w:color="auto"/>
        <w:right w:val="none" w:sz="0" w:space="0" w:color="auto"/>
      </w:divBdr>
      <w:divsChild>
        <w:div w:id="195896598">
          <w:marLeft w:val="0"/>
          <w:marRight w:val="0"/>
          <w:marTop w:val="0"/>
          <w:marBottom w:val="0"/>
          <w:divBdr>
            <w:top w:val="none" w:sz="0" w:space="0" w:color="auto"/>
            <w:left w:val="none" w:sz="0" w:space="0" w:color="auto"/>
            <w:bottom w:val="none" w:sz="0" w:space="0" w:color="auto"/>
            <w:right w:val="none" w:sz="0" w:space="0" w:color="auto"/>
          </w:divBdr>
          <w:divsChild>
            <w:div w:id="508176330">
              <w:marLeft w:val="0"/>
              <w:marRight w:val="0"/>
              <w:marTop w:val="0"/>
              <w:marBottom w:val="0"/>
              <w:divBdr>
                <w:top w:val="none" w:sz="0" w:space="0" w:color="auto"/>
                <w:left w:val="none" w:sz="0" w:space="0" w:color="auto"/>
                <w:bottom w:val="none" w:sz="0" w:space="0" w:color="auto"/>
                <w:right w:val="none" w:sz="0" w:space="0" w:color="auto"/>
              </w:divBdr>
              <w:divsChild>
                <w:div w:id="14845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99637">
      <w:bodyDiv w:val="1"/>
      <w:marLeft w:val="0"/>
      <w:marRight w:val="0"/>
      <w:marTop w:val="0"/>
      <w:marBottom w:val="0"/>
      <w:divBdr>
        <w:top w:val="none" w:sz="0" w:space="0" w:color="auto"/>
        <w:left w:val="none" w:sz="0" w:space="0" w:color="auto"/>
        <w:bottom w:val="none" w:sz="0" w:space="0" w:color="auto"/>
        <w:right w:val="none" w:sz="0" w:space="0" w:color="auto"/>
      </w:divBdr>
      <w:divsChild>
        <w:div w:id="1646810647">
          <w:marLeft w:val="0"/>
          <w:marRight w:val="0"/>
          <w:marTop w:val="0"/>
          <w:marBottom w:val="0"/>
          <w:divBdr>
            <w:top w:val="none" w:sz="0" w:space="0" w:color="auto"/>
            <w:left w:val="none" w:sz="0" w:space="0" w:color="auto"/>
            <w:bottom w:val="none" w:sz="0" w:space="0" w:color="auto"/>
            <w:right w:val="none" w:sz="0" w:space="0" w:color="auto"/>
          </w:divBdr>
          <w:divsChild>
            <w:div w:id="452023665">
              <w:marLeft w:val="0"/>
              <w:marRight w:val="0"/>
              <w:marTop w:val="0"/>
              <w:marBottom w:val="0"/>
              <w:divBdr>
                <w:top w:val="none" w:sz="0" w:space="0" w:color="auto"/>
                <w:left w:val="none" w:sz="0" w:space="0" w:color="auto"/>
                <w:bottom w:val="none" w:sz="0" w:space="0" w:color="auto"/>
                <w:right w:val="none" w:sz="0" w:space="0" w:color="auto"/>
              </w:divBdr>
              <w:divsChild>
                <w:div w:id="17499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53264">
      <w:bodyDiv w:val="1"/>
      <w:marLeft w:val="0"/>
      <w:marRight w:val="0"/>
      <w:marTop w:val="0"/>
      <w:marBottom w:val="0"/>
      <w:divBdr>
        <w:top w:val="none" w:sz="0" w:space="0" w:color="auto"/>
        <w:left w:val="none" w:sz="0" w:space="0" w:color="auto"/>
        <w:bottom w:val="none" w:sz="0" w:space="0" w:color="auto"/>
        <w:right w:val="none" w:sz="0" w:space="0" w:color="auto"/>
      </w:divBdr>
      <w:divsChild>
        <w:div w:id="1011571711">
          <w:marLeft w:val="0"/>
          <w:marRight w:val="0"/>
          <w:marTop w:val="0"/>
          <w:marBottom w:val="0"/>
          <w:divBdr>
            <w:top w:val="none" w:sz="0" w:space="0" w:color="auto"/>
            <w:left w:val="none" w:sz="0" w:space="0" w:color="auto"/>
            <w:bottom w:val="none" w:sz="0" w:space="0" w:color="auto"/>
            <w:right w:val="none" w:sz="0" w:space="0" w:color="auto"/>
          </w:divBdr>
          <w:divsChild>
            <w:div w:id="2019040890">
              <w:marLeft w:val="0"/>
              <w:marRight w:val="0"/>
              <w:marTop w:val="0"/>
              <w:marBottom w:val="0"/>
              <w:divBdr>
                <w:top w:val="none" w:sz="0" w:space="0" w:color="auto"/>
                <w:left w:val="none" w:sz="0" w:space="0" w:color="auto"/>
                <w:bottom w:val="none" w:sz="0" w:space="0" w:color="auto"/>
                <w:right w:val="none" w:sz="0" w:space="0" w:color="auto"/>
              </w:divBdr>
              <w:divsChild>
                <w:div w:id="107813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5488">
      <w:bodyDiv w:val="1"/>
      <w:marLeft w:val="0"/>
      <w:marRight w:val="0"/>
      <w:marTop w:val="0"/>
      <w:marBottom w:val="0"/>
      <w:divBdr>
        <w:top w:val="none" w:sz="0" w:space="0" w:color="auto"/>
        <w:left w:val="none" w:sz="0" w:space="0" w:color="auto"/>
        <w:bottom w:val="none" w:sz="0" w:space="0" w:color="auto"/>
        <w:right w:val="none" w:sz="0" w:space="0" w:color="auto"/>
      </w:divBdr>
      <w:divsChild>
        <w:div w:id="2024697566">
          <w:marLeft w:val="0"/>
          <w:marRight w:val="0"/>
          <w:marTop w:val="0"/>
          <w:marBottom w:val="0"/>
          <w:divBdr>
            <w:top w:val="none" w:sz="0" w:space="0" w:color="auto"/>
            <w:left w:val="none" w:sz="0" w:space="0" w:color="auto"/>
            <w:bottom w:val="none" w:sz="0" w:space="0" w:color="auto"/>
            <w:right w:val="none" w:sz="0" w:space="0" w:color="auto"/>
          </w:divBdr>
          <w:divsChild>
            <w:div w:id="2008706459">
              <w:marLeft w:val="0"/>
              <w:marRight w:val="0"/>
              <w:marTop w:val="0"/>
              <w:marBottom w:val="0"/>
              <w:divBdr>
                <w:top w:val="none" w:sz="0" w:space="0" w:color="auto"/>
                <w:left w:val="none" w:sz="0" w:space="0" w:color="auto"/>
                <w:bottom w:val="none" w:sz="0" w:space="0" w:color="auto"/>
                <w:right w:val="none" w:sz="0" w:space="0" w:color="auto"/>
              </w:divBdr>
              <w:divsChild>
                <w:div w:id="210221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67603">
      <w:bodyDiv w:val="1"/>
      <w:marLeft w:val="0"/>
      <w:marRight w:val="0"/>
      <w:marTop w:val="0"/>
      <w:marBottom w:val="0"/>
      <w:divBdr>
        <w:top w:val="none" w:sz="0" w:space="0" w:color="auto"/>
        <w:left w:val="none" w:sz="0" w:space="0" w:color="auto"/>
        <w:bottom w:val="none" w:sz="0" w:space="0" w:color="auto"/>
        <w:right w:val="none" w:sz="0" w:space="0" w:color="auto"/>
      </w:divBdr>
      <w:divsChild>
        <w:div w:id="588199366">
          <w:marLeft w:val="0"/>
          <w:marRight w:val="0"/>
          <w:marTop w:val="0"/>
          <w:marBottom w:val="0"/>
          <w:divBdr>
            <w:top w:val="none" w:sz="0" w:space="0" w:color="auto"/>
            <w:left w:val="none" w:sz="0" w:space="0" w:color="auto"/>
            <w:bottom w:val="none" w:sz="0" w:space="0" w:color="auto"/>
            <w:right w:val="none" w:sz="0" w:space="0" w:color="auto"/>
          </w:divBdr>
          <w:divsChild>
            <w:div w:id="1038627754">
              <w:marLeft w:val="0"/>
              <w:marRight w:val="0"/>
              <w:marTop w:val="0"/>
              <w:marBottom w:val="0"/>
              <w:divBdr>
                <w:top w:val="none" w:sz="0" w:space="0" w:color="auto"/>
                <w:left w:val="none" w:sz="0" w:space="0" w:color="auto"/>
                <w:bottom w:val="none" w:sz="0" w:space="0" w:color="auto"/>
                <w:right w:val="none" w:sz="0" w:space="0" w:color="auto"/>
              </w:divBdr>
              <w:divsChild>
                <w:div w:id="18818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2136</Words>
  <Characters>12177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Підгорна Карина Олександрівна</dc:creator>
  <cp:keywords/>
  <dc:description/>
  <cp:lastModifiedBy>Підгорна Карина Олександрівна</cp:lastModifiedBy>
  <cp:revision>10</cp:revision>
  <dcterms:created xsi:type="dcterms:W3CDTF">2022-04-08T21:18:00Z</dcterms:created>
  <dcterms:modified xsi:type="dcterms:W3CDTF">2022-05-10T22:21:00Z</dcterms:modified>
</cp:coreProperties>
</file>