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DA" w:rsidRPr="00986934" w:rsidRDefault="004733DA" w:rsidP="004733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uk-UA"/>
        </w:rPr>
      </w:pPr>
      <w:bookmarkStart w:id="0" w:name="_GoBack"/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Stablecoins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– скорость, стабильность, доверие?!</w:t>
      </w:r>
    </w:p>
    <w:p w:rsidR="004733DA" w:rsidRPr="00986934" w:rsidRDefault="004733DA" w:rsidP="004733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uk-UA"/>
        </w:rPr>
      </w:pPr>
    </w:p>
    <w:p w:rsidR="004733DA" w:rsidRDefault="004733DA" w:rsidP="00F20782">
      <w:pPr>
        <w:shd w:val="clear" w:color="auto" w:fill="FFFFFF"/>
        <w:spacing w:before="240" w:after="24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ru-RU" w:eastAsia="uk-UA"/>
        </w:rPr>
      </w:pP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Разработка «стабильных монет» была результатом появившегося огромного спроса на форму стабильного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криптоактива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. </w:t>
      </w:r>
      <w:r w:rsidRPr="00986934">
        <w:rPr>
          <w:rFonts w:ascii="Arial" w:eastAsia="Times New Roman" w:hAnsi="Arial" w:cs="Arial"/>
          <w:sz w:val="24"/>
          <w:szCs w:val="24"/>
          <w:highlight w:val="yellow"/>
          <w:lang w:val="ru-RU" w:eastAsia="uk-UA"/>
        </w:rPr>
        <w:t>Стабильные монеты или «</w:t>
      </w:r>
      <w:proofErr w:type="spellStart"/>
      <w:r w:rsidRPr="00986934">
        <w:rPr>
          <w:rFonts w:ascii="Arial" w:eastAsia="Times New Roman" w:hAnsi="Arial" w:cs="Arial"/>
          <w:sz w:val="24"/>
          <w:szCs w:val="24"/>
          <w:highlight w:val="yellow"/>
          <w:lang w:val="ru-RU" w:eastAsia="uk-UA"/>
        </w:rPr>
        <w:t>stablecoins</w:t>
      </w:r>
      <w:proofErr w:type="spellEnd"/>
      <w:r w:rsidRPr="00986934">
        <w:rPr>
          <w:rFonts w:ascii="Arial" w:eastAsia="Times New Roman" w:hAnsi="Arial" w:cs="Arial"/>
          <w:sz w:val="24"/>
          <w:szCs w:val="24"/>
          <w:highlight w:val="yellow"/>
          <w:lang w:val="ru-RU" w:eastAsia="uk-UA"/>
        </w:rPr>
        <w:t>»</w:t>
      </w: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– это цифровые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токены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, которые призваны обеспечить измеримую стабильность и безопасность.</w:t>
      </w:r>
      <w:r w:rsidR="00033543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</w:t>
      </w: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Они предназначены для использования в качестве расчётной единицы и средства сохранения капитала.</w:t>
      </w:r>
    </w:p>
    <w:p w:rsidR="003915CD" w:rsidRPr="00986934" w:rsidRDefault="00F20782" w:rsidP="003915CD">
      <w:pPr>
        <w:shd w:val="clear" w:color="auto" w:fill="FFFFFF"/>
        <w:spacing w:before="240" w:after="24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ru-RU" w:eastAsia="uk-UA"/>
        </w:rPr>
      </w:pPr>
      <w:r>
        <w:rPr>
          <w:rFonts w:ascii="Arial" w:eastAsia="Times New Roman" w:hAnsi="Arial" w:cs="Arial"/>
          <w:sz w:val="24"/>
          <w:szCs w:val="24"/>
          <w:lang w:val="ru-RU" w:eastAsia="uk-UA"/>
        </w:rPr>
        <w:t>Основным достоинством стабильных монет стало строгое ограничение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в количестве генерируемых</w:t>
      </w:r>
      <w:r w:rsidR="003915CD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монет, гарантируемый дефицит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, а отсутствие инфляции позволяет обеспечивать независимость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uk-UA"/>
        </w:rPr>
        <w:t>криптовалюты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от экономических, политических и природных факторов. Кроме того,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uk-UA"/>
        </w:rPr>
        <w:t>криптовалютная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 транзакция проходит моментально, в отличие от обычных денежных переводов, которые могут длиться до пяти дней. </w:t>
      </w:r>
    </w:p>
    <w:p w:rsidR="004733DA" w:rsidRPr="00986934" w:rsidRDefault="004733DA" w:rsidP="00F20782">
      <w:pPr>
        <w:spacing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ru-RU" w:eastAsia="uk-UA"/>
        </w:rPr>
      </w:pP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Существует три основных категории стабильной монеты:</w:t>
      </w:r>
    </w:p>
    <w:p w:rsidR="004733DA" w:rsidRPr="00986934" w:rsidRDefault="004733DA" w:rsidP="00F20782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ru-RU" w:eastAsia="uk-UA"/>
        </w:rPr>
      </w:pP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монеты, привязанные к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фиатной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валюте;</w:t>
      </w:r>
    </w:p>
    <w:p w:rsidR="004733DA" w:rsidRPr="00986934" w:rsidRDefault="004733DA" w:rsidP="00F20782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ru-RU" w:eastAsia="uk-UA"/>
        </w:rPr>
      </w:pP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монеты, привязанные к активам;</w:t>
      </w:r>
    </w:p>
    <w:p w:rsidR="004733DA" w:rsidRPr="00986934" w:rsidRDefault="004733DA" w:rsidP="00F20782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ru-RU" w:eastAsia="uk-UA"/>
        </w:rPr>
      </w:pP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монеты, которые регулируют количество или ликвидность оборота монет. </w:t>
      </w:r>
    </w:p>
    <w:p w:rsidR="004733DA" w:rsidRPr="00986934" w:rsidRDefault="004733DA" w:rsidP="004733DA">
      <w:pPr>
        <w:spacing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ru-RU" w:eastAsia="uk-UA"/>
        </w:rPr>
      </w:pP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Большинство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криптопользователей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знакомо с категорией монет, привязанных к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фиатной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валюте. Самой популярной формой выражения таких монет является </w:t>
      </w:r>
      <w:proofErr w:type="spellStart"/>
      <w:r w:rsidRPr="00986934">
        <w:rPr>
          <w:rFonts w:ascii="Arial" w:eastAsia="Times New Roman" w:hAnsi="Arial" w:cs="Arial"/>
          <w:sz w:val="24"/>
          <w:szCs w:val="24"/>
          <w:highlight w:val="yellow"/>
          <w:lang w:val="ru-RU" w:eastAsia="uk-UA"/>
        </w:rPr>
        <w:t>Tether</w:t>
      </w:r>
      <w:proofErr w:type="spellEnd"/>
      <w:r w:rsidRPr="00986934">
        <w:rPr>
          <w:rFonts w:ascii="Arial" w:eastAsia="Times New Roman" w:hAnsi="Arial" w:cs="Arial"/>
          <w:sz w:val="24"/>
          <w:szCs w:val="24"/>
          <w:highlight w:val="yellow"/>
          <w:lang w:val="ru-RU" w:eastAsia="uk-UA"/>
        </w:rPr>
        <w:t xml:space="preserve"> доллар США (USDT)</w:t>
      </w: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. Эти стабильные монеты предназначены для привязки валют (пег) «один к одному» с целью дальнейшего поддержания стоимости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криптовалюты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против конкретной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фиатной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валюты. Такие привязки обеспечивают эффективную, низкую транзакционную стоимость и сохранение фиксированного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фиатного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значения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криптосостояния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без необходимости балансирования вклада между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криптовалютой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и фактической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фиатной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валютой. Каждый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Tether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полностью привязан к одному фактическому доллару США. Эти монеты требуют значительной степени центрального управления, что делает </w:t>
      </w:r>
      <w:proofErr w:type="gram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такую</w:t>
      </w:r>
      <w:proofErr w:type="gram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криптовалюту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уязвимой для нападений и применения государственных санкций.</w:t>
      </w:r>
    </w:p>
    <w:p w:rsidR="004733DA" w:rsidRPr="00986934" w:rsidRDefault="004733DA" w:rsidP="004733DA">
      <w:pPr>
        <w:spacing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ru-RU" w:eastAsia="uk-UA"/>
        </w:rPr>
      </w:pP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Следующий класс стабильной монеты убеждает в своей стабильности менее централизованным способом, </w:t>
      </w:r>
      <w:r w:rsidRPr="00986934">
        <w:rPr>
          <w:rFonts w:ascii="Arial" w:eastAsia="Times New Roman" w:hAnsi="Arial" w:cs="Arial"/>
          <w:sz w:val="24"/>
          <w:szCs w:val="24"/>
          <w:highlight w:val="yellow"/>
          <w:lang w:val="ru-RU" w:eastAsia="uk-UA"/>
        </w:rPr>
        <w:t>а именно путём привязки к другим типам активов</w:t>
      </w: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– традиционным (ценные бумаги, товары) или другим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криптоактивам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. Целью этой привязки является уменьшение волатильности активов для инвестиционных целей. В таком случае некоторые индивидуальные риски различных базовых инструментов диверсифицируются, и общая стабильность зависит от части устраненных рисков. Остаётся риск рыночный – вмешательство внезапных факторов, которые влияют на цены всех активов в портфеле. Для правильного соотношения активы, которые являются залогом стабильной монеты, должны быть легко продаваемы и покупаемы, то есть ликвидными. Это значит, что снижение цены, вызванное потоком из монет, должно вызывать снижение всей рыночной капитализации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криптовалюты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.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Неликвидность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монеты, обеспеченной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криптоактивами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, делает такие монеты зависимыми от паники. Даже поддерживаемые относительно живыми ликвидными активами монеты остаются уязвимыми к потерям. Этот класс стабильной монеты является средством, которое не устраняет, а уменьшает волатильность.</w:t>
      </w:r>
    </w:p>
    <w:p w:rsidR="004733DA" w:rsidRPr="00986934" w:rsidRDefault="004733DA" w:rsidP="004733DA">
      <w:pPr>
        <w:spacing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ru-RU" w:eastAsia="uk-UA"/>
        </w:rPr>
      </w:pP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Целью третьего основного класса стабильной монеты является использование способности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криптовалюты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</w:t>
      </w:r>
      <w:r w:rsidRPr="00986934">
        <w:rPr>
          <w:rFonts w:ascii="Arial" w:eastAsia="Times New Roman" w:hAnsi="Arial" w:cs="Arial"/>
          <w:sz w:val="24"/>
          <w:szCs w:val="24"/>
          <w:highlight w:val="yellow"/>
          <w:lang w:val="ru-RU" w:eastAsia="uk-UA"/>
        </w:rPr>
        <w:t>менять своё предложение или ликвидность монет в ответ на изменения спроса</w:t>
      </w: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. Это позволяет уменьшить волатильность цены. Возможность влияния на стабилизацию цен помогает осуществить </w:t>
      </w:r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lastRenderedPageBreak/>
        <w:t xml:space="preserve">децентрализованный путь и предоставляет альтернативу стабильным монетам, которые поддерживаются активами. Данный способ частично устраняет рыночный риск, ослабляет влияние паники. Одной из этих стабильных монет </w:t>
      </w:r>
      <w:proofErr w:type="gram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является </w:t>
      </w:r>
      <w:r w:rsidRPr="00986934">
        <w:rPr>
          <w:rFonts w:ascii="Arial" w:eastAsia="Times New Roman" w:hAnsi="Arial" w:cs="Arial"/>
          <w:sz w:val="24"/>
          <w:szCs w:val="24"/>
          <w:highlight w:val="yellow"/>
          <w:lang w:val="ru-RU" w:eastAsia="uk-UA"/>
        </w:rPr>
        <w:t>децентрализованный динамический пег</w:t>
      </w:r>
      <w:proofErr w:type="gram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, который в скором будущем будет реализован проектом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BitBay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(BAY). Цель проекта – устранение веяний, связанных со спекулятивной активностью и паникой, а также обеспечение более надёжного денежного средства и средства обмена на децентрализованном рынке </w:t>
      </w:r>
      <w:proofErr w:type="spellStart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>BitBay</w:t>
      </w:r>
      <w:proofErr w:type="spellEnd"/>
      <w:r w:rsidRPr="00986934">
        <w:rPr>
          <w:rFonts w:ascii="Arial" w:eastAsia="Times New Roman" w:hAnsi="Arial" w:cs="Arial"/>
          <w:sz w:val="24"/>
          <w:szCs w:val="24"/>
          <w:lang w:val="ru-RU" w:eastAsia="uk-UA"/>
        </w:rPr>
        <w:t xml:space="preserve">. </w:t>
      </w:r>
    </w:p>
    <w:p w:rsidR="004733DA" w:rsidRPr="00986934" w:rsidRDefault="004733DA" w:rsidP="004733DA">
      <w:pPr>
        <w:ind w:firstLine="360"/>
        <w:jc w:val="both"/>
        <w:rPr>
          <w:rFonts w:ascii="Arial" w:hAnsi="Arial" w:cs="Arial"/>
          <w:sz w:val="24"/>
          <w:szCs w:val="24"/>
          <w:lang w:val="ru-RU"/>
        </w:rPr>
      </w:pPr>
      <w:r w:rsidRPr="00986934">
        <w:rPr>
          <w:rFonts w:ascii="Arial" w:hAnsi="Arial" w:cs="Arial"/>
          <w:sz w:val="24"/>
          <w:szCs w:val="24"/>
          <w:lang w:val="ru-RU"/>
        </w:rPr>
        <w:t xml:space="preserve">Таким образом, стабильная монета вполне может стать </w:t>
      </w:r>
      <w:r w:rsidRPr="00A03910">
        <w:rPr>
          <w:rFonts w:ascii="Arial" w:hAnsi="Arial" w:cs="Arial"/>
          <w:sz w:val="24"/>
          <w:szCs w:val="24"/>
          <w:highlight w:val="yellow"/>
          <w:lang w:val="ru-RU"/>
        </w:rPr>
        <w:t>основополагающим компонентом</w:t>
      </w:r>
      <w:r w:rsidRPr="00986934">
        <w:rPr>
          <w:rFonts w:ascii="Arial" w:hAnsi="Arial" w:cs="Arial"/>
          <w:sz w:val="24"/>
          <w:szCs w:val="24"/>
          <w:lang w:val="ru-RU"/>
        </w:rPr>
        <w:t xml:space="preserve"> экономики следующего поколения и </w:t>
      </w:r>
      <w:r w:rsidRPr="00A03910">
        <w:rPr>
          <w:rFonts w:ascii="Arial" w:hAnsi="Arial" w:cs="Arial"/>
          <w:sz w:val="24"/>
          <w:szCs w:val="24"/>
          <w:highlight w:val="yellow"/>
          <w:lang w:val="ru-RU"/>
        </w:rPr>
        <w:t>общепризнанной международной валютой</w:t>
      </w:r>
      <w:r w:rsidRPr="00986934">
        <w:rPr>
          <w:rFonts w:ascii="Arial" w:hAnsi="Arial" w:cs="Arial"/>
          <w:sz w:val="24"/>
          <w:szCs w:val="24"/>
          <w:lang w:val="ru-RU"/>
        </w:rPr>
        <w:t xml:space="preserve"> будущего, что даст  возможность свободно и безопасно всем участвовать </w:t>
      </w:r>
      <w:proofErr w:type="gramStart"/>
      <w:r w:rsidRPr="00986934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986934">
        <w:rPr>
          <w:rFonts w:ascii="Arial" w:hAnsi="Arial" w:cs="Arial"/>
          <w:sz w:val="24"/>
          <w:szCs w:val="24"/>
          <w:lang w:val="ru-RU"/>
        </w:rPr>
        <w:t xml:space="preserve"> развивающейся </w:t>
      </w:r>
      <w:proofErr w:type="spellStart"/>
      <w:r w:rsidRPr="00986934">
        <w:rPr>
          <w:rFonts w:ascii="Arial" w:hAnsi="Arial" w:cs="Arial"/>
          <w:sz w:val="24"/>
          <w:szCs w:val="24"/>
          <w:lang w:val="ru-RU"/>
        </w:rPr>
        <w:t>криптоэкономике</w:t>
      </w:r>
      <w:proofErr w:type="spellEnd"/>
      <w:r w:rsidRPr="00986934">
        <w:rPr>
          <w:rFonts w:ascii="Arial" w:hAnsi="Arial" w:cs="Arial"/>
          <w:sz w:val="24"/>
          <w:szCs w:val="24"/>
          <w:lang w:val="ru-RU"/>
        </w:rPr>
        <w:t xml:space="preserve">. </w:t>
      </w:r>
    </w:p>
    <w:bookmarkEnd w:id="0"/>
    <w:p w:rsidR="004733DA" w:rsidRPr="00CD6FBD" w:rsidRDefault="004733DA" w:rsidP="004733DA">
      <w:pPr>
        <w:rPr>
          <w:lang w:val="ru-RU"/>
        </w:rPr>
      </w:pPr>
    </w:p>
    <w:p w:rsidR="005A0A36" w:rsidRPr="004733DA" w:rsidRDefault="005A0A36">
      <w:pPr>
        <w:rPr>
          <w:lang w:val="ru-RU"/>
        </w:rPr>
      </w:pPr>
    </w:p>
    <w:sectPr w:rsidR="005A0A36" w:rsidRPr="004733DA" w:rsidSect="00A0391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A4711"/>
    <w:multiLevelType w:val="hybridMultilevel"/>
    <w:tmpl w:val="2F2872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6488A"/>
    <w:multiLevelType w:val="multilevel"/>
    <w:tmpl w:val="101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DA"/>
    <w:rsid w:val="00033543"/>
    <w:rsid w:val="003915CD"/>
    <w:rsid w:val="004733DA"/>
    <w:rsid w:val="005A0A36"/>
    <w:rsid w:val="006D2134"/>
    <w:rsid w:val="00A03910"/>
    <w:rsid w:val="00B85F5D"/>
    <w:rsid w:val="00F2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DA"/>
  </w:style>
  <w:style w:type="paragraph" w:styleId="2">
    <w:name w:val="heading 2"/>
    <w:basedOn w:val="a"/>
    <w:link w:val="20"/>
    <w:uiPriority w:val="9"/>
    <w:qFormat/>
    <w:rsid w:val="006D2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3D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D213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ez-toc-section">
    <w:name w:val="ez-toc-section"/>
    <w:basedOn w:val="a0"/>
    <w:rsid w:val="006D2134"/>
  </w:style>
  <w:style w:type="paragraph" w:styleId="a4">
    <w:name w:val="Normal (Web)"/>
    <w:basedOn w:val="a"/>
    <w:uiPriority w:val="99"/>
    <w:semiHidden/>
    <w:unhideWhenUsed/>
    <w:rsid w:val="006D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0335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DA"/>
  </w:style>
  <w:style w:type="paragraph" w:styleId="2">
    <w:name w:val="heading 2"/>
    <w:basedOn w:val="a"/>
    <w:link w:val="20"/>
    <w:uiPriority w:val="9"/>
    <w:qFormat/>
    <w:rsid w:val="006D2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3D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D213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ez-toc-section">
    <w:name w:val="ez-toc-section"/>
    <w:basedOn w:val="a0"/>
    <w:rsid w:val="006D2134"/>
  </w:style>
  <w:style w:type="paragraph" w:styleId="a4">
    <w:name w:val="Normal (Web)"/>
    <w:basedOn w:val="a"/>
    <w:uiPriority w:val="99"/>
    <w:semiHidden/>
    <w:unhideWhenUsed/>
    <w:rsid w:val="006D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033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379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2019-02-20T13:58:00Z</dcterms:created>
  <dcterms:modified xsi:type="dcterms:W3CDTF">2019-02-24T17:05:00Z</dcterms:modified>
</cp:coreProperties>
</file>