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line="360" w:lineRule="auto"/>
        <w:jc w:val="center"/>
        <w:rPr>
          <w:sz w:val="36"/>
          <w:szCs w:val="36"/>
        </w:rPr>
      </w:pPr>
      <w:r>
        <w:rPr>
          <w:rtl w:val="0"/>
        </w:rPr>
        <w:t xml:space="preserve">  </w:t>
      </w:r>
      <w:r>
        <w:rPr>
          <w:rtl w:val="0"/>
        </w:rPr>
        <w:t>Григорян Марія Едуардівна</w:t>
      </w:r>
    </w:p>
    <w:p>
      <w:pPr>
        <w:pStyle w:val="Основной текст"/>
        <w:spacing w:line="360" w:lineRule="auto"/>
        <w:jc w:val="center"/>
        <w:rPr>
          <w:b w:val="1"/>
          <w:bCs w:val="1"/>
          <w:sz w:val="36"/>
          <w:szCs w:val="36"/>
        </w:rPr>
      </w:pPr>
      <w:r>
        <w:rPr>
          <w:b w:val="1"/>
          <w:bCs w:val="1"/>
          <w:rtl w:val="0"/>
        </w:rPr>
        <w:t xml:space="preserve">ФІКСАЦІЯ БІОЛОГІЧНИМ КЛЕЄМ </w:t>
      </w:r>
      <w:r>
        <w:rPr>
          <w:b w:val="1"/>
          <w:bCs w:val="1"/>
          <w:rtl w:val="0"/>
          <w:lang w:val="en-US"/>
        </w:rPr>
        <w:t>BIO GLUE</w:t>
      </w:r>
      <w:r>
        <w:rPr>
          <w:b w:val="1"/>
          <w:bCs w:val="1"/>
          <w:rtl w:val="0"/>
        </w:rPr>
        <w:t xml:space="preserve"> ПАЛЬЦЕВОГО ОСТЕОХОНДРАЛЬНОГО ПЕРЕЛОМУ</w:t>
      </w:r>
      <w:r>
        <w:rPr>
          <w:b w:val="1"/>
          <w:bCs w:val="1"/>
          <w:rtl w:val="0"/>
        </w:rPr>
        <w:t>(</w:t>
      </w:r>
      <w:r>
        <w:rPr>
          <w:b w:val="1"/>
          <w:bCs w:val="1"/>
          <w:rtl w:val="0"/>
        </w:rPr>
        <w:t>ОГЛЯД ЛІТЕРАТУРИ</w:t>
      </w:r>
      <w:r>
        <w:rPr>
          <w:b w:val="1"/>
          <w:bCs w:val="1"/>
          <w:rtl w:val="0"/>
        </w:rPr>
        <w:t>)</w:t>
      </w:r>
    </w:p>
    <w:p>
      <w:pPr>
        <w:pStyle w:val="Основной текст"/>
        <w:spacing w:line="360" w:lineRule="auto"/>
        <w:jc w:val="center"/>
        <w:rPr>
          <w:sz w:val="36"/>
          <w:szCs w:val="36"/>
        </w:rPr>
      </w:pPr>
      <w:r>
        <w:rPr>
          <w:rtl w:val="0"/>
        </w:rPr>
        <w:t>Чорноморський національний університет імені Петра Могили</w:t>
      </w:r>
    </w:p>
    <w:p>
      <w:pPr>
        <w:pStyle w:val="Основной текст"/>
        <w:spacing w:line="360" w:lineRule="auto"/>
        <w:jc w:val="center"/>
        <w:rPr>
          <w:sz w:val="36"/>
          <w:szCs w:val="36"/>
        </w:rPr>
      </w:pPr>
      <w:r>
        <w:rPr>
          <w:rtl w:val="0"/>
        </w:rPr>
        <w:t>Кафедра хірургічних дисциплін</w:t>
      </w:r>
    </w:p>
    <w:p>
      <w:pPr>
        <w:pStyle w:val="Основной текст"/>
        <w:spacing w:line="360" w:lineRule="auto"/>
        <w:jc w:val="center"/>
        <w:rPr>
          <w:sz w:val="36"/>
          <w:szCs w:val="36"/>
        </w:rPr>
      </w:pPr>
      <w:r>
        <w:rPr>
          <w:rtl w:val="0"/>
        </w:rPr>
        <w:t xml:space="preserve">5 </w:t>
      </w:r>
      <w:r>
        <w:rPr>
          <w:rtl w:val="0"/>
          <w:lang w:val="ru-RU"/>
        </w:rPr>
        <w:t>курс</w:t>
      </w:r>
      <w:r>
        <w:rPr>
          <w:rtl w:val="0"/>
        </w:rPr>
        <w:t xml:space="preserve">, </w:t>
      </w:r>
      <w:r>
        <w:rPr>
          <w:rtl w:val="0"/>
        </w:rPr>
        <w:t xml:space="preserve">група </w:t>
      </w:r>
      <w:r>
        <w:rPr>
          <w:rtl w:val="0"/>
        </w:rPr>
        <w:t>5204</w:t>
      </w:r>
    </w:p>
    <w:p>
      <w:pPr>
        <w:pStyle w:val="Основной текст"/>
        <w:spacing w:line="360" w:lineRule="auto"/>
        <w:jc w:val="center"/>
        <w:rPr>
          <w:sz w:val="36"/>
          <w:szCs w:val="36"/>
        </w:rPr>
      </w:pPr>
      <w:r>
        <w:rPr>
          <w:rtl w:val="0"/>
        </w:rPr>
        <w:t>Науковий керівник</w:t>
      </w:r>
      <w:r>
        <w:rPr>
          <w:rtl w:val="0"/>
        </w:rPr>
        <w:t xml:space="preserve">: </w:t>
      </w:r>
      <w:r>
        <w:rPr>
          <w:rtl w:val="0"/>
        </w:rPr>
        <w:t>Забровський Вячеслав Ігорович</w:t>
      </w:r>
    </w:p>
    <w:p>
      <w:pPr>
        <w:pStyle w:val="Основной текст"/>
        <w:spacing w:line="360" w:lineRule="auto"/>
        <w:jc w:val="center"/>
      </w:pPr>
      <w:r>
        <w:rPr>
          <w:rtl w:val="0"/>
        </w:rPr>
        <w:t>Зав</w:t>
      </w:r>
      <w:r>
        <w:rPr>
          <w:rtl w:val="0"/>
        </w:rPr>
        <w:t xml:space="preserve">. </w:t>
      </w:r>
      <w:r>
        <w:rPr>
          <w:rtl w:val="0"/>
        </w:rPr>
        <w:t>кафедрою</w:t>
      </w:r>
      <w:r>
        <w:rPr>
          <w:rtl w:val="0"/>
        </w:rPr>
        <w:t xml:space="preserve">: </w:t>
      </w:r>
      <w:r>
        <w:rPr>
          <w:rtl w:val="0"/>
        </w:rPr>
        <w:t>проф</w:t>
      </w:r>
      <w:r>
        <w:rPr>
          <w:rtl w:val="0"/>
        </w:rPr>
        <w:t xml:space="preserve">. </w:t>
      </w:r>
      <w:r>
        <w:rPr>
          <w:rtl w:val="0"/>
        </w:rPr>
        <w:t>Тарасенко Олег Миколайович</w:t>
      </w:r>
    </w:p>
    <w:p>
      <w:pPr>
        <w:pStyle w:val="Основной текст"/>
        <w:jc w:val="both"/>
      </w:pPr>
    </w:p>
    <w:p>
      <w:pPr>
        <w:pStyle w:val="Основной текст"/>
        <w:spacing w:line="360" w:lineRule="auto"/>
        <w:jc w:val="both"/>
      </w:pPr>
      <w:r>
        <w:rPr>
          <w:b w:val="1"/>
          <w:bCs w:val="1"/>
          <w:rtl w:val="0"/>
        </w:rPr>
        <w:t>Актуальність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Біологічний клей </w:t>
      </w:r>
      <w:r>
        <w:rPr>
          <w:rtl w:val="0"/>
          <w:lang w:val="en-US"/>
        </w:rPr>
        <w:t xml:space="preserve">Bio Glue - </w:t>
      </w:r>
      <w:r>
        <w:rPr>
          <w:rtl w:val="0"/>
        </w:rPr>
        <w:t>хірургічний клей</w:t>
      </w:r>
      <w:r>
        <w:rPr>
          <w:rtl w:val="0"/>
        </w:rPr>
        <w:t xml:space="preserve">, </w:t>
      </w:r>
      <w:r>
        <w:rPr>
          <w:rtl w:val="0"/>
        </w:rPr>
        <w:t>призначений для герметизації та укріплення хірургічних швів і склеювання тканин між собою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Остеохондральний перелом </w:t>
      </w:r>
      <w:r>
        <w:rPr>
          <w:rtl w:val="0"/>
        </w:rPr>
        <w:t xml:space="preserve">- </w:t>
      </w:r>
      <w:r>
        <w:rPr>
          <w:rtl w:val="0"/>
        </w:rPr>
        <w:t>це ураження хряща і підлеглої кістки</w:t>
      </w:r>
      <w:r>
        <w:rPr>
          <w:rtl w:val="0"/>
        </w:rPr>
        <w:t xml:space="preserve">, </w:t>
      </w:r>
      <w:r>
        <w:rPr>
          <w:rtl w:val="0"/>
        </w:rPr>
        <w:t>що призводить до утворення кістково</w:t>
      </w:r>
      <w:r>
        <w:rPr>
          <w:rtl w:val="0"/>
        </w:rPr>
        <w:t>-</w:t>
      </w:r>
      <w:r>
        <w:rPr>
          <w:rtl w:val="0"/>
        </w:rPr>
        <w:t xml:space="preserve">хрящового фрагмента </w:t>
      </w:r>
      <w:r>
        <w:rPr>
          <w:rtl w:val="0"/>
        </w:rPr>
        <w:t>(</w:t>
      </w:r>
      <w:r>
        <w:rPr>
          <w:rtl w:val="0"/>
        </w:rPr>
        <w:t>іноді рухомого</w:t>
      </w:r>
      <w:r>
        <w:rPr>
          <w:rtl w:val="0"/>
        </w:rPr>
        <w:t xml:space="preserve">) </w:t>
      </w:r>
      <w:r>
        <w:rPr>
          <w:rtl w:val="0"/>
        </w:rPr>
        <w:t>без видимої травми</w:t>
      </w:r>
      <w:r>
        <w:rPr>
          <w:rtl w:val="0"/>
        </w:rPr>
        <w:t xml:space="preserve">. </w:t>
      </w:r>
      <w:r>
        <w:rPr>
          <w:rtl w:val="0"/>
        </w:rPr>
        <w:t>Варіанти хірургічного лікування пальцевих остеохондральних переломів обмежені доволі малою кількістю кісткової тканини</w:t>
      </w:r>
      <w:r>
        <w:rPr>
          <w:rtl w:val="0"/>
        </w:rPr>
        <w:t xml:space="preserve">, </w:t>
      </w:r>
      <w:r>
        <w:rPr>
          <w:rtl w:val="0"/>
        </w:rPr>
        <w:t>що доступна для фіксації</w:t>
      </w:r>
      <w:r>
        <w:rPr>
          <w:rtl w:val="0"/>
        </w:rPr>
        <w:t xml:space="preserve">. </w:t>
      </w:r>
      <w:r>
        <w:rPr>
          <w:rtl w:val="0"/>
        </w:rPr>
        <w:t>Біологічний герметик використовується у різних клінічних умовах як біологічний зв</w:t>
      </w:r>
      <w:r>
        <w:rPr>
          <w:rtl w:val="0"/>
        </w:rPr>
        <w:t>'</w:t>
      </w:r>
      <w:r>
        <w:rPr>
          <w:rtl w:val="0"/>
        </w:rPr>
        <w:t>язуючий агент і може уникнути недоліків традиційної фіксації або простого видалення для деяких пальцевих остеохондральних ушкоджень</w:t>
      </w:r>
      <w:r>
        <w:rPr>
          <w:rtl w:val="0"/>
        </w:rPr>
        <w:t>.</w:t>
      </w:r>
    </w:p>
    <w:p>
      <w:pPr>
        <w:pStyle w:val="Основной текст"/>
        <w:spacing w:line="360" w:lineRule="auto"/>
        <w:jc w:val="both"/>
      </w:pPr>
    </w:p>
    <w:p>
      <w:pPr>
        <w:pStyle w:val="Основной текст"/>
        <w:spacing w:line="360" w:lineRule="auto"/>
        <w:jc w:val="both"/>
      </w:pPr>
      <w:r>
        <w:rPr>
          <w:b w:val="1"/>
          <w:bCs w:val="1"/>
          <w:rtl w:val="0"/>
        </w:rPr>
        <w:t>Метою</w:t>
      </w:r>
      <w:r>
        <w:rPr>
          <w:rtl w:val="0"/>
        </w:rPr>
        <w:t xml:space="preserve"> даної роботи є проведення аналізу сучасних літературних даних щодо відомостей про біологічний клей </w:t>
      </w:r>
      <w:r>
        <w:rPr>
          <w:rtl w:val="0"/>
          <w:lang w:val="en-US"/>
        </w:rPr>
        <w:t xml:space="preserve">BioGlue </w:t>
      </w:r>
      <w:r>
        <w:rPr>
          <w:rtl w:val="0"/>
        </w:rPr>
        <w:t>та успішне лікування пальцевого остеохондрального перелому</w:t>
      </w:r>
      <w:r>
        <w:rPr>
          <w:rtl w:val="0"/>
        </w:rPr>
        <w:t>.</w:t>
      </w:r>
    </w:p>
    <w:p>
      <w:pPr>
        <w:pStyle w:val="Основной текст"/>
        <w:spacing w:line="360" w:lineRule="auto"/>
        <w:jc w:val="both"/>
      </w:pPr>
    </w:p>
    <w:p>
      <w:pPr>
        <w:pStyle w:val="Основной текст"/>
        <w:spacing w:line="360" w:lineRule="auto"/>
        <w:jc w:val="both"/>
      </w:pPr>
      <w:r>
        <w:rPr>
          <w:b w:val="1"/>
          <w:bCs w:val="1"/>
          <w:rtl w:val="0"/>
        </w:rPr>
        <w:t>Матеріали та методи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Пошук необхідної інформації проводився в наступних базах даних</w:t>
      </w:r>
      <w:r>
        <w:rPr>
          <w:rtl w:val="0"/>
          <w:lang w:val="it-IT"/>
        </w:rPr>
        <w:t xml:space="preserve">: Medscope </w:t>
      </w:r>
      <w:r>
        <w:rPr>
          <w:rtl w:val="0"/>
        </w:rPr>
        <w:t xml:space="preserve">та </w:t>
      </w:r>
      <w:r>
        <w:rPr>
          <w:rtl w:val="0"/>
        </w:rPr>
        <w:t xml:space="preserve">PubMed </w:t>
      </w:r>
      <w:r>
        <w:rPr>
          <w:rtl w:val="0"/>
        </w:rPr>
        <w:t xml:space="preserve">за період </w:t>
      </w:r>
      <w:r>
        <w:rPr>
          <w:rtl w:val="0"/>
        </w:rPr>
        <w:t xml:space="preserve">2012-2019 </w:t>
      </w:r>
      <w:r>
        <w:rPr>
          <w:rtl w:val="0"/>
        </w:rPr>
        <w:t>роки з використанням таких ключових слів</w:t>
      </w:r>
      <w:r>
        <w:rPr>
          <w:rtl w:val="0"/>
        </w:rPr>
        <w:t xml:space="preserve">, </w:t>
      </w:r>
      <w:r>
        <w:rPr>
          <w:rtl w:val="0"/>
        </w:rPr>
        <w:t xml:space="preserve">як «біологічний клей </w:t>
      </w:r>
      <w:r>
        <w:rPr>
          <w:rtl w:val="0"/>
          <w:lang w:val="en-US"/>
        </w:rPr>
        <w:t>BioGlue</w:t>
      </w:r>
      <w:r>
        <w:rPr>
          <w:rtl w:val="0"/>
          <w:lang w:val="it-IT"/>
        </w:rPr>
        <w:t>»</w:t>
      </w:r>
      <w:r>
        <w:rPr>
          <w:rtl w:val="0"/>
        </w:rPr>
        <w:t xml:space="preserve">, </w:t>
      </w:r>
      <w:r>
        <w:rPr>
          <w:rtl w:val="0"/>
          <w:lang w:val="ru-RU"/>
        </w:rPr>
        <w:t>«пальцевий остеохондральний перелом»</w:t>
      </w:r>
      <w:r>
        <w:rPr>
          <w:rtl w:val="0"/>
        </w:rPr>
        <w:t>.</w:t>
      </w:r>
    </w:p>
    <w:p>
      <w:pPr>
        <w:pStyle w:val="Основной текст"/>
        <w:spacing w:line="360" w:lineRule="auto"/>
        <w:jc w:val="both"/>
      </w:pPr>
    </w:p>
    <w:p>
      <w:pPr>
        <w:pStyle w:val="Основной текст"/>
        <w:spacing w:line="360" w:lineRule="auto"/>
        <w:jc w:val="both"/>
      </w:pPr>
      <w:r>
        <w:rPr>
          <w:b w:val="1"/>
          <w:bCs w:val="1"/>
          <w:rtl w:val="0"/>
          <w:lang w:val="ru-RU"/>
        </w:rPr>
        <w:t>Результати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Документовано успішне використання фіксації біологічним клеєм для пацієнта з пальцевим остеохондральним переломом</w:t>
      </w:r>
      <w:r>
        <w:rPr>
          <w:rtl w:val="0"/>
        </w:rPr>
        <w:t xml:space="preserve">, </w:t>
      </w:r>
      <w:r>
        <w:rPr>
          <w:rtl w:val="0"/>
        </w:rPr>
        <w:t>що включає проксимальний міжфаланговий суглоб та переглянуто літературу щодо біологічного клею для кісткової фіксації</w:t>
      </w:r>
      <w:r>
        <w:rPr>
          <w:rtl w:val="0"/>
        </w:rPr>
        <w:t>.</w:t>
      </w:r>
    </w:p>
    <w:p>
      <w:pPr>
        <w:pStyle w:val="Основной текст"/>
        <w:spacing w:line="360" w:lineRule="auto"/>
        <w:jc w:val="both"/>
      </w:pPr>
    </w:p>
    <w:p>
      <w:pPr>
        <w:pStyle w:val="Основной текст"/>
        <w:spacing w:line="360" w:lineRule="auto"/>
        <w:jc w:val="both"/>
      </w:pPr>
      <w:r>
        <w:rPr>
          <w:b w:val="1"/>
          <w:bCs w:val="1"/>
          <w:rtl w:val="0"/>
        </w:rPr>
        <w:t>Висновки</w:t>
      </w:r>
      <w:r>
        <w:rPr>
          <w:b w:val="1"/>
          <w:bCs w:val="1"/>
          <w:rtl w:val="0"/>
        </w:rPr>
        <w:t>:</w:t>
      </w:r>
      <w:r>
        <w:rPr>
          <w:rtl w:val="0"/>
        </w:rPr>
        <w:t xml:space="preserve"> В дії цього біологічного матеріалу важливу роль відіграє адгезивний ефект</w:t>
      </w:r>
      <w:r>
        <w:rPr>
          <w:rtl w:val="0"/>
        </w:rPr>
        <w:t xml:space="preserve">, </w:t>
      </w:r>
      <w:r>
        <w:rPr>
          <w:rtl w:val="0"/>
        </w:rPr>
        <w:t>тобто зціплення</w:t>
      </w:r>
      <w:r>
        <w:rPr>
          <w:rtl w:val="0"/>
        </w:rPr>
        <w:t xml:space="preserve">, </w:t>
      </w:r>
      <w:r>
        <w:rPr>
          <w:rtl w:val="0"/>
        </w:rPr>
        <w:t>коли кісткові уламки прикріплюються один до одного</w:t>
      </w:r>
      <w:r>
        <w:rPr>
          <w:rtl w:val="0"/>
        </w:rPr>
        <w:t xml:space="preserve">. </w:t>
      </w:r>
      <w:r>
        <w:rPr>
          <w:rtl w:val="0"/>
          <w:lang w:val="ru-RU"/>
        </w:rPr>
        <w:t xml:space="preserve">Одночасно клей </w:t>
      </w:r>
      <w:r>
        <w:rPr>
          <w:rtl w:val="0"/>
          <w:lang w:val="en-US"/>
        </w:rPr>
        <w:t xml:space="preserve">BioGlue </w:t>
      </w:r>
      <w:r>
        <w:rPr>
          <w:rtl w:val="0"/>
        </w:rPr>
        <w:t>володіє пористістю</w:t>
      </w:r>
      <w:r>
        <w:rPr>
          <w:rtl w:val="0"/>
        </w:rPr>
        <w:t xml:space="preserve">, </w:t>
      </w:r>
      <w:r>
        <w:rPr>
          <w:rtl w:val="0"/>
        </w:rPr>
        <w:t>що в свою чергу дозволяє проростати клітинам кісткової тканини через структуру цієї клейкої речовини</w:t>
      </w:r>
      <w:r>
        <w:rPr>
          <w:rtl w:val="0"/>
        </w:rPr>
        <w:t xml:space="preserve">, </w:t>
      </w:r>
      <w:r>
        <w:rPr>
          <w:rtl w:val="0"/>
        </w:rPr>
        <w:t>а також стимулювати вростання клітин</w:t>
      </w:r>
      <w:r>
        <w:rPr>
          <w:rtl w:val="0"/>
        </w:rPr>
        <w:t xml:space="preserve">.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5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4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