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C7" w:rsidRPr="00B017C7" w:rsidRDefault="00B017C7" w:rsidP="00B017C7">
      <w:pPr>
        <w:pStyle w:val="1"/>
        <w:rPr>
          <w:b w:val="0"/>
          <w:sz w:val="32"/>
          <w:szCs w:val="32"/>
        </w:rPr>
      </w:pPr>
      <w:r w:rsidRPr="00B017C7">
        <w:rPr>
          <w:b w:val="0"/>
          <w:sz w:val="32"/>
          <w:szCs w:val="32"/>
        </w:rPr>
        <w:t>Препараты GSK</w:t>
      </w:r>
    </w:p>
    <w:p w:rsidR="00B017C7" w:rsidRPr="00B017C7" w:rsidRDefault="00B017C7" w:rsidP="00B017C7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r w:rsidRPr="00B017C7">
        <w:rPr>
          <w:rFonts w:cs="Times New Roman"/>
        </w:rPr>
        <w:t xml:space="preserve">Компания GSK на протяжении больше 160 лет занимается научными исследованиями и выпуском высокоэффективных потребительских товаров для здоровья. Безрецептурные и рецептурные лекарства реализуются на территории Европы и Азии, Америки. Запросы потребителей и медицинские требования постоянно меняются. Препараты </w:t>
      </w:r>
      <w:r>
        <w:rPr>
          <w:rFonts w:cs="Times New Roman"/>
        </w:rPr>
        <w:t xml:space="preserve">организации </w:t>
      </w:r>
      <w:r w:rsidRPr="00B017C7">
        <w:rPr>
          <w:rFonts w:cs="Times New Roman"/>
        </w:rPr>
        <w:t xml:space="preserve">GSK выпускаются с учетом установленных стандартов. Все они сгруппированы по четырем категориям — находящиеся в открытом доступе (безрецептурные), продающиеся только по рецептам, лекарства для полости рта и кожи. </w:t>
      </w:r>
    </w:p>
    <w:p w:rsidR="00B017C7" w:rsidRPr="00B017C7" w:rsidRDefault="00B017C7" w:rsidP="00B017C7">
      <w:pPr>
        <w:pStyle w:val="2"/>
        <w:rPr>
          <w:b w:val="0"/>
        </w:rPr>
      </w:pPr>
      <w:r w:rsidRPr="00B017C7">
        <w:rPr>
          <w:b w:val="0"/>
        </w:rPr>
        <w:t xml:space="preserve">Основная деятельности компании </w:t>
      </w:r>
      <w:r w:rsidRPr="00EA7789">
        <w:t xml:space="preserve">GSK </w:t>
      </w:r>
      <w:r w:rsidRPr="00EA7789">
        <w:rPr>
          <w:szCs w:val="22"/>
        </w:rPr>
        <w:t xml:space="preserve">— </w:t>
      </w:r>
      <w:r w:rsidRPr="00EA7789">
        <w:t>препараты</w:t>
      </w:r>
    </w:p>
    <w:p w:rsidR="00B017C7" w:rsidRPr="00B017C7" w:rsidRDefault="00B017C7" w:rsidP="00B017C7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r w:rsidRPr="00B017C7">
        <w:rPr>
          <w:rFonts w:cs="Times New Roman"/>
        </w:rPr>
        <w:t xml:space="preserve">Производственные мощности фирмы GSK постоянно расширяются, заключаются новые сделки и контракты, позволяющие увеличивать ассортимент производимых и реализующихся товаров для здоровья. Организация работает по нескольким направлениям, в том числе фармацевтическом и вакцинальном. </w:t>
      </w:r>
    </w:p>
    <w:p w:rsidR="00B017C7" w:rsidRPr="00B017C7" w:rsidRDefault="00B017C7" w:rsidP="00B017C7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r w:rsidRPr="00B017C7">
        <w:rPr>
          <w:rFonts w:cs="Times New Roman"/>
        </w:rPr>
        <w:t xml:space="preserve">Собственная лаборатория позволяет создавать антибактериальные, противовирусные и другие </w:t>
      </w:r>
      <w:r w:rsidRPr="00B017C7">
        <w:rPr>
          <w:rFonts w:cs="Times New Roman"/>
          <w:b/>
        </w:rPr>
        <w:t>препараты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  <w:lang w:val="en-US"/>
        </w:rPr>
        <w:t>GSK</w:t>
      </w:r>
      <w:r w:rsidRPr="00B017C7">
        <w:rPr>
          <w:rFonts w:cs="Times New Roman"/>
        </w:rPr>
        <w:t xml:space="preserve">. Опытные исследователи постоянно открывают миру разработки, направленные на изучение генетики, иммунной системы. В комбинации с высокотехнологическими достижениями и высокопроизводительным оборудованием наработки помогают компании выпускать лекарства, направленные на борьбу с серьезными заболеваниями ЦНС, урологии, дерматологии, иммунологии, онкологии и др. </w:t>
      </w:r>
    </w:p>
    <w:p w:rsidR="00B017C7" w:rsidRPr="00B017C7" w:rsidRDefault="00B017C7" w:rsidP="00B017C7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r w:rsidRPr="00B017C7">
        <w:rPr>
          <w:rFonts w:cs="Times New Roman"/>
        </w:rPr>
        <w:t xml:space="preserve">Производитель находится в постоянном поиске методов ускорения инноваций в собственных лабораторных подразделениях. Каждое учреждение ориентировано на конкретные области исследований, что позволяет </w:t>
      </w:r>
      <w:proofErr w:type="spellStart"/>
      <w:r w:rsidRPr="00B017C7">
        <w:rPr>
          <w:rFonts w:cs="Times New Roman"/>
        </w:rPr>
        <w:t>оперативнее</w:t>
      </w:r>
      <w:proofErr w:type="spellEnd"/>
      <w:r w:rsidRPr="00B017C7">
        <w:rPr>
          <w:rFonts w:cs="Times New Roman"/>
        </w:rPr>
        <w:t xml:space="preserve"> находить </w:t>
      </w:r>
      <w:proofErr w:type="spellStart"/>
      <w:r w:rsidRPr="00B017C7">
        <w:rPr>
          <w:rFonts w:cs="Times New Roman"/>
        </w:rPr>
        <w:t>биомишени</w:t>
      </w:r>
      <w:proofErr w:type="spellEnd"/>
      <w:r w:rsidRPr="00B017C7">
        <w:rPr>
          <w:rFonts w:cs="Times New Roman"/>
        </w:rPr>
        <w:t>, создавать молекулы либо биофармацевтические лекарства, позднее становящиеся новыми препаратами компании GSK.</w:t>
      </w:r>
    </w:p>
    <w:p w:rsidR="00B017C7" w:rsidRPr="00B017C7" w:rsidRDefault="00B017C7" w:rsidP="00B017C7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r w:rsidRPr="00B017C7">
        <w:rPr>
          <w:rFonts w:cs="Times New Roman"/>
        </w:rPr>
        <w:t xml:space="preserve">Основная стратегия компании — разработка новых, качественных и популярных лекарственных товаров, которые будут доступны широкому кругу потребителей. Для достижения поставленных целей организация поддерживает сильнейший портфель перспективных препаратов и  удерживает лидерские позиции в области производства лекарств для лечения ВИЧ. </w:t>
      </w:r>
    </w:p>
    <w:p w:rsidR="00B017C7" w:rsidRPr="00B017C7" w:rsidRDefault="00B017C7" w:rsidP="00B017C7">
      <w:pPr>
        <w:pStyle w:val="2"/>
        <w:rPr>
          <w:b w:val="0"/>
        </w:rPr>
      </w:pPr>
      <w:r w:rsidRPr="00B017C7">
        <w:rPr>
          <w:b w:val="0"/>
        </w:rPr>
        <w:t>Ассортимент продукции</w:t>
      </w:r>
    </w:p>
    <w:p w:rsidR="00B017C7" w:rsidRPr="00B017C7" w:rsidRDefault="00D45B37" w:rsidP="00B017C7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r>
        <w:rPr>
          <w:rFonts w:cs="Times New Roman"/>
        </w:rPr>
        <w:t>Рецептурные</w:t>
      </w:r>
      <w:r>
        <w:rPr>
          <w:rFonts w:cs="Times New Roman"/>
          <w:lang w:val="uk-UA"/>
        </w:rPr>
        <w:t xml:space="preserve"> </w:t>
      </w:r>
      <w:r>
        <w:rPr>
          <w:rFonts w:cs="Times New Roman"/>
        </w:rPr>
        <w:t>средства</w:t>
      </w:r>
      <w:r w:rsidRPr="00D45B37">
        <w:rPr>
          <w:rFonts w:cs="Times New Roman"/>
        </w:rPr>
        <w:t xml:space="preserve"> </w:t>
      </w:r>
      <w:r w:rsidR="00B017C7" w:rsidRPr="00B017C7">
        <w:rPr>
          <w:rFonts w:cs="Times New Roman"/>
        </w:rPr>
        <w:t xml:space="preserve">предназначены для лечения широкого спектра острых и хронических форм болезней. При этом на </w:t>
      </w:r>
      <w:r w:rsidR="00B017C7" w:rsidRPr="00B017C7">
        <w:rPr>
          <w:rFonts w:cs="Times New Roman"/>
          <w:b/>
        </w:rPr>
        <w:t>препараты GSK</w:t>
      </w:r>
      <w:r w:rsidR="00B017C7" w:rsidRPr="00B017C7">
        <w:rPr>
          <w:rFonts w:cs="Times New Roman"/>
        </w:rPr>
        <w:t xml:space="preserve"> </w:t>
      </w:r>
      <w:r w:rsidR="00B017C7" w:rsidRPr="00B017C7">
        <w:rPr>
          <w:rFonts w:cs="Times New Roman"/>
          <w:b/>
        </w:rPr>
        <w:t>цена</w:t>
      </w:r>
      <w:r w:rsidR="00B017C7" w:rsidRPr="00B017C7">
        <w:rPr>
          <w:rFonts w:cs="Times New Roman"/>
        </w:rPr>
        <w:t xml:space="preserve"> остается доступной потребителю с любым бюджетом. Все они продаются по рецепту или рекомендации лечащего врача. В ассортименте представлены:</w:t>
      </w:r>
    </w:p>
    <w:p w:rsidR="00B017C7" w:rsidRPr="00B017C7" w:rsidRDefault="00B017C7" w:rsidP="00B017C7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proofErr w:type="spellStart"/>
      <w:r w:rsidRPr="00B017C7">
        <w:rPr>
          <w:rFonts w:cs="Times New Roman"/>
        </w:rPr>
        <w:t>гипогликемизирующие</w:t>
      </w:r>
      <w:proofErr w:type="spellEnd"/>
      <w:r w:rsidRPr="00B017C7">
        <w:rPr>
          <w:rFonts w:cs="Times New Roman"/>
        </w:rPr>
        <w:t>;</w:t>
      </w:r>
    </w:p>
    <w:p w:rsidR="00B017C7" w:rsidRPr="00B017C7" w:rsidRDefault="00B017C7" w:rsidP="00B017C7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proofErr w:type="spellStart"/>
      <w:r w:rsidRPr="00B017C7">
        <w:rPr>
          <w:rFonts w:cs="Times New Roman"/>
        </w:rPr>
        <w:t>антиандрогенные</w:t>
      </w:r>
      <w:proofErr w:type="spellEnd"/>
      <w:r w:rsidRPr="00B017C7">
        <w:rPr>
          <w:rFonts w:cs="Times New Roman"/>
        </w:rPr>
        <w:t>;</w:t>
      </w:r>
    </w:p>
    <w:p w:rsidR="00B017C7" w:rsidRPr="00B017C7" w:rsidRDefault="00B017C7" w:rsidP="00B017C7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proofErr w:type="spellStart"/>
      <w:r w:rsidRPr="00B017C7">
        <w:rPr>
          <w:rFonts w:cs="Times New Roman"/>
        </w:rPr>
        <w:t>противоопухолеыве</w:t>
      </w:r>
      <w:proofErr w:type="spellEnd"/>
      <w:r w:rsidRPr="00B017C7">
        <w:rPr>
          <w:rFonts w:cs="Times New Roman"/>
        </w:rPr>
        <w:t>;</w:t>
      </w:r>
    </w:p>
    <w:p w:rsidR="00B017C7" w:rsidRPr="00B017C7" w:rsidRDefault="00B017C7" w:rsidP="00B017C7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r w:rsidRPr="00B017C7">
        <w:rPr>
          <w:rFonts w:cs="Times New Roman"/>
        </w:rPr>
        <w:t>противовирусные;</w:t>
      </w:r>
    </w:p>
    <w:p w:rsidR="00B017C7" w:rsidRPr="00B017C7" w:rsidRDefault="00B017C7" w:rsidP="00B017C7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proofErr w:type="spellStart"/>
      <w:r w:rsidRPr="00B017C7">
        <w:rPr>
          <w:rFonts w:cs="Times New Roman"/>
        </w:rPr>
        <w:t>противоязвенные</w:t>
      </w:r>
      <w:proofErr w:type="spellEnd"/>
      <w:r w:rsidRPr="00B017C7">
        <w:rPr>
          <w:rFonts w:cs="Times New Roman"/>
        </w:rPr>
        <w:t>;</w:t>
      </w:r>
    </w:p>
    <w:p w:rsidR="00B017C7" w:rsidRPr="00B017C7" w:rsidRDefault="00B017C7" w:rsidP="00B017C7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r w:rsidRPr="00B017C7">
        <w:rPr>
          <w:rFonts w:cs="Times New Roman"/>
        </w:rPr>
        <w:t>противорвотные;</w:t>
      </w:r>
    </w:p>
    <w:p w:rsidR="00B017C7" w:rsidRPr="00B017C7" w:rsidRDefault="00B017C7" w:rsidP="00B017C7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proofErr w:type="spellStart"/>
      <w:r w:rsidRPr="00B017C7">
        <w:rPr>
          <w:rFonts w:cs="Times New Roman"/>
        </w:rPr>
        <w:t>нормотимические</w:t>
      </w:r>
      <w:proofErr w:type="spellEnd"/>
      <w:r w:rsidRPr="00B017C7">
        <w:rPr>
          <w:rFonts w:cs="Times New Roman"/>
        </w:rPr>
        <w:t>;</w:t>
      </w:r>
    </w:p>
    <w:p w:rsidR="00B017C7" w:rsidRPr="00B017C7" w:rsidRDefault="00B017C7" w:rsidP="00B017C7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proofErr w:type="spellStart"/>
      <w:r w:rsidRPr="00B017C7">
        <w:rPr>
          <w:rFonts w:cs="Times New Roman"/>
        </w:rPr>
        <w:t>неролиптические</w:t>
      </w:r>
      <w:proofErr w:type="spellEnd"/>
      <w:r w:rsidRPr="00B017C7">
        <w:rPr>
          <w:rFonts w:cs="Times New Roman"/>
        </w:rPr>
        <w:t>;</w:t>
      </w:r>
    </w:p>
    <w:p w:rsidR="00B017C7" w:rsidRPr="00B017C7" w:rsidRDefault="00B017C7" w:rsidP="00B017C7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r w:rsidRPr="00B017C7">
        <w:rPr>
          <w:rFonts w:cs="Times New Roman"/>
        </w:rPr>
        <w:lastRenderedPageBreak/>
        <w:t>жаропонижающие;</w:t>
      </w:r>
    </w:p>
    <w:p w:rsidR="00B017C7" w:rsidRPr="00B017C7" w:rsidRDefault="00B017C7" w:rsidP="00B017C7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r w:rsidRPr="00B017C7">
        <w:rPr>
          <w:rFonts w:cs="Times New Roman"/>
        </w:rPr>
        <w:t>противогрибковые;</w:t>
      </w:r>
    </w:p>
    <w:p w:rsidR="00B017C7" w:rsidRPr="00B017C7" w:rsidRDefault="00B017C7" w:rsidP="00B017C7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r w:rsidRPr="00B017C7">
        <w:rPr>
          <w:rFonts w:cs="Times New Roman"/>
        </w:rPr>
        <w:t xml:space="preserve">противоаллергические препараты и многое другое. </w:t>
      </w:r>
    </w:p>
    <w:p w:rsidR="00B017C7" w:rsidRPr="00B017C7" w:rsidRDefault="00B017C7" w:rsidP="00B017C7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  <w:r w:rsidRPr="00B017C7">
        <w:rPr>
          <w:rFonts w:cs="Times New Roman"/>
        </w:rPr>
        <w:t xml:space="preserve">Также в каталоге удастся найти антибиотики узкого и широкого спектра воздействия, средства для лечения насморка, терапии системной красной волчанки, депрессии, стимуляторы </w:t>
      </w:r>
      <w:proofErr w:type="spellStart"/>
      <w:r w:rsidRPr="00B017C7">
        <w:rPr>
          <w:rFonts w:cs="Times New Roman"/>
        </w:rPr>
        <w:t>гемопоэза</w:t>
      </w:r>
      <w:proofErr w:type="spellEnd"/>
      <w:r w:rsidRPr="00B017C7">
        <w:rPr>
          <w:rFonts w:cs="Times New Roman"/>
        </w:rPr>
        <w:t xml:space="preserve"> и др. Серийно выпускаются лекарства для борьбы с аллергией верхних дыхательных путей, дерматологических заболеваний, зубные пасты и детские крема. </w:t>
      </w:r>
      <w:r w:rsidRPr="00B017C7">
        <w:rPr>
          <w:rFonts w:cs="Times New Roman"/>
          <w:b/>
        </w:rPr>
        <w:t>Купить</w:t>
      </w:r>
      <w:r w:rsidRPr="00B017C7">
        <w:rPr>
          <w:rFonts w:cs="Times New Roman"/>
        </w:rPr>
        <w:t xml:space="preserve"> </w:t>
      </w:r>
      <w:r w:rsidRPr="00B017C7">
        <w:rPr>
          <w:rFonts w:cs="Times New Roman"/>
          <w:b/>
        </w:rPr>
        <w:t>препараты GSK</w:t>
      </w:r>
      <w:r w:rsidRPr="00B017C7">
        <w:rPr>
          <w:rFonts w:cs="Times New Roman"/>
        </w:rPr>
        <w:t xml:space="preserve"> с доставкой по Украине вы можете, обратившись в компанию </w:t>
      </w:r>
      <w:proofErr w:type="spellStart"/>
      <w:r w:rsidRPr="00B017C7">
        <w:rPr>
          <w:rFonts w:cs="Times New Roman"/>
        </w:rPr>
        <w:t>Alfamedico</w:t>
      </w:r>
      <w:proofErr w:type="spellEnd"/>
      <w:r w:rsidRPr="00B017C7">
        <w:rPr>
          <w:rFonts w:cs="Times New Roman"/>
        </w:rPr>
        <w:t xml:space="preserve">. </w:t>
      </w:r>
    </w:p>
    <w:p w:rsidR="00B017C7" w:rsidRPr="00B017C7" w:rsidRDefault="00B017C7" w:rsidP="00B017C7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cs="Times New Roman"/>
        </w:rPr>
      </w:pPr>
    </w:p>
    <w:p w:rsidR="000A62A5" w:rsidRPr="00B017C7" w:rsidRDefault="000A62A5" w:rsidP="00B017C7">
      <w:pPr>
        <w:spacing w:before="100" w:beforeAutospacing="1" w:after="100" w:afterAutospacing="1"/>
      </w:pPr>
    </w:p>
    <w:sectPr w:rsidR="000A62A5" w:rsidRPr="00B017C7" w:rsidSect="009304B9">
      <w:pgSz w:w="11905" w:h="16837"/>
      <w:pgMar w:top="1134" w:right="1440" w:bottom="1134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D39CF"/>
    <w:multiLevelType w:val="hybridMultilevel"/>
    <w:tmpl w:val="028AA6F2"/>
    <w:lvl w:ilvl="0" w:tplc="85A0EABE">
      <w:numFmt w:val="bullet"/>
      <w:lvlText w:val="•"/>
      <w:lvlJc w:val="left"/>
      <w:pPr>
        <w:ind w:left="1065" w:hanging="705"/>
      </w:pPr>
      <w:rPr>
        <w:rFonts w:ascii="Calibri" w:eastAsiaTheme="minorHAns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45A1A"/>
    <w:multiLevelType w:val="hybridMultilevel"/>
    <w:tmpl w:val="AB9E4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017C7"/>
    <w:rsid w:val="000A62A5"/>
    <w:rsid w:val="00B017C7"/>
    <w:rsid w:val="00D45B37"/>
    <w:rsid w:val="00EA7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A5"/>
  </w:style>
  <w:style w:type="paragraph" w:styleId="1">
    <w:name w:val="heading 1"/>
    <w:basedOn w:val="a"/>
    <w:next w:val="a"/>
    <w:link w:val="10"/>
    <w:uiPriority w:val="9"/>
    <w:qFormat/>
    <w:rsid w:val="00B017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17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17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017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017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4</cp:revision>
  <dcterms:created xsi:type="dcterms:W3CDTF">2020-07-18T04:05:00Z</dcterms:created>
  <dcterms:modified xsi:type="dcterms:W3CDTF">2020-07-18T04:16:00Z</dcterms:modified>
</cp:coreProperties>
</file>