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sz w:val="28"/>
          <w:szCs w:val="28"/>
        </w:rPr>
      </w:pPr>
      <w:bookmarkStart w:id="0" w:name="_Hlk128082021"/>
      <w:r>
        <w:rPr>
          <w:b/>
          <w:bCs/>
          <w:sz w:val="28"/>
          <w:szCs w:val="28"/>
        </w:rPr>
        <w:t>«Система онбордингу персоналу на підприємстві в умовах війни»</w:t>
      </w:r>
    </w:p>
    <w:p>
      <w:pPr>
        <w:spacing w:line="276" w:lineRule="auto"/>
        <w:jc w:val="center"/>
        <w:rPr>
          <w:sz w:val="28"/>
          <w:szCs w:val="28"/>
        </w:rPr>
      </w:pPr>
      <w:r>
        <w:rPr>
          <w:sz w:val="28"/>
          <w:szCs w:val="28"/>
        </w:rPr>
        <w:t xml:space="preserve">(за матеріалами </w:t>
      </w:r>
      <w:bookmarkStart w:id="1" w:name="_Hlk128081952"/>
      <w:r>
        <w:rPr>
          <w:sz w:val="28"/>
          <w:szCs w:val="28"/>
        </w:rPr>
        <w:t>ТОВ «ЕПІЦЕНТР К»</w:t>
      </w:r>
      <w:bookmarkEnd w:id="1"/>
      <w:r>
        <w:rPr>
          <w:sz w:val="28"/>
          <w:szCs w:val="28"/>
        </w:rPr>
        <w:t>)</w:t>
      </w:r>
    </w:p>
    <w:p>
      <w:pPr>
        <w:spacing w:line="276" w:lineRule="auto"/>
        <w:jc w:val="center"/>
        <w:rPr>
          <w:sz w:val="28"/>
          <w:szCs w:val="28"/>
        </w:rPr>
      </w:pPr>
    </w:p>
    <w:p>
      <w:pPr>
        <w:widowControl w:val="0"/>
        <w:spacing w:line="276" w:lineRule="auto"/>
        <w:jc w:val="center"/>
        <w:rPr>
          <w:color w:val="000000"/>
          <w:spacing w:val="-6"/>
          <w:sz w:val="28"/>
          <w:szCs w:val="28"/>
        </w:rPr>
      </w:pPr>
      <w:r>
        <w:rPr>
          <w:color w:val="000000"/>
          <w:spacing w:val="-6"/>
          <w:sz w:val="28"/>
          <w:szCs w:val="28"/>
        </w:rPr>
        <w:t>Зміст випускної кваліфікаційної роботи</w:t>
      </w:r>
    </w:p>
    <w:p>
      <w:pPr>
        <w:widowControl w:val="0"/>
        <w:spacing w:line="276" w:lineRule="auto"/>
        <w:jc w:val="center"/>
        <w:rPr>
          <w:color w:val="000000"/>
          <w:sz w:val="28"/>
          <w:szCs w:val="28"/>
        </w:rPr>
      </w:pPr>
      <w:r>
        <w:rPr>
          <w:color w:val="000000"/>
          <w:spacing w:val="-6"/>
          <w:sz w:val="28"/>
          <w:szCs w:val="28"/>
        </w:rPr>
        <w:t>(перелік питань за кожним розділом</w:t>
      </w:r>
      <w:r>
        <w:rPr>
          <w:color w:val="000000"/>
          <w:sz w:val="28"/>
          <w:szCs w:val="28"/>
        </w:rPr>
        <w:t>)</w:t>
      </w:r>
    </w:p>
    <w:p>
      <w:pPr>
        <w:widowControl w:val="0"/>
        <w:spacing w:line="276" w:lineRule="auto"/>
        <w:jc w:val="both"/>
        <w:rPr>
          <w:spacing w:val="-2"/>
          <w:sz w:val="28"/>
          <w:szCs w:val="28"/>
        </w:rPr>
      </w:pPr>
    </w:p>
    <w:p>
      <w:pPr>
        <w:spacing w:line="276" w:lineRule="auto"/>
        <w:jc w:val="both"/>
        <w:rPr>
          <w:sz w:val="28"/>
          <w:szCs w:val="28"/>
        </w:rPr>
      </w:pPr>
      <w:r>
        <w:rPr>
          <w:sz w:val="28"/>
          <w:szCs w:val="28"/>
        </w:rPr>
        <w:t>ВСТУП</w:t>
      </w:r>
    </w:p>
    <w:p>
      <w:pPr>
        <w:spacing w:line="276" w:lineRule="auto"/>
        <w:ind w:left="1418" w:hanging="1418"/>
        <w:jc w:val="both"/>
        <w:rPr>
          <w:sz w:val="28"/>
          <w:szCs w:val="28"/>
        </w:rPr>
      </w:pPr>
      <w:r>
        <w:rPr>
          <w:sz w:val="28"/>
          <w:szCs w:val="28"/>
        </w:rPr>
        <w:t>РОЗДІЛ 1. ТЕОРЕТИЧНІ ТА МЕТОДИЧНІ ОСНОВИ ЗАСТОСУВАННЯ СИСТЕМИ ОНБОРДИНГУ ПЕРСОНАЛУ НА ПІДПРИЄМСТВІ</w:t>
      </w:r>
    </w:p>
    <w:p>
      <w:pPr>
        <w:spacing w:line="276" w:lineRule="auto"/>
        <w:ind w:left="1418" w:hanging="1418"/>
        <w:jc w:val="both"/>
        <w:rPr>
          <w:sz w:val="28"/>
          <w:szCs w:val="28"/>
        </w:rPr>
      </w:pPr>
      <w:r>
        <w:rPr>
          <w:sz w:val="28"/>
          <w:szCs w:val="28"/>
        </w:rPr>
        <w:t>1.1. Поняття та основні елементи системи онбордингу персоналу</w:t>
      </w:r>
    </w:p>
    <w:p>
      <w:pPr>
        <w:spacing w:line="276" w:lineRule="auto"/>
        <w:ind w:left="1418" w:hanging="1418"/>
        <w:jc w:val="both"/>
        <w:rPr>
          <w:color w:val="000000"/>
          <w:sz w:val="28"/>
          <w:szCs w:val="28"/>
        </w:rPr>
      </w:pPr>
      <w:r>
        <w:rPr>
          <w:sz w:val="28"/>
          <w:szCs w:val="28"/>
        </w:rPr>
        <w:t>1.2. Методичні підходи до формування та впровадження системи онбордингу персоналу на підприємстві</w:t>
      </w:r>
    </w:p>
    <w:p>
      <w:pPr>
        <w:spacing w:line="276" w:lineRule="auto"/>
        <w:ind w:left="1418" w:hanging="1418"/>
        <w:jc w:val="both"/>
        <w:rPr>
          <w:color w:val="000000"/>
          <w:sz w:val="28"/>
          <w:szCs w:val="28"/>
        </w:rPr>
      </w:pPr>
    </w:p>
    <w:p>
      <w:pPr>
        <w:spacing w:line="276" w:lineRule="auto"/>
        <w:ind w:left="1418" w:hanging="1418"/>
        <w:jc w:val="both"/>
        <w:rPr>
          <w:sz w:val="28"/>
          <w:szCs w:val="28"/>
        </w:rPr>
      </w:pPr>
      <w:r>
        <w:rPr>
          <w:color w:val="000000"/>
          <w:sz w:val="28"/>
          <w:szCs w:val="28"/>
        </w:rPr>
        <w:t xml:space="preserve">РОЗДІЛ 2. ДОСЛІДЖЕННЯ ЗАСТОСУВАННЯ СИСТЕМИ ОНБОРДИНГУ ПЕРСОНАЛУ НА ПІДПРИЄМСТВІ </w:t>
      </w:r>
      <w:r>
        <w:rPr>
          <w:sz w:val="28"/>
          <w:szCs w:val="28"/>
        </w:rPr>
        <w:t>ТОВ «ЕПІЦЕНТР К»</w:t>
      </w:r>
    </w:p>
    <w:p>
      <w:pPr>
        <w:spacing w:line="276" w:lineRule="auto"/>
        <w:ind w:left="1418" w:hanging="1418"/>
        <w:jc w:val="both"/>
        <w:rPr>
          <w:color w:val="000000"/>
          <w:sz w:val="28"/>
          <w:szCs w:val="28"/>
        </w:rPr>
      </w:pPr>
      <w:r>
        <w:rPr>
          <w:color w:val="000000"/>
          <w:sz w:val="28"/>
          <w:szCs w:val="28"/>
        </w:rPr>
        <w:t>2.1. Загальна характеристика та результати застосування системи онбордингу персоналу на підприємстві ТОВ «ЕПІЦЕНТР К»</w:t>
      </w:r>
    </w:p>
    <w:p>
      <w:pPr>
        <w:spacing w:line="276" w:lineRule="auto"/>
        <w:ind w:left="1418" w:hanging="1418"/>
        <w:jc w:val="both"/>
        <w:rPr>
          <w:color w:val="000000"/>
          <w:sz w:val="28"/>
          <w:szCs w:val="28"/>
        </w:rPr>
      </w:pPr>
      <w:r>
        <w:rPr>
          <w:color w:val="000000"/>
          <w:sz w:val="28"/>
          <w:szCs w:val="28"/>
        </w:rPr>
        <w:t xml:space="preserve">2.2. Аналіз системи онбордингу персоналу на підприємстві </w:t>
      </w:r>
      <w:r>
        <w:rPr>
          <w:sz w:val="28"/>
          <w:szCs w:val="28"/>
        </w:rPr>
        <w:t>ТОВ «ЕПІЦЕНТР К»</w:t>
      </w:r>
      <w:r>
        <w:t xml:space="preserve"> </w:t>
      </w:r>
      <w:r>
        <w:rPr>
          <w:sz w:val="28"/>
          <w:szCs w:val="28"/>
        </w:rPr>
        <w:t>визначення недоліків у процесі її формування</w:t>
      </w:r>
    </w:p>
    <w:p>
      <w:pPr>
        <w:spacing w:line="276" w:lineRule="auto"/>
        <w:ind w:left="1418" w:hanging="1418"/>
        <w:jc w:val="both"/>
        <w:rPr>
          <w:color w:val="000000"/>
          <w:sz w:val="28"/>
          <w:szCs w:val="28"/>
        </w:rPr>
      </w:pPr>
    </w:p>
    <w:p>
      <w:pPr>
        <w:spacing w:line="276" w:lineRule="auto"/>
        <w:ind w:left="1418" w:hanging="1418"/>
        <w:jc w:val="both"/>
        <w:rPr>
          <w:sz w:val="28"/>
          <w:szCs w:val="28"/>
        </w:rPr>
      </w:pPr>
      <w:r>
        <w:rPr>
          <w:color w:val="000000"/>
          <w:sz w:val="28"/>
          <w:szCs w:val="28"/>
        </w:rPr>
        <w:t xml:space="preserve">РОЗДІЛ 3. НАПРЯМИ ВДОСКОНАЛЕННЯ СИСТЕМИ ОНБОРДИНГУ ПЕРСОНАЛУ НА ПІДПРИЄМСТВІ </w:t>
      </w:r>
      <w:r>
        <w:rPr>
          <w:sz w:val="28"/>
          <w:szCs w:val="28"/>
        </w:rPr>
        <w:t>ТОВ «ЕПІЦЕНТР К» В УМОВАХ ВІЙНИ</w:t>
      </w:r>
    </w:p>
    <w:p>
      <w:pPr>
        <w:spacing w:line="276" w:lineRule="auto"/>
        <w:ind w:left="1418" w:hanging="1418"/>
        <w:jc w:val="both"/>
        <w:rPr>
          <w:sz w:val="28"/>
          <w:szCs w:val="28"/>
        </w:rPr>
      </w:pPr>
      <w:r>
        <w:rPr>
          <w:sz w:val="28"/>
          <w:szCs w:val="28"/>
        </w:rPr>
        <w:t>3.1 Формування заходів адаптації системи онбордингу персоналу на підприємстві в умовах війни</w:t>
      </w:r>
    </w:p>
    <w:p>
      <w:pPr>
        <w:spacing w:line="276" w:lineRule="auto"/>
        <w:ind w:left="1418" w:hanging="1418"/>
        <w:jc w:val="both"/>
        <w:rPr>
          <w:sz w:val="28"/>
          <w:szCs w:val="28"/>
        </w:rPr>
      </w:pPr>
      <w:r>
        <w:rPr>
          <w:sz w:val="28"/>
          <w:szCs w:val="28"/>
        </w:rPr>
        <w:t>3.2  Оцінка ефективності запропонованих заходів</w:t>
      </w:r>
    </w:p>
    <w:p>
      <w:pPr>
        <w:spacing w:line="276" w:lineRule="auto"/>
        <w:jc w:val="both"/>
        <w:rPr>
          <w:color w:val="000000"/>
          <w:sz w:val="28"/>
          <w:szCs w:val="28"/>
        </w:rPr>
      </w:pPr>
    </w:p>
    <w:p>
      <w:pPr>
        <w:spacing w:line="276" w:lineRule="auto"/>
        <w:jc w:val="both"/>
        <w:rPr>
          <w:color w:val="000000"/>
          <w:sz w:val="28"/>
          <w:szCs w:val="28"/>
        </w:rPr>
      </w:pPr>
      <w:r>
        <w:rPr>
          <w:color w:val="000000"/>
          <w:sz w:val="28"/>
          <w:szCs w:val="28"/>
        </w:rPr>
        <w:t>ВИСНОВКИ ТА ПРОПОЗИЦІЇ</w:t>
      </w:r>
    </w:p>
    <w:p>
      <w:pPr>
        <w:spacing w:line="276" w:lineRule="auto"/>
        <w:jc w:val="both"/>
        <w:rPr>
          <w:color w:val="000000"/>
          <w:sz w:val="28"/>
          <w:szCs w:val="28"/>
        </w:rPr>
      </w:pPr>
      <w:r>
        <w:rPr>
          <w:color w:val="000000"/>
          <w:sz w:val="28"/>
          <w:szCs w:val="28"/>
        </w:rPr>
        <w:t>СПИСОК ВИКОРИСТАНИХ ДЖЕРЕЛ</w:t>
      </w:r>
    </w:p>
    <w:p>
      <w:pPr>
        <w:spacing w:line="276" w:lineRule="auto"/>
        <w:jc w:val="both"/>
        <w:rPr>
          <w:color w:val="000000"/>
          <w:sz w:val="28"/>
          <w:szCs w:val="28"/>
        </w:rPr>
      </w:pPr>
      <w:r>
        <w:rPr>
          <w:color w:val="000000"/>
          <w:sz w:val="28"/>
          <w:szCs w:val="28"/>
        </w:rPr>
        <w:t>ДОДАТКИ</w:t>
      </w:r>
    </w:p>
    <w:bookmarkEnd w:id="0"/>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ind w:left="0" w:leftChars="0" w:firstLine="0" w:firstLineChars="0"/>
        <w:jc w:val="center"/>
        <w:rPr>
          <w:b/>
          <w:bCs/>
          <w:sz w:val="28"/>
          <w:szCs w:val="28"/>
          <w:lang w:val="uk-UA"/>
        </w:rPr>
      </w:pPr>
      <w:r>
        <w:rPr>
          <w:b/>
          <w:bCs/>
          <w:sz w:val="28"/>
          <w:szCs w:val="28"/>
          <w:lang w:val="uk-UA"/>
        </w:rPr>
        <w:t>ВСТУП</w:t>
      </w:r>
    </w:p>
    <w:p>
      <w:pPr>
        <w:spacing w:line="276" w:lineRule="auto"/>
        <w:ind w:left="0" w:leftChars="0" w:firstLine="0" w:firstLineChars="0"/>
        <w:jc w:val="center"/>
        <w:rPr>
          <w:b/>
          <w:bCs/>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en-US" w:eastAsia="zh-CN"/>
        </w:rPr>
        <w:t>З початком пандемії компаніям довелося шукати нові способи організації, щоб підтримувати продуктивність, не експлуатуючи свої людські ресурси.</w:t>
      </w:r>
      <w:r>
        <w:rPr>
          <w:rFonts w:hint="default" w:cs="Times New Roman"/>
          <w:sz w:val="28"/>
          <w:szCs w:val="28"/>
          <w:lang w:val="uk-UA" w:eastAsia="zh-CN"/>
        </w:rPr>
        <w:t xml:space="preserve"> </w:t>
      </w:r>
      <w:r>
        <w:rPr>
          <w:rFonts w:hint="default" w:cs="Times New Roman"/>
          <w:sz w:val="28"/>
          <w:szCs w:val="28"/>
          <w:lang w:val="uk-UA"/>
        </w:rPr>
        <w:t>Б</w:t>
      </w:r>
      <w:r>
        <w:rPr>
          <w:rFonts w:hint="default" w:ascii="Times New Roman" w:hAnsi="Times New Roman" w:eastAsia="Times New Roman" w:cs="Times New Roman"/>
          <w:sz w:val="28"/>
          <w:szCs w:val="28"/>
          <w:lang w:val="en-US" w:eastAsia="zh-CN"/>
        </w:rPr>
        <w:t>ільшість компаній перейняли дистанційні режими роботи</w:t>
      </w:r>
      <w:r>
        <w:rPr>
          <w:rFonts w:hint="default" w:cs="Times New Roman"/>
          <w:sz w:val="28"/>
          <w:szCs w:val="28"/>
          <w:lang w:val="uk-UA" w:eastAsia="zh-CN"/>
        </w:rPr>
        <w:t>, а в</w:t>
      </w:r>
      <w:r>
        <w:rPr>
          <w:rFonts w:hint="default" w:ascii="Times New Roman" w:hAnsi="Times New Roman" w:eastAsia="Times New Roman" w:cs="Times New Roman"/>
          <w:sz w:val="28"/>
          <w:szCs w:val="28"/>
          <w:lang w:val="en-US" w:eastAsia="zh-CN"/>
        </w:rPr>
        <w:t xml:space="preserve">іддалена робота </w:t>
      </w:r>
      <w:r>
        <w:rPr>
          <w:rFonts w:hint="default" w:cs="Times New Roman"/>
          <w:sz w:val="28"/>
          <w:szCs w:val="28"/>
          <w:lang w:val="uk-UA" w:eastAsia="zh-CN"/>
        </w:rPr>
        <w:t xml:space="preserve">відповідно </w:t>
      </w:r>
      <w:r>
        <w:rPr>
          <w:rFonts w:hint="default" w:ascii="Times New Roman" w:hAnsi="Times New Roman" w:eastAsia="Times New Roman" w:cs="Times New Roman"/>
          <w:sz w:val="28"/>
          <w:szCs w:val="28"/>
          <w:lang w:val="en-US" w:eastAsia="zh-CN"/>
        </w:rPr>
        <w:t xml:space="preserve">вплинула на управління людськими ресурсами в цілому, починаючи з практики, пов’язаної з адаптацією нових співробітників. Однак не так багато досліджень розглядають ці процеси та їхній вплив на добробут і </w:t>
      </w:r>
      <w:r>
        <w:rPr>
          <w:rFonts w:hint="default" w:cs="Times New Roman"/>
          <w:sz w:val="28"/>
          <w:szCs w:val="28"/>
          <w:lang w:val="uk-UA" w:eastAsia="zh-CN"/>
        </w:rPr>
        <w:t xml:space="preserve">ефективність навчання нових співробітників </w:t>
      </w:r>
      <w:r>
        <w:rPr>
          <w:rFonts w:hint="default" w:cs="Times New Roman"/>
          <w:sz w:val="28"/>
          <w:szCs w:val="28"/>
          <w:lang w:val="en-US" w:eastAsia="zh-CN"/>
        </w:rPr>
        <w:t>[1]</w:t>
      </w:r>
      <w:r>
        <w:rPr>
          <w:rFonts w:hint="default" w:cs="Times New Roman"/>
          <w:sz w:val="28"/>
          <w:szCs w:val="28"/>
          <w:lang w:val="uk-UA" w:eastAsia="zh-CN"/>
        </w:rPr>
        <w:t>.</w:t>
      </w:r>
    </w:p>
    <w:p>
      <w:pPr>
        <w:spacing w:line="360" w:lineRule="auto"/>
        <w:ind w:left="0" w:leftChars="0" w:firstLine="719" w:firstLineChars="257"/>
        <w:jc w:val="both"/>
        <w:rPr>
          <w:rFonts w:hint="default" w:cs="Times New Roman"/>
          <w:sz w:val="28"/>
          <w:szCs w:val="28"/>
          <w:lang w:val="uk-UA" w:eastAsia="zh-CN"/>
        </w:rPr>
      </w:pPr>
      <w:r>
        <w:rPr>
          <w:rFonts w:hint="default" w:ascii="Times New Roman" w:hAnsi="Times New Roman" w:eastAsia="Times New Roman" w:cs="Times New Roman"/>
          <w:sz w:val="28"/>
          <w:szCs w:val="28"/>
          <w:lang w:val="en-US" w:eastAsia="zh-CN"/>
        </w:rPr>
        <w:t>Онбординг — це важливий процес, який дозволяє як кандидату, так і компанії пізнати один одного, зрозуміти відповідність і очікування. Цей процес стає ще делікатнішим, якщо він відбувається дистанційно</w:t>
      </w:r>
      <w:r>
        <w:rPr>
          <w:rFonts w:hint="default" w:cs="Times New Roman"/>
          <w:sz w:val="28"/>
          <w:szCs w:val="28"/>
          <w:lang w:val="uk-UA" w:eastAsia="zh-CN"/>
        </w:rPr>
        <w:t xml:space="preserve">. </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cs="Times New Roman"/>
          <w:sz w:val="28"/>
          <w:szCs w:val="28"/>
          <w:lang w:val="uk-UA" w:eastAsia="zh-CN"/>
        </w:rPr>
        <w:t xml:space="preserve">Саме тому ця </w:t>
      </w:r>
      <w:r>
        <w:rPr>
          <w:rFonts w:hint="default" w:cs="Times New Roman"/>
          <w:b/>
          <w:bCs/>
          <w:sz w:val="28"/>
          <w:szCs w:val="28"/>
          <w:lang w:val="uk-UA" w:eastAsia="zh-CN"/>
        </w:rPr>
        <w:t>тема актуальна</w:t>
      </w:r>
      <w:r>
        <w:rPr>
          <w:rFonts w:hint="default" w:cs="Times New Roman"/>
          <w:sz w:val="28"/>
          <w:szCs w:val="28"/>
          <w:lang w:val="uk-UA" w:eastAsia="zh-CN"/>
        </w:rPr>
        <w:t xml:space="preserve"> для українських підприємств, система адаптації яких потребує значних змін відповідно до збереження ефективності бізнесу в умовах пандемії та війни. </w:t>
      </w:r>
      <w:r>
        <w:rPr>
          <w:rFonts w:hint="default" w:ascii="Times New Roman" w:hAnsi="Times New Roman" w:eastAsia="Times New Roman" w:cs="Times New Roman"/>
          <w:sz w:val="28"/>
          <w:szCs w:val="28"/>
          <w:lang w:val="en-US" w:eastAsia="zh-CN"/>
        </w:rPr>
        <w:t xml:space="preserve">Чим більше організацій впроваджуватиме ці дії, тим більше </w:t>
      </w:r>
      <w:r>
        <w:rPr>
          <w:rFonts w:hint="default" w:cs="Times New Roman"/>
          <w:sz w:val="28"/>
          <w:szCs w:val="28"/>
          <w:lang w:val="uk-UA" w:eastAsia="zh-CN"/>
        </w:rPr>
        <w:t>буде</w:t>
      </w:r>
      <w:r>
        <w:rPr>
          <w:rFonts w:hint="default" w:ascii="Times New Roman" w:hAnsi="Times New Roman" w:eastAsia="Times New Roman" w:cs="Times New Roman"/>
          <w:sz w:val="28"/>
          <w:szCs w:val="28"/>
          <w:lang w:val="en-US" w:eastAsia="zh-CN"/>
        </w:rPr>
        <w:t xml:space="preserve"> підвищення відданості та задоволеності роботою нових працівників,  що, як наслідок, призведе до зниження плинності кадрів і дозволить їм повністю адаптуватися</w:t>
      </w:r>
      <w:r>
        <w:rPr>
          <w:rFonts w:hint="default" w:cs="Times New Roman"/>
          <w:sz w:val="28"/>
          <w:szCs w:val="28"/>
          <w:lang w:val="uk-UA" w:eastAsia="zh-CN"/>
        </w:rPr>
        <w:t xml:space="preserve"> внести свій вклад в розвиток підприємства</w:t>
      </w:r>
      <w:r>
        <w:rPr>
          <w:rFonts w:hint="default" w:ascii="Times New Roman" w:hAnsi="Times New Roman" w:eastAsia="Times New Roman" w:cs="Times New Roman"/>
          <w:sz w:val="28"/>
          <w:szCs w:val="28"/>
          <w:lang w:val="en-US" w:eastAsia="zh-CN"/>
        </w:rPr>
        <w:t>. Наразі було звернуто увагу на позитивні наслідки дистанційної адаптації як для нових співробітників, так і для компанії. Однак необхідно зрозуміти, чи є також негативні наслідки чи проблеми.</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Метою</w:t>
      </w:r>
      <w:r>
        <w:rPr>
          <w:rFonts w:hint="default" w:ascii="Times New Roman" w:hAnsi="Times New Roman" w:eastAsia="Times New Roman" w:cs="Times New Roman"/>
          <w:sz w:val="28"/>
          <w:szCs w:val="28"/>
          <w:lang w:val="uk-UA"/>
        </w:rPr>
        <w:t xml:space="preserve"> даної кваліфікаційної роботи є створення ефективної системи </w:t>
      </w:r>
      <w:r>
        <w:rPr>
          <w:rFonts w:hint="default" w:cs="Times New Roman"/>
          <w:sz w:val="28"/>
          <w:szCs w:val="28"/>
          <w:lang w:val="uk-UA"/>
        </w:rPr>
        <w:t>онбордингу</w:t>
      </w:r>
      <w:r>
        <w:rPr>
          <w:rFonts w:hint="default" w:ascii="Times New Roman" w:hAnsi="Times New Roman" w:eastAsia="Times New Roman" w:cs="Times New Roman"/>
          <w:sz w:val="28"/>
          <w:szCs w:val="28"/>
          <w:lang w:val="uk-UA"/>
        </w:rPr>
        <w:t xml:space="preserve"> персонал</w:t>
      </w:r>
      <w:r>
        <w:rPr>
          <w:rFonts w:hint="default" w:cs="Times New Roman"/>
          <w:sz w:val="28"/>
          <w:szCs w:val="28"/>
          <w:lang w:val="uk-UA"/>
        </w:rPr>
        <w:t>у</w:t>
      </w:r>
      <w:r>
        <w:rPr>
          <w:rFonts w:hint="default" w:ascii="Times New Roman" w:hAnsi="Times New Roman" w:eastAsia="Times New Roman" w:cs="Times New Roman"/>
          <w:sz w:val="28"/>
          <w:szCs w:val="28"/>
          <w:lang w:val="uk-UA"/>
        </w:rPr>
        <w:t xml:space="preserve"> на підприємстві на прикладі ТОВ “Епіцентр К”.</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xml:space="preserve">Відповідно по заданої мети необхідно виконати наступні </w:t>
      </w:r>
      <w:r>
        <w:rPr>
          <w:rFonts w:hint="default" w:ascii="Times New Roman" w:hAnsi="Times New Roman" w:eastAsia="Times New Roman" w:cs="Times New Roman"/>
          <w:b/>
          <w:bCs/>
          <w:sz w:val="28"/>
          <w:szCs w:val="28"/>
          <w:lang w:val="uk-UA"/>
        </w:rPr>
        <w:t>задачі</w:t>
      </w:r>
      <w:r>
        <w:rPr>
          <w:rFonts w:hint="default" w:ascii="Times New Roman" w:hAnsi="Times New Roman" w:eastAsia="Times New Roman" w:cs="Times New Roman"/>
          <w:sz w:val="28"/>
          <w:szCs w:val="28"/>
          <w:lang w:val="uk-UA"/>
        </w:rPr>
        <w:t>:</w:t>
      </w:r>
    </w:p>
    <w:p>
      <w:pPr>
        <w:spacing w:line="360" w:lineRule="auto"/>
        <w:ind w:left="0" w:leftChars="0" w:firstLine="719" w:firstLineChars="257"/>
        <w:jc w:val="both"/>
        <w:rPr>
          <w:rFonts w:hint="default" w:cs="Times New Roman"/>
          <w:sz w:val="28"/>
          <w:szCs w:val="28"/>
          <w:lang w:val="uk-UA"/>
        </w:rPr>
      </w:pPr>
      <w:r>
        <w:rPr>
          <w:rFonts w:hint="default" w:ascii="Times New Roman" w:hAnsi="Times New Roman" w:eastAsia="Times New Roman" w:cs="Times New Roman"/>
          <w:sz w:val="28"/>
          <w:szCs w:val="28"/>
          <w:lang w:val="uk-UA"/>
        </w:rPr>
        <w:t xml:space="preserve">– провести літературний огляд існуючих </w:t>
      </w:r>
      <w:r>
        <w:rPr>
          <w:rFonts w:hint="default" w:cs="Times New Roman"/>
          <w:sz w:val="28"/>
          <w:szCs w:val="28"/>
          <w:lang w:val="uk-UA"/>
        </w:rPr>
        <w:t>елементів онбордингу та методичних підходів до його формування та впровадження на підприємства;</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провести аналіз застосо</w:t>
      </w:r>
      <w:r>
        <w:rPr>
          <w:rFonts w:hint="default" w:cs="Times New Roman"/>
          <w:sz w:val="28"/>
          <w:szCs w:val="28"/>
          <w:lang w:val="uk-UA"/>
        </w:rPr>
        <w:t>ваної системи онбордингу персоналу</w:t>
      </w:r>
      <w:r>
        <w:rPr>
          <w:rFonts w:hint="default" w:ascii="Times New Roman" w:hAnsi="Times New Roman" w:eastAsia="Times New Roman" w:cs="Times New Roman"/>
          <w:sz w:val="28"/>
          <w:szCs w:val="28"/>
          <w:lang w:val="uk-UA"/>
        </w:rPr>
        <w:t xml:space="preserve"> на підприємстві ТОВ “Епіцентр К”;</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оцінити ефективність</w:t>
      </w:r>
      <w:r>
        <w:rPr>
          <w:rFonts w:hint="default" w:cs="Times New Roman"/>
          <w:sz w:val="28"/>
          <w:szCs w:val="28"/>
          <w:lang w:val="uk-UA"/>
        </w:rPr>
        <w:t xml:space="preserve"> та результативність</w:t>
      </w:r>
      <w:r>
        <w:rPr>
          <w:rFonts w:hint="default" w:ascii="Times New Roman" w:hAnsi="Times New Roman" w:eastAsia="Times New Roman" w:cs="Times New Roman"/>
          <w:sz w:val="28"/>
          <w:szCs w:val="28"/>
          <w:lang w:val="uk-UA"/>
        </w:rPr>
        <w:t xml:space="preserve"> використаних методів та технологій;</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xml:space="preserve">– розробити систему рекомендацій щодо покращення </w:t>
      </w:r>
      <w:r>
        <w:rPr>
          <w:rFonts w:hint="default" w:cs="Times New Roman"/>
          <w:sz w:val="28"/>
          <w:szCs w:val="28"/>
          <w:lang w:val="uk-UA"/>
        </w:rPr>
        <w:t>системи онбордингу підприємства в умовах війни.</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xml:space="preserve">– оцінити ефективність запропонованих заходів. </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Об’єктом дослідження</w:t>
      </w:r>
      <w:r>
        <w:rPr>
          <w:rFonts w:hint="default" w:ascii="Times New Roman" w:hAnsi="Times New Roman" w:eastAsia="Times New Roman" w:cs="Times New Roman"/>
          <w:sz w:val="28"/>
          <w:szCs w:val="28"/>
          <w:lang w:val="uk-UA"/>
        </w:rPr>
        <w:t xml:space="preserve"> є процес створення ефективного механізму </w:t>
      </w:r>
      <w:r>
        <w:rPr>
          <w:rFonts w:hint="default" w:cs="Times New Roman"/>
          <w:sz w:val="28"/>
          <w:szCs w:val="28"/>
          <w:lang w:val="uk-UA"/>
        </w:rPr>
        <w:t>онбордингу персоналу на</w:t>
      </w:r>
      <w:r>
        <w:rPr>
          <w:rFonts w:hint="default" w:ascii="Times New Roman" w:hAnsi="Times New Roman" w:eastAsia="Times New Roman" w:cs="Times New Roman"/>
          <w:sz w:val="28"/>
          <w:szCs w:val="28"/>
          <w:lang w:val="uk-UA"/>
        </w:rPr>
        <w:t xml:space="preserve"> підприємств</w:t>
      </w:r>
      <w:r>
        <w:rPr>
          <w:rFonts w:hint="default" w:cs="Times New Roman"/>
          <w:sz w:val="28"/>
          <w:szCs w:val="28"/>
          <w:lang w:val="uk-UA"/>
        </w:rPr>
        <w:t>і</w:t>
      </w:r>
      <w:r>
        <w:rPr>
          <w:rFonts w:hint="default" w:ascii="Times New Roman" w:hAnsi="Times New Roman" w:eastAsia="Times New Roman" w:cs="Times New Roman"/>
          <w:sz w:val="28"/>
          <w:szCs w:val="28"/>
          <w:lang w:val="uk-UA"/>
        </w:rPr>
        <w:t>.</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Предметом дослідження</w:t>
      </w:r>
      <w:r>
        <w:rPr>
          <w:rFonts w:hint="default" w:ascii="Times New Roman" w:hAnsi="Times New Roman" w:eastAsia="Times New Roman" w:cs="Times New Roman"/>
          <w:sz w:val="28"/>
          <w:szCs w:val="28"/>
          <w:lang w:val="uk-UA"/>
        </w:rPr>
        <w:t xml:space="preserve"> є система </w:t>
      </w:r>
      <w:r>
        <w:rPr>
          <w:rFonts w:hint="default" w:cs="Times New Roman"/>
          <w:sz w:val="28"/>
          <w:szCs w:val="28"/>
          <w:lang w:val="uk-UA"/>
        </w:rPr>
        <w:t>онбордингу персоналу на підприємстві</w:t>
      </w:r>
      <w:r>
        <w:rPr>
          <w:rFonts w:hint="default" w:ascii="Times New Roman" w:hAnsi="Times New Roman" w:eastAsia="Times New Roman" w:cs="Times New Roman"/>
          <w:sz w:val="28"/>
          <w:szCs w:val="28"/>
          <w:lang w:val="uk-UA"/>
        </w:rPr>
        <w:t xml:space="preserve"> ТОВ “Епіцентр К”.</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Методи дослідження.</w:t>
      </w:r>
      <w:r>
        <w:rPr>
          <w:rFonts w:hint="default" w:ascii="Times New Roman" w:hAnsi="Times New Roman" w:eastAsia="Times New Roman" w:cs="Times New Roman"/>
          <w:sz w:val="28"/>
          <w:szCs w:val="28"/>
          <w:lang w:val="uk-UA"/>
        </w:rPr>
        <w:t xml:space="preserve"> В даній роботі використовувалися: літературний аналіз, порівняльний</w:t>
      </w:r>
      <w:r>
        <w:rPr>
          <w:rFonts w:hint="default" w:cs="Times New Roman"/>
          <w:sz w:val="28"/>
          <w:szCs w:val="28"/>
          <w:lang w:val="uk-UA"/>
        </w:rPr>
        <w:t xml:space="preserve"> та кількісний</w:t>
      </w:r>
      <w:r>
        <w:rPr>
          <w:rFonts w:hint="default" w:ascii="Times New Roman" w:hAnsi="Times New Roman" w:eastAsia="Times New Roman" w:cs="Times New Roman"/>
          <w:sz w:val="28"/>
          <w:szCs w:val="28"/>
          <w:lang w:val="uk-UA"/>
        </w:rPr>
        <w:t xml:space="preserve"> аналіз, метод обробки даних та їх узагальнення, логічний аналіз, метод побудови аналітичних таблиць та графіків, метод опитування</w:t>
      </w:r>
      <w:r>
        <w:rPr>
          <w:rFonts w:hint="default" w:cs="Times New Roman"/>
          <w:sz w:val="28"/>
          <w:szCs w:val="28"/>
          <w:lang w:val="uk-UA"/>
        </w:rPr>
        <w:t>, анкетування</w:t>
      </w:r>
      <w:r>
        <w:rPr>
          <w:rFonts w:hint="default" w:ascii="Times New Roman" w:hAnsi="Times New Roman" w:eastAsia="Times New Roman" w:cs="Times New Roman"/>
          <w:sz w:val="28"/>
          <w:szCs w:val="28"/>
          <w:lang w:val="uk-UA"/>
        </w:rPr>
        <w:t>.</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Інформаційна база дослідження.</w:t>
      </w:r>
      <w:r>
        <w:rPr>
          <w:rFonts w:hint="default" w:ascii="Times New Roman" w:hAnsi="Times New Roman" w:eastAsia="Times New Roman" w:cs="Times New Roman"/>
          <w:sz w:val="28"/>
          <w:szCs w:val="28"/>
          <w:lang w:val="uk-UA"/>
        </w:rPr>
        <w:t xml:space="preserve"> Для написання ВКР були використані звітності досліджуваного підприємства за останні 4 роки, праці національних науковців, інформаційні ресурси в вигляді статей та відгуків на інтернет-сайтах.</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Практичне значення дослідження</w:t>
      </w:r>
      <w:r>
        <w:rPr>
          <w:rFonts w:hint="default" w:ascii="Times New Roman" w:hAnsi="Times New Roman" w:eastAsia="Times New Roman" w:cs="Times New Roman"/>
          <w:sz w:val="28"/>
          <w:szCs w:val="28"/>
          <w:lang w:val="uk-UA"/>
        </w:rPr>
        <w:t xml:space="preserve"> полягає в тому, що розроблені заходи покращення </w:t>
      </w:r>
      <w:r>
        <w:rPr>
          <w:rFonts w:hint="default" w:cs="Times New Roman"/>
          <w:sz w:val="28"/>
          <w:szCs w:val="28"/>
          <w:lang w:val="uk-UA"/>
        </w:rPr>
        <w:t>системи онбордингу персоналу</w:t>
      </w:r>
      <w:r>
        <w:rPr>
          <w:rFonts w:hint="default" w:ascii="Times New Roman" w:hAnsi="Times New Roman" w:eastAsia="Times New Roman" w:cs="Times New Roman"/>
          <w:sz w:val="28"/>
          <w:szCs w:val="28"/>
          <w:lang w:val="uk-UA"/>
        </w:rPr>
        <w:t xml:space="preserve"> можуть бути використанні на підприємстві ТОВ “Епіцентр К” задля підвищення ефективності праці. </w:t>
      </w:r>
    </w:p>
    <w:p>
      <w:pPr>
        <w:spacing w:line="360" w:lineRule="auto"/>
        <w:ind w:left="1418" w:hanging="1418"/>
        <w:jc w:val="center"/>
        <w:rPr>
          <w:b/>
          <w:bCs/>
          <w:sz w:val="28"/>
          <w:szCs w:val="28"/>
        </w:rPr>
      </w:pPr>
    </w:p>
    <w:p>
      <w:pPr>
        <w:spacing w:line="360" w:lineRule="auto"/>
        <w:ind w:left="1418" w:hanging="1418"/>
        <w:jc w:val="center"/>
        <w:rPr>
          <w:b/>
          <w:bCs/>
          <w:sz w:val="28"/>
          <w:szCs w:val="28"/>
        </w:rPr>
      </w:pPr>
    </w:p>
    <w:p>
      <w:pPr>
        <w:spacing w:line="360" w:lineRule="auto"/>
        <w:ind w:left="1418" w:hanging="1418"/>
        <w:jc w:val="center"/>
        <w:rPr>
          <w:b/>
          <w:bCs/>
          <w:sz w:val="28"/>
          <w:szCs w:val="28"/>
        </w:rPr>
      </w:pPr>
    </w:p>
    <w:p>
      <w:pPr>
        <w:spacing w:line="360" w:lineRule="auto"/>
        <w:ind w:left="1418" w:hanging="1418"/>
        <w:jc w:val="center"/>
        <w:rPr>
          <w:b/>
          <w:bCs/>
          <w:sz w:val="28"/>
          <w:szCs w:val="28"/>
        </w:rPr>
      </w:pPr>
    </w:p>
    <w:p>
      <w:pPr>
        <w:spacing w:line="360" w:lineRule="auto"/>
        <w:ind w:left="1418" w:hanging="1418"/>
        <w:jc w:val="center"/>
        <w:rPr>
          <w:b/>
          <w:bCs/>
          <w:sz w:val="28"/>
          <w:szCs w:val="28"/>
        </w:rPr>
      </w:pPr>
    </w:p>
    <w:p>
      <w:pPr>
        <w:spacing w:line="360" w:lineRule="auto"/>
        <w:ind w:left="1418" w:hanging="1418"/>
        <w:jc w:val="center"/>
        <w:rPr>
          <w:b/>
          <w:bCs/>
          <w:sz w:val="28"/>
          <w:szCs w:val="28"/>
        </w:rPr>
      </w:pPr>
    </w:p>
    <w:p>
      <w:pPr>
        <w:spacing w:line="360" w:lineRule="auto"/>
        <w:ind w:left="1418" w:hanging="1418"/>
        <w:jc w:val="center"/>
        <w:rPr>
          <w:b/>
          <w:bCs/>
          <w:sz w:val="28"/>
          <w:szCs w:val="28"/>
        </w:rPr>
      </w:pPr>
    </w:p>
    <w:p>
      <w:pPr>
        <w:spacing w:line="360" w:lineRule="auto"/>
        <w:ind w:left="1418" w:hanging="1418"/>
        <w:jc w:val="center"/>
        <w:rPr>
          <w:b/>
          <w:bCs/>
          <w:sz w:val="28"/>
          <w:szCs w:val="28"/>
        </w:rPr>
      </w:pPr>
    </w:p>
    <w:p>
      <w:pPr>
        <w:spacing w:line="360" w:lineRule="auto"/>
        <w:ind w:left="1418" w:hanging="1418"/>
        <w:jc w:val="center"/>
        <w:rPr>
          <w:b/>
          <w:bCs/>
          <w:sz w:val="28"/>
          <w:szCs w:val="28"/>
        </w:rPr>
      </w:pPr>
    </w:p>
    <w:p>
      <w:pPr>
        <w:spacing w:line="360" w:lineRule="auto"/>
        <w:ind w:left="1418" w:hanging="1418"/>
        <w:jc w:val="center"/>
        <w:rPr>
          <w:b/>
          <w:bCs/>
          <w:sz w:val="28"/>
          <w:szCs w:val="28"/>
        </w:rPr>
      </w:pPr>
    </w:p>
    <w:p>
      <w:pPr>
        <w:spacing w:line="360" w:lineRule="auto"/>
        <w:jc w:val="both"/>
        <w:rPr>
          <w:b/>
          <w:bCs/>
          <w:sz w:val="28"/>
          <w:szCs w:val="28"/>
        </w:rPr>
      </w:pPr>
    </w:p>
    <w:p>
      <w:pPr>
        <w:spacing w:line="360" w:lineRule="auto"/>
        <w:ind w:left="1418" w:hanging="1418"/>
        <w:jc w:val="center"/>
        <w:rPr>
          <w:b/>
          <w:bCs/>
          <w:sz w:val="28"/>
          <w:szCs w:val="28"/>
        </w:rPr>
      </w:pPr>
      <w:r>
        <w:rPr>
          <w:b/>
          <w:bCs/>
          <w:sz w:val="28"/>
          <w:szCs w:val="28"/>
        </w:rPr>
        <w:t>РОЗДІЛ 1</w:t>
      </w:r>
    </w:p>
    <w:p>
      <w:pPr>
        <w:spacing w:line="360" w:lineRule="auto"/>
        <w:ind w:left="0" w:leftChars="0" w:firstLine="0" w:firstLineChars="0"/>
        <w:jc w:val="center"/>
        <w:rPr>
          <w:b/>
          <w:bCs/>
          <w:sz w:val="28"/>
          <w:szCs w:val="28"/>
        </w:rPr>
      </w:pPr>
      <w:r>
        <w:rPr>
          <w:b/>
          <w:bCs/>
          <w:sz w:val="28"/>
          <w:szCs w:val="28"/>
        </w:rPr>
        <w:t>ТЕОРЕТИЧНІ ТА МЕТОДИЧНІ ОСНОВИ ЗАСТОСУВАННЯ СИСТЕМИ ОНБОРДИНГУ ПЕРСОНАЛУ НА ПІДПРИЄМСТВІ</w:t>
      </w:r>
    </w:p>
    <w:p>
      <w:pPr>
        <w:spacing w:line="360" w:lineRule="auto"/>
        <w:ind w:left="1418" w:hanging="1418"/>
        <w:jc w:val="both"/>
        <w:rPr>
          <w:sz w:val="28"/>
          <w:szCs w:val="28"/>
        </w:rPr>
      </w:pPr>
    </w:p>
    <w:p>
      <w:pPr>
        <w:numPr>
          <w:ilvl w:val="1"/>
          <w:numId w:val="1"/>
        </w:numPr>
        <w:spacing w:line="360" w:lineRule="auto"/>
        <w:ind w:left="18" w:leftChars="0" w:firstLine="702" w:firstLineChars="0"/>
        <w:jc w:val="both"/>
        <w:rPr>
          <w:b/>
          <w:bCs/>
          <w:sz w:val="28"/>
          <w:szCs w:val="28"/>
        </w:rPr>
      </w:pPr>
      <w:r>
        <w:rPr>
          <w:b/>
          <w:bCs/>
          <w:sz w:val="28"/>
          <w:szCs w:val="28"/>
        </w:rPr>
        <w:t>Поняття та основні елементи системи онбордингу персоналу</w:t>
      </w:r>
    </w:p>
    <w:p>
      <w:pPr>
        <w:numPr>
          <w:ilvl w:val="0"/>
          <w:numId w:val="0"/>
        </w:numPr>
        <w:spacing w:after="0" w:line="360" w:lineRule="auto"/>
        <w:jc w:val="both"/>
        <w:rPr>
          <w:sz w:val="28"/>
          <w:szCs w:val="28"/>
        </w:rPr>
      </w:pP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Онбординг  – це сучасна назва процесу адаптації нових співробітників на новому робочому місці. Він передбачає ознайомлення нових кадрів з системою цінностей організації, її специфікою, необхідними знаннями для посади, умов поведінки та правил, яких повинні дотримуватися співробітники. Цей процес починається вже в той момент, коли майбутній член персоналу компанії або підприємства підписую пропозицію про роботу і, в залежності від кваліфікації, досвіду роботи тощо може тривати від 1 місяця до 1 року</w:t>
      </w:r>
      <w:r>
        <w:rPr>
          <w:rFonts w:hint="default"/>
          <w:sz w:val="28"/>
          <w:szCs w:val="28"/>
          <w:lang w:val="en-US"/>
        </w:rPr>
        <w:t xml:space="preserve"> [1]</w:t>
      </w:r>
      <w:r>
        <w:rPr>
          <w:rFonts w:hint="default"/>
          <w:sz w:val="28"/>
          <w:szCs w:val="28"/>
          <w:lang w:val="uk-UA"/>
        </w:rPr>
        <w:t xml:space="preserve">. </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Онбординг є важливою складовою набору персоналу, схематично процес залучення нових співробітників можна представити за допомогою рисунку 1.1.</w:t>
      </w:r>
    </w:p>
    <w:p>
      <w:pPr>
        <w:numPr>
          <w:ilvl w:val="0"/>
          <w:numId w:val="0"/>
        </w:numPr>
        <w:spacing w:after="0" w:line="360" w:lineRule="auto"/>
        <w:jc w:val="center"/>
      </w:pPr>
      <w:r>
        <w:drawing>
          <wp:inline distT="0" distB="0" distL="114300" distR="114300">
            <wp:extent cx="4958715" cy="3481705"/>
            <wp:effectExtent l="0" t="0" r="9525" b="825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lum bright="-6000" contrast="24000"/>
                    </a:blip>
                    <a:stretch>
                      <a:fillRect/>
                    </a:stretch>
                  </pic:blipFill>
                  <pic:spPr>
                    <a:xfrm>
                      <a:off x="0" y="0"/>
                      <a:ext cx="4958715" cy="3481705"/>
                    </a:xfrm>
                    <a:prstGeom prst="rect">
                      <a:avLst/>
                    </a:prstGeom>
                    <a:noFill/>
                    <a:ln>
                      <a:noFill/>
                    </a:ln>
                  </pic:spPr>
                </pic:pic>
              </a:graphicData>
            </a:graphic>
          </wp:inline>
        </w:drawing>
      </w:r>
      <w:bookmarkStart w:id="2" w:name="_GoBack"/>
      <w:bookmarkEnd w:id="2"/>
    </w:p>
    <w:p>
      <w:pPr>
        <w:numPr>
          <w:ilvl w:val="0"/>
          <w:numId w:val="0"/>
        </w:numPr>
        <w:spacing w:after="0" w:line="360" w:lineRule="auto"/>
        <w:jc w:val="center"/>
        <w:rPr>
          <w:rFonts w:hint="default"/>
          <w:sz w:val="28"/>
          <w:szCs w:val="28"/>
          <w:lang w:val="en-US"/>
        </w:rPr>
      </w:pPr>
      <w:r>
        <w:rPr>
          <w:sz w:val="28"/>
          <w:szCs w:val="28"/>
          <w:lang w:val="uk-UA"/>
        </w:rPr>
        <w:t>Рисунок</w:t>
      </w:r>
      <w:r>
        <w:rPr>
          <w:rFonts w:hint="default"/>
          <w:sz w:val="28"/>
          <w:szCs w:val="28"/>
          <w:lang w:val="uk-UA"/>
        </w:rPr>
        <w:t xml:space="preserve"> 1.1 – Схематичне зображення процесу набору персоналу </w:t>
      </w:r>
      <w:r>
        <w:rPr>
          <w:rFonts w:hint="default"/>
          <w:sz w:val="28"/>
          <w:szCs w:val="28"/>
          <w:lang w:val="en-US"/>
        </w:rPr>
        <w:t>[1]</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Основною метою адаптації є</w:t>
      </w:r>
      <w:r>
        <w:rPr>
          <w:rFonts w:hint="default"/>
          <w:sz w:val="28"/>
          <w:szCs w:val="28"/>
          <w:lang w:val="en-US"/>
        </w:rPr>
        <w:t xml:space="preserve"> [2]</w:t>
      </w:r>
      <w:r>
        <w:rPr>
          <w:rFonts w:hint="default"/>
          <w:sz w:val="28"/>
          <w:szCs w:val="28"/>
          <w:lang w:val="uk-UA"/>
        </w:rPr>
        <w:t>:</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максимальне зменшення стресу, невизначеності та необізнаності нового працівника на робочому місці;</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зниження обсягу початкових витрат на нового працівника, який на початку не може працювати так само ефективно, як основний штат та потребує додаткових витрат на його навчання;</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зниження коефіцієнту плинності кадрів (на підприємствах, де не приділяється достатньо уваги процесу адаптації нового працівника, він може звільнитися вже під час проходження випробувального терміну, збільшивши цим витрати компанії та понизивши показники її ефективності);</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створення позитивного досвіду в нових працівників, що підвищує їх лояльність до компанії та задоволеність роботою;</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економія часу як нових працівників, так і їх керівників.</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Існує 7 форм адаптації: соціальна, виробнича, професійна, психофізіологічна, соціально-психологічна, організаційна та економічна</w:t>
      </w:r>
      <w:r>
        <w:rPr>
          <w:rFonts w:hint="default"/>
          <w:sz w:val="28"/>
          <w:szCs w:val="28"/>
          <w:lang w:val="en-US"/>
        </w:rPr>
        <w:t xml:space="preserve"> [3]</w:t>
      </w:r>
      <w:r>
        <w:rPr>
          <w:rFonts w:hint="default"/>
          <w:sz w:val="28"/>
          <w:szCs w:val="28"/>
          <w:lang w:val="uk-UA"/>
        </w:rPr>
        <w:t>.</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xml:space="preserve">Соціальна адаптація – впровадження працівника в певне соціальне середовище (команду, відділ тощо), що передбачає перейняття та дотримання цінностей та норм колективу/компанії та активну діяльність людини в цьому середовищі задля обопільного задоволення інтересів. </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Виробнича адаптація – включення нового працівника в певне виробниче середовище, засвоєння та активне застосування виробничих норм та умов трудової діяльності, створення та підтримка взаємозв’язків між виробничою сферою та працівником</w:t>
      </w:r>
      <w:r>
        <w:rPr>
          <w:rFonts w:hint="default"/>
          <w:sz w:val="28"/>
          <w:szCs w:val="28"/>
          <w:lang w:val="en-US"/>
        </w:rPr>
        <w:t xml:space="preserve"> [3]</w:t>
      </w:r>
      <w:r>
        <w:rPr>
          <w:rFonts w:hint="default"/>
          <w:sz w:val="28"/>
          <w:szCs w:val="28"/>
          <w:lang w:val="uk-UA"/>
        </w:rPr>
        <w:t>.</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xml:space="preserve">Професійна адаптація – освоєння та вдосконалення тих знань, навичок та професійних якостей, які диктуються компанією. </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xml:space="preserve">Соціально–психологічна адаптація – пристосування співробітник до нового колективу, встановлення доброзичливих та гармонійних відносин. </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Організаційна адаптація – знайомство та усвідомлення організації управління, функціональної ролі власного підрозділу/відділу або посади в загальній системі компанії</w:t>
      </w:r>
      <w:r>
        <w:rPr>
          <w:rFonts w:hint="default"/>
          <w:sz w:val="28"/>
          <w:szCs w:val="28"/>
          <w:lang w:val="en-US"/>
        </w:rPr>
        <w:t xml:space="preserve"> [4]</w:t>
      </w:r>
      <w:r>
        <w:rPr>
          <w:rFonts w:hint="default"/>
          <w:sz w:val="28"/>
          <w:szCs w:val="28"/>
          <w:lang w:val="uk-UA"/>
        </w:rPr>
        <w:t xml:space="preserve">. </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xml:space="preserve">Економічна адаптація – задоволеність заробітною платою та своєчасністю її виплат. </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До основних елементів онбордингу персоналу будь-якого підприємства належать</w:t>
      </w:r>
      <w:r>
        <w:rPr>
          <w:rFonts w:hint="default"/>
          <w:sz w:val="28"/>
          <w:szCs w:val="28"/>
          <w:lang w:val="en-US"/>
        </w:rPr>
        <w:t xml:space="preserve"> [5]</w:t>
      </w:r>
      <w:r>
        <w:rPr>
          <w:rFonts w:hint="default"/>
          <w:sz w:val="28"/>
          <w:szCs w:val="28"/>
          <w:lang w:val="uk-UA"/>
        </w:rPr>
        <w:t>:</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Встановлення стабільного зворотнього зв’язку між керівниками/коучами/менторами та новим співробітником. Це робиться задля контролю та вчасного втручання в процес адаптації зі сторони відповідальних осіб під час виникнення проблем в новачка. А також для того, щоб максимально прискорити процес навчання.</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Теоретичні та практичні тренінги, які проводяться з метою розв’язання різноманітних кейсів та задля розвитку в працівника здібності до швидкого та об’єктивного прийняття рішень в будь-яких ситуаціях, що можуть виникнути на підприємстві.</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Тімбілдинг, який за допомогою корпоративних заходів різного масштабу та напрямку (командні ігри або звичайний пікнік) допомагає в згуртуванні колективу, створює сприятливу атмосферу та вчить роботі в команді.</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Поступове ускладнення завдань, задля поступового та комфортного залучення до діяльності компанії та вивчення власних обов’язків.</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xml:space="preserve">– Корпоративний  </w:t>
      </w:r>
      <w:r>
        <w:rPr>
          <w:rFonts w:hint="default"/>
          <w:sz w:val="28"/>
          <w:szCs w:val="28"/>
          <w:lang w:val="en-US"/>
        </w:rPr>
        <w:t xml:space="preserve">PR </w:t>
      </w:r>
      <w:r>
        <w:rPr>
          <w:rFonts w:hint="default"/>
          <w:sz w:val="28"/>
          <w:szCs w:val="28"/>
          <w:lang w:val="uk-UA"/>
        </w:rPr>
        <w:t xml:space="preserve">допомагає легше пристосуватися до цінностей компанії або підприємства. </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 xml:space="preserve">Загалом, всі ці елементи при комплексному використанні забезпечують швидке та ефективне інтегрування нового працівника в виробничий процес, заручившись його емпатією та лояльністю до компанії, керівництва та колективу. </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Не менш важливим є етап оцінки онбордингової системи, загалом оцінка проводиться вже після інтегрування системи в компанію. Вона базується на опитуваннях нових працівників та розрахунках показників, представлених в таблиці 1.1</w:t>
      </w:r>
      <w:r>
        <w:rPr>
          <w:rFonts w:hint="default"/>
          <w:sz w:val="28"/>
          <w:szCs w:val="28"/>
          <w:lang w:val="en-US"/>
        </w:rPr>
        <w:t xml:space="preserve"> [6]</w:t>
      </w:r>
      <w:r>
        <w:rPr>
          <w:rFonts w:hint="default"/>
          <w:sz w:val="28"/>
          <w:szCs w:val="28"/>
          <w:lang w:val="uk-UA"/>
        </w:rPr>
        <w:t>.</w:t>
      </w:r>
    </w:p>
    <w:p>
      <w:pPr>
        <w:numPr>
          <w:ilvl w:val="0"/>
          <w:numId w:val="0"/>
        </w:numPr>
        <w:spacing w:after="0" w:line="360" w:lineRule="auto"/>
        <w:ind w:left="0" w:leftChars="0" w:firstLine="719" w:firstLineChars="257"/>
        <w:jc w:val="both"/>
        <w:rPr>
          <w:rFonts w:hint="default"/>
          <w:sz w:val="28"/>
          <w:szCs w:val="28"/>
          <w:lang w:val="uk-UA"/>
        </w:rPr>
      </w:pP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Таблиця 1.1 – Показники оцінки результативності онбордингу персоналу</w:t>
      </w:r>
      <w:r>
        <w:rPr>
          <w:rFonts w:hint="default"/>
          <w:sz w:val="28"/>
          <w:szCs w:val="28"/>
          <w:lang w:val="en-US"/>
        </w:rPr>
        <w:t xml:space="preserve"> [6]</w:t>
      </w:r>
      <w:r>
        <w:rPr>
          <w:rFonts w:hint="default"/>
          <w:sz w:val="28"/>
          <w:szCs w:val="28"/>
          <w:lang w:val="uk-UA"/>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7"/>
        <w:gridCol w:w="6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vAlign w:val="center"/>
          </w:tcPr>
          <w:p>
            <w:pPr>
              <w:widowControl w:val="0"/>
              <w:numPr>
                <w:ilvl w:val="0"/>
                <w:numId w:val="0"/>
              </w:numPr>
              <w:spacing w:after="0" w:line="360" w:lineRule="auto"/>
              <w:jc w:val="center"/>
              <w:rPr>
                <w:rFonts w:hint="default"/>
                <w:b/>
                <w:bCs/>
                <w:sz w:val="28"/>
                <w:szCs w:val="28"/>
                <w:vertAlign w:val="baseline"/>
                <w:lang w:val="uk-UA"/>
              </w:rPr>
            </w:pPr>
            <w:r>
              <w:rPr>
                <w:rFonts w:hint="default"/>
                <w:b/>
                <w:bCs/>
                <w:sz w:val="28"/>
                <w:szCs w:val="28"/>
                <w:vertAlign w:val="baseline"/>
                <w:lang w:val="uk-UA"/>
              </w:rPr>
              <w:t>Назва показника</w:t>
            </w:r>
          </w:p>
        </w:tc>
        <w:tc>
          <w:tcPr>
            <w:tcW w:w="6384" w:type="dxa"/>
            <w:vAlign w:val="center"/>
          </w:tcPr>
          <w:p>
            <w:pPr>
              <w:widowControl w:val="0"/>
              <w:numPr>
                <w:ilvl w:val="0"/>
                <w:numId w:val="0"/>
              </w:numPr>
              <w:spacing w:after="0" w:line="360" w:lineRule="auto"/>
              <w:jc w:val="center"/>
              <w:rPr>
                <w:rFonts w:hint="default"/>
                <w:b/>
                <w:bCs/>
                <w:sz w:val="28"/>
                <w:szCs w:val="28"/>
                <w:vertAlign w:val="baseline"/>
                <w:lang w:val="uk-UA"/>
              </w:rPr>
            </w:pPr>
            <w:r>
              <w:rPr>
                <w:rFonts w:hint="default"/>
                <w:b/>
                <w:bCs/>
                <w:sz w:val="28"/>
                <w:szCs w:val="28"/>
                <w:vertAlign w:val="baseline"/>
                <w:lang w:val="uk-UA"/>
              </w:rPr>
              <w:t>Сутність та результативність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vAlign w:val="center"/>
          </w:tcPr>
          <w:p>
            <w:pPr>
              <w:widowControl w:val="0"/>
              <w:numPr>
                <w:ilvl w:val="0"/>
                <w:numId w:val="0"/>
              </w:numPr>
              <w:spacing w:after="0" w:line="360" w:lineRule="auto"/>
              <w:jc w:val="center"/>
              <w:rPr>
                <w:rFonts w:hint="default"/>
                <w:sz w:val="28"/>
                <w:szCs w:val="28"/>
                <w:vertAlign w:val="baseline"/>
                <w:lang w:val="uk-UA"/>
              </w:rPr>
            </w:pPr>
            <w:r>
              <w:rPr>
                <w:rFonts w:hint="default"/>
                <w:sz w:val="28"/>
                <w:szCs w:val="28"/>
                <w:vertAlign w:val="baseline"/>
                <w:lang w:val="uk-UA"/>
              </w:rPr>
              <w:t>Коефіцієнт утримання</w:t>
            </w:r>
          </w:p>
        </w:tc>
        <w:tc>
          <w:tcPr>
            <w:tcW w:w="6384" w:type="dxa"/>
            <w:vAlign w:val="center"/>
          </w:tcPr>
          <w:p>
            <w:pPr>
              <w:widowControl w:val="0"/>
              <w:numPr>
                <w:ilvl w:val="0"/>
                <w:numId w:val="0"/>
              </w:numPr>
              <w:spacing w:after="0" w:line="360" w:lineRule="auto"/>
              <w:jc w:val="both"/>
              <w:rPr>
                <w:rFonts w:hint="default"/>
                <w:sz w:val="28"/>
                <w:szCs w:val="28"/>
                <w:lang w:val="uk-UA"/>
              </w:rPr>
            </w:pPr>
            <w:r>
              <w:rPr>
                <w:rFonts w:hint="default"/>
                <w:sz w:val="28"/>
                <w:szCs w:val="28"/>
                <w:lang w:val="uk-UA"/>
              </w:rPr>
              <w:t>Кількість співробітників, які вирішують залишитися в компанії на певний період. Наприклад, врахування 100 днів, визначених як вирішальні, може стати відправною точкою, щоб зрозуміти, чи ефективний план адаптації. Вираховується як відношення кількості нових працівників, які залишаються в компанії щонайменше на 100 днів до нових працівників за той самий період.</w:t>
            </w:r>
          </w:p>
          <w:p>
            <w:pPr>
              <w:widowControl w:val="0"/>
              <w:numPr>
                <w:ilvl w:val="0"/>
                <w:numId w:val="0"/>
              </w:numPr>
              <w:spacing w:after="0" w:line="360" w:lineRule="auto"/>
              <w:jc w:val="both"/>
              <w:rPr>
                <w:rFonts w:hint="default"/>
                <w:sz w:val="28"/>
                <w:szCs w:val="28"/>
                <w:vertAlign w:val="baseline"/>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vAlign w:val="center"/>
          </w:tcPr>
          <w:p>
            <w:pPr>
              <w:widowControl w:val="0"/>
              <w:numPr>
                <w:ilvl w:val="0"/>
                <w:numId w:val="0"/>
              </w:numPr>
              <w:spacing w:after="0" w:line="360" w:lineRule="auto"/>
              <w:jc w:val="center"/>
              <w:rPr>
                <w:rFonts w:hint="default"/>
                <w:sz w:val="28"/>
                <w:szCs w:val="28"/>
                <w:vertAlign w:val="baseline"/>
                <w:lang w:val="uk-UA"/>
              </w:rPr>
            </w:pPr>
            <w:r>
              <w:rPr>
                <w:rFonts w:hint="default"/>
                <w:sz w:val="28"/>
                <w:szCs w:val="28"/>
                <w:vertAlign w:val="baseline"/>
                <w:lang w:val="uk-UA"/>
              </w:rPr>
              <w:t>Коефіцієнт плинності кадрів</w:t>
            </w:r>
          </w:p>
        </w:tc>
        <w:tc>
          <w:tcPr>
            <w:tcW w:w="6384" w:type="dxa"/>
            <w:vAlign w:val="center"/>
          </w:tcPr>
          <w:p>
            <w:pPr>
              <w:widowControl w:val="0"/>
              <w:numPr>
                <w:ilvl w:val="0"/>
                <w:numId w:val="0"/>
              </w:numPr>
              <w:spacing w:after="0" w:line="360" w:lineRule="auto"/>
              <w:jc w:val="both"/>
              <w:rPr>
                <w:rFonts w:hint="default"/>
                <w:sz w:val="28"/>
                <w:szCs w:val="28"/>
                <w:lang w:val="uk-UA"/>
              </w:rPr>
            </w:pPr>
            <w:r>
              <w:rPr>
                <w:rFonts w:hint="default"/>
                <w:sz w:val="28"/>
                <w:szCs w:val="28"/>
                <w:lang w:val="uk-UA"/>
              </w:rPr>
              <w:t>Вимірювання вимушеної плинності, тобто плинності, яка є результатом добровільного звільнення нових працівників, допоможе виявити недоліки в плані найму та/або адаптації. Виявити, що працівник не отримує належного досвіду в перші дні роботи. Розраховується як відношення нових працівників, які були змушені звільнитися за певний період до нових працівників за той самий період, помножено на 100%.</w:t>
            </w:r>
          </w:p>
          <w:p>
            <w:pPr>
              <w:widowControl w:val="0"/>
              <w:numPr>
                <w:ilvl w:val="0"/>
                <w:numId w:val="0"/>
              </w:numPr>
              <w:spacing w:after="0" w:line="360" w:lineRule="auto"/>
              <w:jc w:val="both"/>
              <w:rPr>
                <w:rFonts w:hint="default"/>
                <w:sz w:val="28"/>
                <w:szCs w:val="28"/>
                <w:lang w:val="uk-UA"/>
              </w:rPr>
            </w:pPr>
            <w:r>
              <w:rPr>
                <w:rFonts w:hint="default"/>
                <w:sz w:val="28"/>
                <w:szCs w:val="28"/>
                <w:lang w:val="uk-UA"/>
              </w:rPr>
              <w:t>Якщо коефіцієнт добровільної плинності буде високим, це буде симптомом того, що компанія не залучає і не відбирає правильних людей. Вчасне виявлення таких результатів має вирішальне значення для правильного спрямування процесів залучення та відбору.</w:t>
            </w:r>
          </w:p>
          <w:p>
            <w:pPr>
              <w:widowControl w:val="0"/>
              <w:numPr>
                <w:ilvl w:val="0"/>
                <w:numId w:val="0"/>
              </w:numPr>
              <w:spacing w:after="0" w:line="360" w:lineRule="auto"/>
              <w:jc w:val="both"/>
              <w:rPr>
                <w:rFonts w:hint="default"/>
                <w:sz w:val="28"/>
                <w:szCs w:val="28"/>
                <w:lang w:val="uk-UA"/>
              </w:rPr>
            </w:pPr>
          </w:p>
          <w:p>
            <w:pPr>
              <w:widowControl w:val="0"/>
              <w:numPr>
                <w:ilvl w:val="0"/>
                <w:numId w:val="0"/>
              </w:numPr>
              <w:spacing w:after="0" w:line="360" w:lineRule="auto"/>
              <w:jc w:val="both"/>
              <w:rPr>
                <w:rFonts w:hint="default"/>
                <w:sz w:val="28"/>
                <w:szCs w:val="28"/>
                <w:vertAlign w:val="baseline"/>
                <w:lang w:val="uk-UA"/>
              </w:rPr>
            </w:pPr>
          </w:p>
        </w:tc>
      </w:tr>
    </w:tbl>
    <w:p>
      <w:pPr>
        <w:ind w:left="0" w:leftChars="0" w:firstLine="719" w:firstLineChars="257"/>
        <w:rPr>
          <w:rFonts w:hint="default"/>
          <w:sz w:val="28"/>
          <w:szCs w:val="28"/>
          <w:lang w:val="uk-UA"/>
        </w:rPr>
      </w:pPr>
      <w:r>
        <w:rPr>
          <w:sz w:val="28"/>
          <w:szCs w:val="28"/>
          <w:lang w:val="uk-UA"/>
        </w:rPr>
        <w:t>Продовження</w:t>
      </w:r>
      <w:r>
        <w:rPr>
          <w:rFonts w:hint="default"/>
          <w:sz w:val="28"/>
          <w:szCs w:val="28"/>
          <w:lang w:val="uk-UA"/>
        </w:rPr>
        <w:t xml:space="preserve"> таблиці 1.1.</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7"/>
        <w:gridCol w:w="6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vAlign w:val="center"/>
          </w:tcPr>
          <w:p>
            <w:pPr>
              <w:widowControl w:val="0"/>
              <w:numPr>
                <w:ilvl w:val="0"/>
                <w:numId w:val="0"/>
              </w:numPr>
              <w:spacing w:after="0" w:line="360" w:lineRule="auto"/>
              <w:jc w:val="center"/>
              <w:rPr>
                <w:rFonts w:hint="default"/>
                <w:sz w:val="28"/>
                <w:szCs w:val="28"/>
                <w:vertAlign w:val="baseline"/>
                <w:lang w:val="uk-UA"/>
              </w:rPr>
            </w:pPr>
            <w:r>
              <w:rPr>
                <w:rFonts w:hint="default"/>
                <w:sz w:val="28"/>
                <w:szCs w:val="28"/>
                <w:vertAlign w:val="baseline"/>
                <w:lang w:val="uk-UA"/>
              </w:rPr>
              <w:t>Рівень задоволеності співробітників</w:t>
            </w:r>
          </w:p>
        </w:tc>
        <w:tc>
          <w:tcPr>
            <w:tcW w:w="6384" w:type="dxa"/>
          </w:tcPr>
          <w:p>
            <w:pPr>
              <w:widowControl w:val="0"/>
              <w:numPr>
                <w:ilvl w:val="0"/>
                <w:numId w:val="0"/>
              </w:numPr>
              <w:spacing w:after="0" w:line="360" w:lineRule="auto"/>
              <w:jc w:val="both"/>
              <w:rPr>
                <w:rFonts w:hint="default"/>
                <w:sz w:val="28"/>
                <w:szCs w:val="28"/>
                <w:lang w:val="uk-UA"/>
              </w:rPr>
            </w:pPr>
            <w:r>
              <w:rPr>
                <w:rFonts w:hint="default"/>
                <w:sz w:val="28"/>
                <w:szCs w:val="28"/>
                <w:lang w:val="uk-UA"/>
              </w:rPr>
              <w:t xml:space="preserve">Щоб дізнатися, наскільки задоволені нові працівники, необхідно провести анкетування, де вони оцінюють процес онбордингу за шкалою від 1 до 10, наскільки ймовірно, що вони порекомендують компанію колезі або другу, виходячи з їхнього досвіду під час адаптації. </w:t>
            </w:r>
          </w:p>
          <w:p>
            <w:pPr>
              <w:widowControl w:val="0"/>
              <w:numPr>
                <w:ilvl w:val="0"/>
                <w:numId w:val="0"/>
              </w:numPr>
              <w:spacing w:after="0" w:line="360" w:lineRule="auto"/>
              <w:jc w:val="both"/>
              <w:rPr>
                <w:rFonts w:hint="default"/>
                <w:sz w:val="28"/>
                <w:szCs w:val="28"/>
                <w:vertAlign w:val="baseline"/>
                <w:lang w:val="uk-UA"/>
              </w:rPr>
            </w:pPr>
            <w:r>
              <w:rPr>
                <w:rFonts w:hint="default"/>
                <w:sz w:val="28"/>
                <w:szCs w:val="28"/>
                <w:lang w:val="uk-UA"/>
              </w:rPr>
              <w:t xml:space="preserve">Ті, хто набрав 9 або 10 балів, вважаються промоутерами. Ті, хто набрав від 1 до 6 – недоброзичливцями. Решта в проміжних значеннях - пасивні.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vAlign w:val="center"/>
          </w:tcPr>
          <w:p>
            <w:pPr>
              <w:widowControl w:val="0"/>
              <w:numPr>
                <w:ilvl w:val="0"/>
                <w:numId w:val="0"/>
              </w:numPr>
              <w:spacing w:after="0" w:line="360" w:lineRule="auto"/>
              <w:jc w:val="center"/>
              <w:rPr>
                <w:rFonts w:hint="default"/>
                <w:sz w:val="28"/>
                <w:szCs w:val="28"/>
                <w:vertAlign w:val="baseline"/>
                <w:lang w:val="uk-UA"/>
              </w:rPr>
            </w:pPr>
            <w:r>
              <w:rPr>
                <w:rFonts w:hint="default"/>
                <w:sz w:val="28"/>
                <w:szCs w:val="28"/>
                <w:vertAlign w:val="baseline"/>
                <w:lang w:val="uk-UA"/>
              </w:rPr>
              <w:t>Рівень абсентеїзму</w:t>
            </w:r>
          </w:p>
        </w:tc>
        <w:tc>
          <w:tcPr>
            <w:tcW w:w="6384" w:type="dxa"/>
          </w:tcPr>
          <w:p>
            <w:pPr>
              <w:widowControl w:val="0"/>
              <w:numPr>
                <w:ilvl w:val="0"/>
                <w:numId w:val="0"/>
              </w:numPr>
              <w:spacing w:after="0" w:line="360" w:lineRule="auto"/>
              <w:jc w:val="both"/>
              <w:rPr>
                <w:rFonts w:hint="default"/>
                <w:sz w:val="28"/>
                <w:szCs w:val="28"/>
                <w:lang w:val="uk-UA"/>
              </w:rPr>
            </w:pPr>
            <w:r>
              <w:rPr>
                <w:rFonts w:hint="default"/>
                <w:sz w:val="28"/>
                <w:szCs w:val="28"/>
                <w:lang w:val="uk-UA"/>
              </w:rPr>
              <w:t xml:space="preserve">Знання рівня абсентеїзму серед нових співробітників допоможе виявити рівень їх залученості. Однак, як відомо, рівня залученості як такого не існує, оскільки цей показник складається з кількох метрик, серед яких і рівень прогулів. </w:t>
            </w:r>
          </w:p>
          <w:p>
            <w:pPr>
              <w:widowControl w:val="0"/>
              <w:numPr>
                <w:ilvl w:val="0"/>
                <w:numId w:val="0"/>
              </w:numPr>
              <w:spacing w:after="0" w:line="360" w:lineRule="auto"/>
              <w:jc w:val="both"/>
              <w:rPr>
                <w:rFonts w:hint="default"/>
                <w:sz w:val="28"/>
                <w:szCs w:val="28"/>
                <w:lang w:val="uk-UA"/>
              </w:rPr>
            </w:pPr>
            <w:r>
              <w:rPr>
                <w:rFonts w:hint="default"/>
                <w:sz w:val="28"/>
                <w:szCs w:val="28"/>
                <w:lang w:val="uk-UA"/>
              </w:rPr>
              <w:t>Тому важливо аналізувати рівень абсентеїзму за певний проміжок часу, наприклад, за 90 днів. Показник розраховується за відношенням кількості днів, “втрачених” новими працівниками за певний період до кількості днів, відпрацьованих новими працівниками за той самий період і помножене на 100%.</w:t>
            </w:r>
          </w:p>
          <w:p>
            <w:pPr>
              <w:widowControl w:val="0"/>
              <w:numPr>
                <w:ilvl w:val="0"/>
                <w:numId w:val="0"/>
              </w:numPr>
              <w:spacing w:after="0" w:line="360" w:lineRule="auto"/>
              <w:jc w:val="both"/>
              <w:rPr>
                <w:rFonts w:hint="default"/>
                <w:sz w:val="28"/>
                <w:szCs w:val="28"/>
                <w:vertAlign w:val="baseline"/>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7" w:type="dxa"/>
            <w:vAlign w:val="center"/>
          </w:tcPr>
          <w:p>
            <w:pPr>
              <w:widowControl w:val="0"/>
              <w:numPr>
                <w:ilvl w:val="0"/>
                <w:numId w:val="0"/>
              </w:numPr>
              <w:spacing w:after="0" w:line="360" w:lineRule="auto"/>
              <w:jc w:val="center"/>
              <w:rPr>
                <w:rFonts w:hint="default"/>
                <w:sz w:val="28"/>
                <w:szCs w:val="28"/>
                <w:lang w:val="uk-UA"/>
              </w:rPr>
            </w:pPr>
            <w:r>
              <w:rPr>
                <w:rFonts w:hint="default"/>
                <w:sz w:val="28"/>
                <w:szCs w:val="28"/>
                <w:lang w:val="uk-UA"/>
              </w:rPr>
              <w:t>Успішність у виконанні плану навчання</w:t>
            </w:r>
          </w:p>
          <w:p>
            <w:pPr>
              <w:widowControl w:val="0"/>
              <w:numPr>
                <w:ilvl w:val="0"/>
                <w:numId w:val="0"/>
              </w:numPr>
              <w:spacing w:after="0" w:line="360" w:lineRule="auto"/>
              <w:jc w:val="center"/>
              <w:rPr>
                <w:rFonts w:hint="default"/>
                <w:sz w:val="28"/>
                <w:szCs w:val="28"/>
                <w:vertAlign w:val="baseline"/>
                <w:lang w:val="uk-UA"/>
              </w:rPr>
            </w:pPr>
          </w:p>
        </w:tc>
        <w:tc>
          <w:tcPr>
            <w:tcW w:w="6384" w:type="dxa"/>
          </w:tcPr>
          <w:p>
            <w:pPr>
              <w:widowControl w:val="0"/>
              <w:numPr>
                <w:ilvl w:val="0"/>
                <w:numId w:val="0"/>
              </w:numPr>
              <w:spacing w:after="0" w:line="360" w:lineRule="auto"/>
              <w:jc w:val="both"/>
              <w:rPr>
                <w:rFonts w:hint="default"/>
                <w:sz w:val="28"/>
                <w:szCs w:val="28"/>
                <w:lang w:val="uk-UA"/>
              </w:rPr>
            </w:pPr>
            <w:r>
              <w:rPr>
                <w:rFonts w:hint="default"/>
                <w:sz w:val="28"/>
                <w:szCs w:val="28"/>
                <w:lang w:val="uk-UA"/>
              </w:rPr>
              <w:t>Розраховується як кількість нових працівників, які пройшли навчання за певний період до загальної кількості нових працівників за той самий період.</w:t>
            </w:r>
          </w:p>
          <w:p>
            <w:pPr>
              <w:widowControl w:val="0"/>
              <w:numPr>
                <w:ilvl w:val="0"/>
                <w:numId w:val="0"/>
              </w:numPr>
              <w:spacing w:after="0" w:line="360" w:lineRule="auto"/>
              <w:jc w:val="both"/>
              <w:rPr>
                <w:rFonts w:hint="default"/>
                <w:sz w:val="28"/>
                <w:szCs w:val="28"/>
                <w:vertAlign w:val="baseline"/>
                <w:lang w:val="uk-UA"/>
              </w:rPr>
            </w:pPr>
          </w:p>
        </w:tc>
      </w:tr>
    </w:tbl>
    <w:p>
      <w:pPr>
        <w:numPr>
          <w:ilvl w:val="0"/>
          <w:numId w:val="0"/>
        </w:numPr>
        <w:spacing w:after="0" w:line="360" w:lineRule="auto"/>
        <w:jc w:val="both"/>
        <w:rPr>
          <w:rFonts w:hint="default"/>
          <w:sz w:val="28"/>
          <w:szCs w:val="28"/>
          <w:lang w:val="uk-UA"/>
        </w:rPr>
      </w:pPr>
    </w:p>
    <w:p>
      <w:pPr>
        <w:numPr>
          <w:ilvl w:val="1"/>
          <w:numId w:val="1"/>
        </w:numPr>
        <w:spacing w:line="360" w:lineRule="auto"/>
        <w:ind w:left="18" w:leftChars="0" w:firstLine="702" w:firstLineChars="0"/>
        <w:jc w:val="both"/>
        <w:rPr>
          <w:b/>
          <w:bCs/>
          <w:sz w:val="28"/>
          <w:szCs w:val="28"/>
        </w:rPr>
      </w:pPr>
      <w:r>
        <w:rPr>
          <w:b/>
          <w:bCs/>
          <w:sz w:val="28"/>
          <w:szCs w:val="28"/>
        </w:rPr>
        <w:t>Методичні підходи до формування та впровадження системи онбордингу персоналу на підприємстві</w:t>
      </w:r>
    </w:p>
    <w:p>
      <w:pPr>
        <w:numPr>
          <w:ilvl w:val="0"/>
          <w:numId w:val="0"/>
        </w:numPr>
        <w:spacing w:line="360" w:lineRule="auto"/>
        <w:ind w:left="720" w:leftChars="0"/>
        <w:jc w:val="both"/>
        <w:rPr>
          <w:sz w:val="28"/>
          <w:szCs w:val="28"/>
        </w:rPr>
      </w:pP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ru-RU"/>
        </w:rPr>
        <w:t>Для того, щоб сформувати ефективну та над</w:t>
      </w:r>
      <w:r>
        <w:rPr>
          <w:rFonts w:hint="default"/>
          <w:sz w:val="28"/>
          <w:szCs w:val="28"/>
          <w:lang w:val="uk-UA"/>
        </w:rPr>
        <w:t>ійну систему онбордингу необхідно визначити наступні основні складові</w:t>
      </w:r>
      <w:r>
        <w:rPr>
          <w:rFonts w:hint="default"/>
          <w:sz w:val="28"/>
          <w:szCs w:val="28"/>
          <w:lang w:val="en-US"/>
        </w:rPr>
        <w:t xml:space="preserve"> [7]</w:t>
      </w:r>
      <w:r>
        <w:rPr>
          <w:rFonts w:hint="default"/>
          <w:sz w:val="28"/>
          <w:szCs w:val="28"/>
          <w:lang w:val="uk-UA"/>
        </w:rPr>
        <w:t>:</w:t>
      </w: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uk-UA"/>
        </w:rPr>
        <w:t>– скласти список ролей, тобто визначити об’єктів системи, які виконують певні дії для досягнення поставлених цілей;</w:t>
      </w: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uk-UA"/>
        </w:rPr>
        <w:t>– визначити цілі для кожної ролі;</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скласти декілька списків зі сценаріями для досягнення мети.</w:t>
      </w: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ru-RU"/>
        </w:rPr>
        <w:t xml:space="preserve"> Розподіл</w:t>
      </w:r>
      <w:r>
        <w:rPr>
          <w:rFonts w:hint="default"/>
          <w:sz w:val="28"/>
          <w:szCs w:val="28"/>
          <w:lang w:val="uk-UA"/>
        </w:rPr>
        <w:t>ення</w:t>
      </w:r>
      <w:r>
        <w:rPr>
          <w:rFonts w:hint="default"/>
          <w:sz w:val="28"/>
          <w:szCs w:val="28"/>
          <w:lang w:val="ru-RU"/>
        </w:rPr>
        <w:t xml:space="preserve"> рол</w:t>
      </w:r>
      <w:r>
        <w:rPr>
          <w:rFonts w:hint="default"/>
          <w:sz w:val="28"/>
          <w:szCs w:val="28"/>
          <w:lang w:val="uk-UA"/>
        </w:rPr>
        <w:t xml:space="preserve">ей </w:t>
      </w:r>
      <w:r>
        <w:rPr>
          <w:rFonts w:hint="default"/>
          <w:sz w:val="28"/>
          <w:szCs w:val="28"/>
          <w:lang w:val="ru-RU"/>
        </w:rPr>
        <w:t>в системі адаптації, визнач</w:t>
      </w:r>
      <w:r>
        <w:rPr>
          <w:rFonts w:hint="default"/>
          <w:sz w:val="28"/>
          <w:szCs w:val="28"/>
          <w:lang w:val="uk-UA"/>
        </w:rPr>
        <w:t>ення</w:t>
      </w:r>
      <w:r>
        <w:rPr>
          <w:rFonts w:hint="default"/>
          <w:sz w:val="28"/>
          <w:szCs w:val="28"/>
          <w:lang w:val="ru-RU"/>
        </w:rPr>
        <w:t xml:space="preserve"> ціл</w:t>
      </w:r>
      <w:r>
        <w:rPr>
          <w:rFonts w:hint="default"/>
          <w:sz w:val="28"/>
          <w:szCs w:val="28"/>
          <w:lang w:val="uk-UA"/>
        </w:rPr>
        <w:t>ей</w:t>
      </w:r>
      <w:r>
        <w:rPr>
          <w:rFonts w:hint="default"/>
          <w:sz w:val="28"/>
          <w:szCs w:val="28"/>
          <w:lang w:val="ru-RU"/>
        </w:rPr>
        <w:t xml:space="preserve"> </w:t>
      </w:r>
      <w:r>
        <w:rPr>
          <w:rFonts w:hint="default"/>
          <w:sz w:val="28"/>
          <w:szCs w:val="28"/>
          <w:lang w:val="uk-UA"/>
        </w:rPr>
        <w:t>об’єктів</w:t>
      </w:r>
      <w:r>
        <w:rPr>
          <w:rFonts w:hint="default"/>
          <w:sz w:val="28"/>
          <w:szCs w:val="28"/>
          <w:lang w:val="ru-RU"/>
        </w:rPr>
        <w:t xml:space="preserve"> </w:t>
      </w:r>
      <w:r>
        <w:rPr>
          <w:rFonts w:hint="default"/>
          <w:sz w:val="28"/>
          <w:szCs w:val="28"/>
          <w:lang w:val="uk-UA"/>
        </w:rPr>
        <w:t>та</w:t>
      </w:r>
      <w:r>
        <w:rPr>
          <w:rFonts w:hint="default"/>
          <w:sz w:val="28"/>
          <w:szCs w:val="28"/>
          <w:lang w:val="ru-RU"/>
        </w:rPr>
        <w:t xml:space="preserve"> їхні сценарії</w:t>
      </w:r>
      <w:r>
        <w:rPr>
          <w:rFonts w:hint="default"/>
          <w:sz w:val="28"/>
          <w:szCs w:val="28"/>
          <w:lang w:val="uk-UA"/>
        </w:rPr>
        <w:t xml:space="preserve"> може бути різноманітним. </w:t>
      </w:r>
      <w:r>
        <w:rPr>
          <w:rFonts w:hint="default"/>
          <w:sz w:val="28"/>
          <w:szCs w:val="28"/>
          <w:lang w:val="ru-RU"/>
        </w:rPr>
        <w:t xml:space="preserve">Залежно від масштабів бізнесу та якості організації процесу, одна людина в компанії може одночасно відігравати кілька ролей. Також одна людина може грати різні ролі стосовно різних інструментів, технологій, компетенцій. </w:t>
      </w:r>
      <w:r>
        <w:rPr>
          <w:rFonts w:hint="default"/>
          <w:sz w:val="28"/>
          <w:szCs w:val="28"/>
          <w:lang w:val="uk-UA"/>
        </w:rPr>
        <w:t xml:space="preserve">Наприклад: </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Роль: </w:t>
      </w:r>
      <w:r>
        <w:rPr>
          <w:rFonts w:hint="default"/>
          <w:sz w:val="28"/>
          <w:szCs w:val="28"/>
          <w:lang w:val="ru-RU"/>
        </w:rPr>
        <w:t>Адаптований співробітник (у разі оцінювання компетенцій до виходу на роботу - кандидат) - людина, яку будуть адаптувати і навчати.</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ru-RU"/>
        </w:rPr>
        <w:t>Основна мета: пройти базову адаптацію якомога ефективніше: отримати реальні навички за технологіями і можливість подальшого вертикального і горизонтального зростання в компанії (разом зі зростанням професіоналізму).</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ru-RU"/>
        </w:rPr>
        <w:t>Сценарії:</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Зрозуміти/вивчити використовувані правила/технології, щоб мінімізувати кількість помилок, непорозумінь, зайвої і нікому не потрібної роботи</w:t>
      </w:r>
      <w:r>
        <w:rPr>
          <w:rFonts w:hint="default"/>
          <w:sz w:val="28"/>
          <w:szCs w:val="28"/>
          <w:lang w:val="en-US"/>
        </w:rPr>
        <w:t xml:space="preserve"> [8]</w:t>
      </w:r>
      <w:r>
        <w:rPr>
          <w:rFonts w:hint="default"/>
          <w:sz w:val="28"/>
          <w:szCs w:val="28"/>
          <w:lang w:val="ru-RU"/>
        </w:rPr>
        <w:t>.</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Подивитися програму навчання для конкретного етапу конкретної технології.</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Оцінити, скільки ще необхідно вивчити, щоб з'явилася можливість зростання. Можна прогнозувати і планувати свій розвиток</w:t>
      </w:r>
      <w:r>
        <w:rPr>
          <w:rFonts w:hint="default"/>
          <w:sz w:val="28"/>
          <w:szCs w:val="28"/>
          <w:lang w:val="en-US"/>
        </w:rPr>
        <w:t xml:space="preserve"> [9]</w:t>
      </w:r>
      <w:r>
        <w:rPr>
          <w:rFonts w:hint="default"/>
          <w:sz w:val="28"/>
          <w:szCs w:val="28"/>
          <w:lang w:val="ru-RU"/>
        </w:rPr>
        <w:t>.</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Застосовувати на практиці отримані знання ефективно (отримувати позитивний зворотний зв'язок) і з мінімальною кількістю запитань керівнику та колегам.</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За необхідності повернутися до навчальних матеріалів, щоб згадати самостійно нюанси</w:t>
      </w:r>
      <w:r>
        <w:rPr>
          <w:rFonts w:hint="default"/>
          <w:sz w:val="28"/>
          <w:szCs w:val="28"/>
          <w:lang w:val="en-US"/>
        </w:rPr>
        <w:t xml:space="preserve"> [10]</w:t>
      </w:r>
      <w:r>
        <w:rPr>
          <w:rFonts w:hint="default"/>
          <w:sz w:val="28"/>
          <w:szCs w:val="28"/>
          <w:lang w:val="ru-RU"/>
        </w:rPr>
        <w:t>.</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Отримати зворотний зв'язок про якість роботи, виконуваної після навчання, її відповідність очікуванням керівників, а також поради та підтримку під час застосування знань на практиці вперше</w:t>
      </w:r>
      <w:r>
        <w:rPr>
          <w:rFonts w:hint="default"/>
          <w:sz w:val="28"/>
          <w:szCs w:val="28"/>
          <w:lang w:val="en-US"/>
        </w:rPr>
        <w:t xml:space="preserve"> [11]</w:t>
      </w:r>
      <w:r>
        <w:rPr>
          <w:rFonts w:hint="default"/>
          <w:sz w:val="28"/>
          <w:szCs w:val="28"/>
          <w:lang w:val="ru-RU"/>
        </w:rPr>
        <w:t>.</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Роль: </w:t>
      </w:r>
      <w:r>
        <w:rPr>
          <w:rFonts w:hint="default"/>
          <w:sz w:val="28"/>
          <w:szCs w:val="28"/>
          <w:lang w:val="ru-RU"/>
        </w:rPr>
        <w:t>Співробітник, який навчає навчатиме адаптованого співробітника конкретних технологій. На одного співробітника, що адаптується, може бути кілька співробітників-навчальників (різні технології можуть бути закріплені за різними експертами).</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ru-RU"/>
        </w:rPr>
        <w:t>Основна мета: провести навчання так, щоб виконувалися цілі компанії, керівника та адаптованого співробітника + витрачався мінімальний час на підтримку під час виконання адаптованим реальних робочих завдань.</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ru-RU"/>
        </w:rPr>
        <w:t>Сценарії:</w:t>
      </w:r>
    </w:p>
    <w:p>
      <w:pPr>
        <w:numPr>
          <w:ilvl w:val="0"/>
          <w:numId w:val="0"/>
        </w:numPr>
        <w:spacing w:line="360" w:lineRule="auto"/>
        <w:ind w:left="278" w:leftChars="116" w:firstLine="576" w:firstLineChars="206"/>
        <w:jc w:val="both"/>
        <w:rPr>
          <w:rFonts w:hint="default"/>
          <w:sz w:val="28"/>
          <w:szCs w:val="28"/>
          <w:lang w:val="ru-RU"/>
        </w:rPr>
      </w:pPr>
      <w:r>
        <w:rPr>
          <w:rFonts w:hint="default"/>
          <w:sz w:val="28"/>
          <w:szCs w:val="28"/>
          <w:lang w:val="uk-UA"/>
        </w:rPr>
        <w:t xml:space="preserve">– </w:t>
      </w:r>
      <w:r>
        <w:rPr>
          <w:rFonts w:hint="default"/>
          <w:sz w:val="28"/>
          <w:szCs w:val="28"/>
          <w:lang w:val="ru-RU"/>
        </w:rPr>
        <w:t>Провести навчання (чи потрібна навчальна програма, чи підійде експромт?)</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Оцінити рівень адаптованого після отримання знань.</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Внести коригування в систему навчання за підсумками зворотного зв'язку від адаптованого.</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Роль:</w:t>
      </w:r>
      <w:r>
        <w:rPr>
          <w:rFonts w:hint="default"/>
          <w:sz w:val="28"/>
          <w:szCs w:val="28"/>
          <w:lang w:val="ru-RU"/>
        </w:rPr>
        <w:t xml:space="preserve"> Власник процесу адаптації</w:t>
      </w:r>
      <w:r>
        <w:rPr>
          <w:rFonts w:hint="default"/>
          <w:sz w:val="28"/>
          <w:szCs w:val="28"/>
          <w:lang w:val="uk-UA"/>
        </w:rPr>
        <w:t>, який в</w:t>
      </w:r>
      <w:r>
        <w:rPr>
          <w:rFonts w:hint="default"/>
          <w:sz w:val="28"/>
          <w:szCs w:val="28"/>
          <w:lang w:val="ru-RU"/>
        </w:rPr>
        <w:t>ідповідальний за розвиток бізнес-процесу "Адаптація" в рамках блоку HR-процеси / функції. Тобто за пошук вузьких місць, перекосів, можливостей зростання ефективності тощо.</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ru-RU"/>
        </w:rPr>
        <w:t xml:space="preserve">Основна мета: організувати роботу з </w:t>
      </w:r>
      <w:r>
        <w:rPr>
          <w:rFonts w:hint="default"/>
          <w:sz w:val="28"/>
          <w:szCs w:val="28"/>
          <w:lang w:val="uk-UA"/>
        </w:rPr>
        <w:t xml:space="preserve">тестуванням </w:t>
      </w:r>
      <w:r>
        <w:rPr>
          <w:rFonts w:hint="default"/>
          <w:sz w:val="28"/>
          <w:szCs w:val="28"/>
          <w:lang w:val="ru-RU"/>
        </w:rPr>
        <w:t>процесу адаптації, розвивати бізнес-процес</w:t>
      </w:r>
      <w:r>
        <w:rPr>
          <w:rFonts w:hint="default"/>
          <w:sz w:val="28"/>
          <w:szCs w:val="28"/>
          <w:lang w:val="en-US"/>
        </w:rPr>
        <w:t xml:space="preserve"> [12]</w:t>
      </w:r>
      <w:r>
        <w:rPr>
          <w:rFonts w:hint="default"/>
          <w:sz w:val="28"/>
          <w:szCs w:val="28"/>
          <w:lang w:val="ru-RU"/>
        </w:rPr>
        <w:t>.</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ru-RU"/>
        </w:rPr>
        <w:t>Сценарії:</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Поповнювати і покращувати програму навчання за підсумками</w:t>
      </w:r>
      <w:r>
        <w:rPr>
          <w:rFonts w:hint="default"/>
          <w:sz w:val="28"/>
          <w:szCs w:val="28"/>
          <w:lang w:val="uk-UA"/>
        </w:rPr>
        <w:t xml:space="preserve"> </w:t>
      </w:r>
      <w:r>
        <w:rPr>
          <w:rFonts w:hint="default"/>
          <w:sz w:val="28"/>
          <w:szCs w:val="28"/>
          <w:lang w:val="ru-RU"/>
        </w:rPr>
        <w:t>проведених семінарів.</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Покращувати технологію бізнес-процесу "Адаптація" і впроваджувати поліпшення на практиці.</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Отримувати зворотний зв'язок від усіх учасників процесу.</w:t>
      </w:r>
    </w:p>
    <w:p>
      <w:pPr>
        <w:numPr>
          <w:ilvl w:val="0"/>
          <w:numId w:val="0"/>
        </w:num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Формувати різні програми навчання (розвиток керівників, адаптація фахівців тощо).</w:t>
      </w:r>
    </w:p>
    <w:p>
      <w:pPr>
        <w:numPr>
          <w:ilvl w:val="0"/>
          <w:numId w:val="0"/>
        </w:numPr>
        <w:spacing w:after="0" w:line="360" w:lineRule="auto"/>
        <w:ind w:left="0" w:leftChars="0" w:firstLine="719" w:firstLineChars="257"/>
        <w:jc w:val="both"/>
        <w:rPr>
          <w:rFonts w:hint="default"/>
          <w:sz w:val="28"/>
          <w:szCs w:val="28"/>
          <w:lang w:val="uk-UA"/>
        </w:rPr>
      </w:pPr>
      <w:r>
        <w:rPr>
          <w:rFonts w:hint="default"/>
          <w:sz w:val="28"/>
          <w:szCs w:val="28"/>
          <w:lang w:val="uk-UA"/>
        </w:rPr>
        <w:t>Спираючись на подібну систему можна вже на процесі розробки та тестування створити достатньо ефективну систему адаптації персоналу, яку потім залишиться тільки час від часу покращувати, зважаючи на зміни в світі, економіці, технологіях та тенденції. Але завжди треба зважати на те, що будь-які нововведення, навіть найбільш перспективні можуть зіткнутися з ворожістю та недовірою персоналу. Саме тому для ефективного впровадження системи онбордингу необхідно дотримуватись наступних рекомендацій:</w:t>
      </w:r>
    </w:p>
    <w:p>
      <w:pPr>
        <w:numPr>
          <w:ilvl w:val="0"/>
          <w:numId w:val="0"/>
        </w:numPr>
        <w:spacing w:after="0" w:line="360" w:lineRule="auto"/>
        <w:ind w:left="0" w:leftChars="0" w:firstLine="719" w:firstLineChars="257"/>
        <w:jc w:val="both"/>
        <w:rPr>
          <w:rFonts w:hint="default" w:ascii="Times New Roman" w:hAnsi="Times New Roman" w:eastAsia="Times New Roman" w:cs="Times New Roman"/>
          <w:kern w:val="0"/>
          <w:sz w:val="28"/>
          <w:szCs w:val="28"/>
          <w:lang w:val="uk-UA" w:eastAsia="ru-RU" w:bidi="ar-SA"/>
        </w:rPr>
      </w:pPr>
      <w:r>
        <w:rPr>
          <w:rFonts w:hint="default" w:cs="Times New Roman"/>
          <w:kern w:val="0"/>
          <w:sz w:val="28"/>
          <w:szCs w:val="28"/>
          <w:lang w:val="uk-UA" w:eastAsia="ru-RU" w:bidi="ar-SA"/>
        </w:rPr>
        <w:t>– П</w:t>
      </w:r>
      <w:r>
        <w:rPr>
          <w:rFonts w:hint="default" w:ascii="Times New Roman" w:hAnsi="Times New Roman" w:eastAsia="Times New Roman" w:cs="Times New Roman"/>
          <w:kern w:val="0"/>
          <w:sz w:val="28"/>
          <w:szCs w:val="28"/>
          <w:lang w:val="uk-UA" w:eastAsia="ru-RU" w:bidi="ar-SA"/>
        </w:rPr>
        <w:t>ояснити необхідність і переваги цієї інтеграції. Прогалини в</w:t>
      </w:r>
      <w:r>
        <w:rPr>
          <w:rFonts w:hint="default" w:cs="Times New Roman"/>
          <w:kern w:val="0"/>
          <w:sz w:val="28"/>
          <w:szCs w:val="28"/>
          <w:lang w:val="uk-UA" w:eastAsia="ru-RU" w:bidi="ar-SA"/>
        </w:rPr>
        <w:t xml:space="preserve"> </w:t>
      </w:r>
      <w:r>
        <w:rPr>
          <w:rFonts w:hint="default" w:ascii="Times New Roman" w:hAnsi="Times New Roman" w:eastAsia="Times New Roman" w:cs="Times New Roman"/>
          <w:kern w:val="0"/>
          <w:sz w:val="28"/>
          <w:szCs w:val="28"/>
          <w:lang w:val="uk-UA" w:eastAsia="ru-RU" w:bidi="ar-SA"/>
        </w:rPr>
        <w:t>комунікації з командою та уникнення консультацій з ними можуть призвести до збою впровадження програмного забезпечення у внутрішні процеси.</w:t>
      </w:r>
      <w:r>
        <w:rPr>
          <w:rFonts w:hint="default" w:cs="Times New Roman"/>
          <w:kern w:val="0"/>
          <w:sz w:val="28"/>
          <w:szCs w:val="28"/>
          <w:lang w:val="uk-UA" w:eastAsia="ru-RU" w:bidi="ar-SA"/>
        </w:rPr>
        <w:t xml:space="preserve"> </w:t>
      </w:r>
      <w:r>
        <w:rPr>
          <w:rFonts w:hint="default" w:ascii="Times New Roman" w:hAnsi="Times New Roman" w:eastAsia="Times New Roman" w:cs="Times New Roman"/>
          <w:kern w:val="0"/>
          <w:sz w:val="28"/>
          <w:szCs w:val="28"/>
          <w:lang w:val="uk-UA" w:eastAsia="ru-RU" w:bidi="ar-SA"/>
        </w:rPr>
        <w:t>Керівники компанії повинні бути максимально прозорими, щоб показати реальну вартість і прибуток нового програмного забезпечення для всіх відділів компанії</w:t>
      </w:r>
      <w:r>
        <w:rPr>
          <w:rFonts w:hint="default" w:cs="Times New Roman"/>
          <w:kern w:val="0"/>
          <w:sz w:val="28"/>
          <w:szCs w:val="28"/>
          <w:lang w:val="en-US" w:eastAsia="ru-RU" w:bidi="ar-SA"/>
        </w:rPr>
        <w:t xml:space="preserve"> [13]</w:t>
      </w:r>
      <w:r>
        <w:rPr>
          <w:rFonts w:hint="default" w:ascii="Times New Roman" w:hAnsi="Times New Roman" w:eastAsia="Times New Roman" w:cs="Times New Roman"/>
          <w:kern w:val="0"/>
          <w:sz w:val="28"/>
          <w:szCs w:val="28"/>
          <w:lang w:val="uk-UA" w:eastAsia="ru-RU" w:bidi="ar-SA"/>
        </w:rPr>
        <w:t>. </w:t>
      </w:r>
    </w:p>
    <w:p>
      <w:pPr>
        <w:numPr>
          <w:ilvl w:val="0"/>
          <w:numId w:val="0"/>
        </w:numPr>
        <w:spacing w:after="0" w:line="360" w:lineRule="auto"/>
        <w:ind w:left="0" w:leftChars="0" w:firstLine="719" w:firstLineChars="257"/>
        <w:jc w:val="both"/>
        <w:rPr>
          <w:rFonts w:hint="default" w:ascii="Times New Roman" w:hAnsi="Times New Roman" w:eastAsia="Times New Roman" w:cs="Times New Roman"/>
          <w:kern w:val="0"/>
          <w:sz w:val="28"/>
          <w:szCs w:val="28"/>
          <w:lang w:val="uk-UA" w:eastAsia="ru-RU" w:bidi="ar-SA"/>
        </w:rPr>
      </w:pPr>
      <w:r>
        <w:rPr>
          <w:rFonts w:hint="default" w:cs="Times New Roman"/>
          <w:kern w:val="0"/>
          <w:sz w:val="28"/>
          <w:szCs w:val="28"/>
          <w:lang w:val="uk-UA" w:eastAsia="ru-RU" w:bidi="ar-SA"/>
        </w:rPr>
        <w:t xml:space="preserve">– </w:t>
      </w:r>
      <w:r>
        <w:rPr>
          <w:rFonts w:hint="default" w:ascii="Times New Roman" w:hAnsi="Times New Roman" w:eastAsia="Times New Roman" w:cs="Times New Roman"/>
          <w:kern w:val="0"/>
          <w:sz w:val="28"/>
          <w:szCs w:val="28"/>
          <w:lang w:val="uk-UA" w:eastAsia="ru-RU" w:bidi="ar-SA"/>
        </w:rPr>
        <w:t>Переконатися, що це нововведення є саме тим, що потрібно підприємству на даний момент. Перш за все, менеджери з персоналу повинні проводити опитування серед різних відділів, щоб визначити їхні основні труднощі та складності з поточними процесами чи програмними системами, щоб врахувати їх у новому програмному забезпеченні, яке ви збираєтеся представити</w:t>
      </w:r>
      <w:r>
        <w:rPr>
          <w:rFonts w:hint="default" w:cs="Times New Roman"/>
          <w:kern w:val="0"/>
          <w:sz w:val="28"/>
          <w:szCs w:val="28"/>
          <w:lang w:val="en-US" w:eastAsia="ru-RU" w:bidi="ar-SA"/>
        </w:rPr>
        <w:t xml:space="preserve"> [14]</w:t>
      </w:r>
      <w:r>
        <w:rPr>
          <w:rFonts w:hint="default" w:ascii="Times New Roman" w:hAnsi="Times New Roman" w:eastAsia="Times New Roman" w:cs="Times New Roman"/>
          <w:kern w:val="0"/>
          <w:sz w:val="28"/>
          <w:szCs w:val="28"/>
          <w:lang w:val="uk-UA" w:eastAsia="ru-RU" w:bidi="ar-SA"/>
        </w:rPr>
        <w:t>.</w:t>
      </w:r>
    </w:p>
    <w:p>
      <w:pPr>
        <w:numPr>
          <w:ilvl w:val="0"/>
          <w:numId w:val="0"/>
        </w:numPr>
        <w:spacing w:after="0" w:line="360" w:lineRule="auto"/>
        <w:ind w:left="0" w:leftChars="0" w:firstLine="719" w:firstLineChars="257"/>
        <w:jc w:val="both"/>
        <w:rPr>
          <w:rFonts w:hint="default" w:ascii="Times New Roman" w:hAnsi="Times New Roman" w:eastAsia="Times New Roman" w:cs="Times New Roman"/>
          <w:kern w:val="0"/>
          <w:sz w:val="28"/>
          <w:szCs w:val="28"/>
          <w:lang w:val="uk-UA" w:eastAsia="ru-RU" w:bidi="ar-SA"/>
        </w:rPr>
      </w:pPr>
      <w:r>
        <w:rPr>
          <w:rFonts w:hint="default" w:cs="Times New Roman"/>
          <w:kern w:val="0"/>
          <w:sz w:val="28"/>
          <w:szCs w:val="28"/>
          <w:lang w:val="uk-UA" w:eastAsia="ru-RU" w:bidi="ar-SA"/>
        </w:rPr>
        <w:t xml:space="preserve">–  Інтегрувати процес навчання поступово. </w:t>
      </w:r>
      <w:r>
        <w:rPr>
          <w:rFonts w:hint="default" w:ascii="Times New Roman" w:hAnsi="Times New Roman" w:eastAsia="Times New Roman" w:cs="Times New Roman"/>
          <w:kern w:val="0"/>
          <w:sz w:val="28"/>
          <w:szCs w:val="28"/>
          <w:lang w:val="uk-UA" w:eastAsia="ru-RU" w:bidi="ar-SA"/>
        </w:rPr>
        <w:t>Процес адаптації співробітника до нової програмної системи повинен бути поступовим і умовно розділеним на кілька етапів. Крім того, ми рекомендується створити документи з усіма посібниками та поясненнями для співробітників щодо нової системи онбордингу, її переваг, задіянності в ній самих працівників та їх обов’язків</w:t>
      </w:r>
      <w:r>
        <w:rPr>
          <w:rFonts w:hint="default" w:cs="Times New Roman"/>
          <w:kern w:val="0"/>
          <w:sz w:val="28"/>
          <w:szCs w:val="28"/>
          <w:lang w:val="en-US" w:eastAsia="ru-RU" w:bidi="ar-SA"/>
        </w:rPr>
        <w:t xml:space="preserve"> [15]</w:t>
      </w:r>
      <w:r>
        <w:rPr>
          <w:rFonts w:hint="default" w:ascii="Times New Roman" w:hAnsi="Times New Roman" w:eastAsia="Times New Roman" w:cs="Times New Roman"/>
          <w:kern w:val="0"/>
          <w:sz w:val="28"/>
          <w:szCs w:val="28"/>
          <w:lang w:val="uk-UA" w:eastAsia="ru-RU" w:bidi="ar-SA"/>
        </w:rPr>
        <w:t>.</w:t>
      </w:r>
    </w:p>
    <w:p>
      <w:pPr>
        <w:numPr>
          <w:ilvl w:val="0"/>
          <w:numId w:val="0"/>
        </w:numPr>
        <w:spacing w:after="0" w:line="360" w:lineRule="auto"/>
        <w:ind w:left="0" w:leftChars="0" w:firstLine="719" w:firstLineChars="257"/>
        <w:jc w:val="both"/>
        <w:rPr>
          <w:rFonts w:hint="default" w:ascii="Times New Roman" w:hAnsi="Times New Roman" w:eastAsia="Times New Roman" w:cs="Times New Roman"/>
          <w:kern w:val="0"/>
          <w:sz w:val="28"/>
          <w:szCs w:val="28"/>
          <w:lang w:val="uk-UA" w:eastAsia="ru-RU" w:bidi="ar-SA"/>
        </w:rPr>
      </w:pPr>
      <w:r>
        <w:rPr>
          <w:rFonts w:hint="default" w:ascii="Times New Roman" w:hAnsi="Times New Roman" w:eastAsia="Times New Roman" w:cs="Times New Roman"/>
          <w:kern w:val="0"/>
          <w:sz w:val="28"/>
          <w:szCs w:val="28"/>
          <w:lang w:val="uk-UA" w:eastAsia="ru-RU" w:bidi="ar-SA"/>
        </w:rPr>
        <w:t>– Визначити терміни впровадження нової системи. Терміни не повінні бути швидкими та жорсткими від самого початку, оскільки це не принесе ефективності процесу, а лише напружить вже існуючий персонал</w:t>
      </w:r>
      <w:r>
        <w:rPr>
          <w:rFonts w:hint="default" w:cs="Times New Roman"/>
          <w:kern w:val="0"/>
          <w:sz w:val="28"/>
          <w:szCs w:val="28"/>
          <w:lang w:val="en-US" w:eastAsia="ru-RU" w:bidi="ar-SA"/>
        </w:rPr>
        <w:t xml:space="preserve"> [16]</w:t>
      </w:r>
      <w:r>
        <w:rPr>
          <w:rFonts w:hint="default" w:ascii="Times New Roman" w:hAnsi="Times New Roman" w:eastAsia="Times New Roman" w:cs="Times New Roman"/>
          <w:kern w:val="0"/>
          <w:sz w:val="28"/>
          <w:szCs w:val="28"/>
          <w:lang w:val="uk-UA" w:eastAsia="ru-RU" w:bidi="ar-SA"/>
        </w:rPr>
        <w:t>.</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ascii="Times New Roman" w:hAnsi="Times New Roman" w:eastAsia="Times New Roman" w:cs="Times New Roman"/>
          <w:kern w:val="0"/>
          <w:sz w:val="28"/>
          <w:szCs w:val="28"/>
          <w:lang w:val="uk-UA" w:eastAsia="ru-RU" w:bidi="ar-SA"/>
        </w:rPr>
        <w:t xml:space="preserve">Процес </w:t>
      </w:r>
      <w:r>
        <w:rPr>
          <w:rFonts w:hint="default" w:cs="Times New Roman"/>
          <w:kern w:val="0"/>
          <w:sz w:val="28"/>
          <w:szCs w:val="28"/>
          <w:lang w:val="uk-UA" w:eastAsia="ru-RU" w:bidi="ar-SA"/>
        </w:rPr>
        <w:t>онбордингу</w:t>
      </w:r>
      <w:r>
        <w:rPr>
          <w:rFonts w:hint="default" w:ascii="Times New Roman" w:hAnsi="Times New Roman" w:eastAsia="Times New Roman" w:cs="Times New Roman"/>
          <w:kern w:val="0"/>
          <w:sz w:val="28"/>
          <w:szCs w:val="28"/>
          <w:lang w:val="uk-UA" w:eastAsia="ru-RU" w:bidi="ar-SA"/>
        </w:rPr>
        <w:t xml:space="preserve"> має бути якісним, але це не означає</w:t>
      </w:r>
      <w:r>
        <w:rPr>
          <w:rFonts w:hint="default" w:cs="Times New Roman"/>
          <w:kern w:val="0"/>
          <w:sz w:val="28"/>
          <w:szCs w:val="28"/>
          <w:lang w:val="uk-UA" w:eastAsia="ru-RU" w:bidi="ar-SA"/>
        </w:rPr>
        <w:t xml:space="preserve"> що він має бути</w:t>
      </w:r>
      <w:r>
        <w:rPr>
          <w:rFonts w:hint="default" w:ascii="Times New Roman" w:hAnsi="Times New Roman" w:eastAsia="Times New Roman" w:cs="Times New Roman"/>
          <w:kern w:val="0"/>
          <w:sz w:val="28"/>
          <w:szCs w:val="28"/>
          <w:lang w:val="uk-UA" w:eastAsia="ru-RU" w:bidi="ar-SA"/>
        </w:rPr>
        <w:t xml:space="preserve"> швидким. </w:t>
      </w:r>
      <w:r>
        <w:rPr>
          <w:rFonts w:hint="default" w:cs="Times New Roman"/>
          <w:kern w:val="0"/>
          <w:sz w:val="28"/>
          <w:szCs w:val="28"/>
          <w:lang w:val="uk-UA" w:eastAsia="ru-RU" w:bidi="ar-SA"/>
        </w:rPr>
        <w:t>С</w:t>
      </w:r>
      <w:r>
        <w:rPr>
          <w:rFonts w:hint="default" w:ascii="Times New Roman" w:hAnsi="Times New Roman" w:eastAsia="Times New Roman" w:cs="Times New Roman"/>
          <w:kern w:val="0"/>
          <w:sz w:val="28"/>
          <w:szCs w:val="28"/>
          <w:lang w:val="uk-UA" w:eastAsia="ru-RU" w:bidi="ar-SA"/>
        </w:rPr>
        <w:t xml:space="preserve">півробітники все ще мають свої щоденні завдання та обов’язки, які важливіше виконати вчасно, ніж </w:t>
      </w:r>
      <w:r>
        <w:rPr>
          <w:rFonts w:hint="default" w:cs="Times New Roman"/>
          <w:kern w:val="0"/>
          <w:sz w:val="28"/>
          <w:szCs w:val="28"/>
          <w:lang w:val="uk-UA" w:eastAsia="ru-RU" w:bidi="ar-SA"/>
        </w:rPr>
        <w:t>вивчення нових обов’язків, наприклад, в ролі ментора чи коуча</w:t>
      </w:r>
      <w:r>
        <w:rPr>
          <w:rFonts w:hint="default" w:ascii="Times New Roman" w:hAnsi="Times New Roman" w:eastAsia="Times New Roman" w:cs="Times New Roman"/>
          <w:kern w:val="0"/>
          <w:sz w:val="28"/>
          <w:szCs w:val="28"/>
          <w:lang w:val="uk-UA" w:eastAsia="ru-RU" w:bidi="ar-SA"/>
        </w:rPr>
        <w:t>. </w:t>
      </w:r>
      <w:r>
        <w:rPr>
          <w:rFonts w:hint="default" w:cs="Times New Roman"/>
          <w:kern w:val="0"/>
          <w:sz w:val="28"/>
          <w:szCs w:val="28"/>
          <w:lang w:val="uk-UA" w:eastAsia="ru-RU" w:bidi="ar-SA"/>
        </w:rPr>
        <w:t>Іноді</w:t>
      </w:r>
      <w:r>
        <w:rPr>
          <w:rFonts w:hint="default" w:ascii="Times New Roman" w:hAnsi="Times New Roman" w:eastAsia="Times New Roman" w:cs="Times New Roman"/>
          <w:kern w:val="0"/>
          <w:sz w:val="28"/>
          <w:szCs w:val="28"/>
          <w:lang w:val="uk-UA" w:eastAsia="ru-RU" w:bidi="ar-SA"/>
        </w:rPr>
        <w:t xml:space="preserve"> може знадобитися навіть більше часу, ніж </w:t>
      </w:r>
      <w:r>
        <w:rPr>
          <w:rFonts w:hint="default" w:cs="Times New Roman"/>
          <w:kern w:val="0"/>
          <w:sz w:val="28"/>
          <w:szCs w:val="28"/>
          <w:lang w:val="uk-UA" w:eastAsia="ru-RU" w:bidi="ar-SA"/>
        </w:rPr>
        <w:t>очікується</w:t>
      </w:r>
      <w:r>
        <w:rPr>
          <w:rFonts w:hint="default" w:ascii="Times New Roman" w:hAnsi="Times New Roman" w:eastAsia="Times New Roman" w:cs="Times New Roman"/>
          <w:kern w:val="0"/>
          <w:sz w:val="28"/>
          <w:szCs w:val="28"/>
          <w:lang w:val="uk-UA" w:eastAsia="ru-RU" w:bidi="ar-SA"/>
        </w:rPr>
        <w:t xml:space="preserve">, </w:t>
      </w:r>
      <w:r>
        <w:rPr>
          <w:rFonts w:hint="default" w:cs="Times New Roman"/>
          <w:kern w:val="0"/>
          <w:sz w:val="28"/>
          <w:szCs w:val="28"/>
          <w:lang w:val="uk-UA" w:eastAsia="ru-RU" w:bidi="ar-SA"/>
        </w:rPr>
        <w:t>але це тільки в тому випадку, коли раніше на підприємстві не були застосовані подібні методи адаптації персоналу</w:t>
      </w:r>
      <w:r>
        <w:rPr>
          <w:rFonts w:hint="default" w:cs="Times New Roman"/>
          <w:kern w:val="0"/>
          <w:sz w:val="28"/>
          <w:szCs w:val="28"/>
          <w:lang w:val="en-US" w:eastAsia="ru-RU" w:bidi="ar-SA"/>
        </w:rPr>
        <w:t xml:space="preserve"> [17]</w:t>
      </w:r>
      <w:r>
        <w:rPr>
          <w:rFonts w:hint="default" w:cs="Times New Roman"/>
          <w:kern w:val="0"/>
          <w:sz w:val="28"/>
          <w:szCs w:val="28"/>
          <w:lang w:val="uk-UA" w:eastAsia="ru-RU" w:bidi="ar-SA"/>
        </w:rPr>
        <w:t xml:space="preserve">. </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spacing w:line="276" w:lineRule="auto"/>
        <w:ind w:left="1418" w:hanging="1418"/>
        <w:jc w:val="center"/>
        <w:rPr>
          <w:b/>
          <w:bCs/>
          <w:color w:val="000000"/>
          <w:sz w:val="28"/>
          <w:szCs w:val="28"/>
        </w:rPr>
      </w:pPr>
      <w:r>
        <w:rPr>
          <w:b/>
          <w:bCs/>
          <w:color w:val="000000"/>
          <w:sz w:val="28"/>
          <w:szCs w:val="28"/>
        </w:rPr>
        <w:t>РОЗДІЛ 2</w:t>
      </w:r>
    </w:p>
    <w:p>
      <w:pPr>
        <w:spacing w:line="276" w:lineRule="auto"/>
        <w:ind w:left="18" w:leftChars="0" w:hanging="18" w:firstLineChars="0"/>
        <w:jc w:val="center"/>
        <w:rPr>
          <w:b/>
          <w:bCs/>
          <w:sz w:val="28"/>
          <w:szCs w:val="28"/>
        </w:rPr>
      </w:pPr>
      <w:r>
        <w:rPr>
          <w:b/>
          <w:bCs/>
          <w:color w:val="000000"/>
          <w:sz w:val="28"/>
          <w:szCs w:val="28"/>
        </w:rPr>
        <w:t xml:space="preserve">ДОСЛІДЖЕННЯ ЗАСТОСУВАННЯ СИСТЕМИ ОНБОРДИНГУ ПЕРСОНАЛУ НА ПІДПРИЄМСТВІ </w:t>
      </w:r>
      <w:r>
        <w:rPr>
          <w:b/>
          <w:bCs/>
          <w:sz w:val="28"/>
          <w:szCs w:val="28"/>
        </w:rPr>
        <w:t>ТОВ «ЕПІЦЕНТР К»</w:t>
      </w:r>
    </w:p>
    <w:p>
      <w:pPr>
        <w:spacing w:line="276" w:lineRule="auto"/>
        <w:ind w:left="18" w:leftChars="0" w:hanging="18" w:firstLineChars="0"/>
        <w:jc w:val="center"/>
        <w:rPr>
          <w:sz w:val="28"/>
          <w:szCs w:val="28"/>
        </w:rPr>
      </w:pPr>
    </w:p>
    <w:p>
      <w:pPr>
        <w:spacing w:line="360" w:lineRule="auto"/>
        <w:ind w:left="18" w:leftChars="0" w:firstLine="702" w:firstLineChars="0"/>
        <w:jc w:val="both"/>
        <w:rPr>
          <w:rFonts w:hint="default"/>
          <w:sz w:val="28"/>
          <w:szCs w:val="28"/>
        </w:rPr>
      </w:pPr>
      <w:r>
        <w:rPr>
          <w:rFonts w:hint="default"/>
          <w:sz w:val="28"/>
          <w:szCs w:val="28"/>
          <w:lang w:val="uk-UA"/>
        </w:rPr>
        <w:t>“</w:t>
      </w:r>
      <w:r>
        <w:rPr>
          <w:rFonts w:hint="default"/>
          <w:sz w:val="28"/>
          <w:szCs w:val="28"/>
        </w:rPr>
        <w:t>Епіцентр</w:t>
      </w:r>
      <w:r>
        <w:rPr>
          <w:rFonts w:hint="default"/>
          <w:sz w:val="28"/>
          <w:szCs w:val="28"/>
          <w:lang w:val="ru-RU"/>
        </w:rPr>
        <w:t xml:space="preserve"> К</w:t>
      </w:r>
      <w:r>
        <w:rPr>
          <w:rFonts w:hint="default"/>
          <w:sz w:val="28"/>
          <w:szCs w:val="28"/>
          <w:lang w:val="uk-UA"/>
        </w:rPr>
        <w:t>”</w:t>
      </w:r>
      <w:r>
        <w:rPr>
          <w:rFonts w:hint="default"/>
          <w:sz w:val="28"/>
          <w:szCs w:val="28"/>
        </w:rPr>
        <w:t xml:space="preserve"> — абсолютний лідер українського ринку роздрібної торгівлі, один із найбільших гравців на ринку роздрібної торгівлі в цілому, а також один із найбільших агрохолдингів країни.</w:t>
      </w:r>
    </w:p>
    <w:p>
      <w:pPr>
        <w:spacing w:line="360" w:lineRule="auto"/>
        <w:ind w:left="18" w:leftChars="0" w:firstLine="702" w:firstLineChars="0"/>
        <w:jc w:val="both"/>
        <w:rPr>
          <w:rFonts w:hint="default"/>
          <w:sz w:val="28"/>
          <w:szCs w:val="28"/>
        </w:rPr>
      </w:pPr>
      <w:r>
        <w:rPr>
          <w:rFonts w:hint="default"/>
          <w:sz w:val="28"/>
          <w:szCs w:val="28"/>
        </w:rPr>
        <w:t>Станом на початок 2021 року група управля</w:t>
      </w:r>
      <w:r>
        <w:rPr>
          <w:rFonts w:hint="default"/>
          <w:sz w:val="28"/>
          <w:szCs w:val="28"/>
          <w:lang w:val="ru-RU"/>
        </w:rPr>
        <w:t>ла</w:t>
      </w:r>
      <w:r>
        <w:rPr>
          <w:rFonts w:hint="default"/>
          <w:sz w:val="28"/>
          <w:szCs w:val="28"/>
        </w:rPr>
        <w:t xml:space="preserve"> 75 супермаркетами та гіпермаркетами будматеріалів (64 під брендом </w:t>
      </w:r>
      <w:r>
        <w:rPr>
          <w:rFonts w:hint="default"/>
          <w:sz w:val="28"/>
          <w:szCs w:val="28"/>
          <w:lang w:val="uk-UA"/>
        </w:rPr>
        <w:t>“</w:t>
      </w:r>
      <w:r>
        <w:rPr>
          <w:rFonts w:hint="default"/>
          <w:sz w:val="28"/>
          <w:szCs w:val="28"/>
        </w:rPr>
        <w:t>Епіцентр-К</w:t>
      </w:r>
      <w:r>
        <w:rPr>
          <w:rFonts w:hint="default"/>
          <w:sz w:val="28"/>
          <w:szCs w:val="28"/>
          <w:lang w:val="uk-UA"/>
        </w:rPr>
        <w:t>”</w:t>
      </w:r>
      <w:r>
        <w:rPr>
          <w:rFonts w:hint="default"/>
          <w:sz w:val="28"/>
          <w:szCs w:val="28"/>
        </w:rPr>
        <w:t xml:space="preserve">, 11 під брендом </w:t>
      </w:r>
      <w:r>
        <w:rPr>
          <w:rFonts w:hint="default"/>
          <w:sz w:val="28"/>
          <w:szCs w:val="28"/>
          <w:lang w:val="uk-UA"/>
        </w:rPr>
        <w:t>“</w:t>
      </w:r>
      <w:r>
        <w:rPr>
          <w:rFonts w:hint="default"/>
          <w:sz w:val="28"/>
          <w:szCs w:val="28"/>
        </w:rPr>
        <w:t>Новая линия</w:t>
      </w:r>
      <w:r>
        <w:rPr>
          <w:rFonts w:hint="default"/>
          <w:sz w:val="28"/>
          <w:szCs w:val="28"/>
          <w:lang w:val="uk-UA"/>
        </w:rPr>
        <w:t>”</w:t>
      </w:r>
      <w:r>
        <w:rPr>
          <w:rFonts w:hint="default"/>
          <w:sz w:val="28"/>
          <w:szCs w:val="28"/>
        </w:rPr>
        <w:t>) із загальною торговою площею понад 1,5 млн</w:t>
      </w:r>
      <w:r>
        <w:rPr>
          <w:rFonts w:hint="default"/>
          <w:sz w:val="28"/>
          <w:szCs w:val="28"/>
          <w:lang w:val="ru-RU"/>
        </w:rPr>
        <w:t>.</w:t>
      </w:r>
      <w:r>
        <w:rPr>
          <w:rFonts w:hint="default"/>
          <w:sz w:val="28"/>
          <w:szCs w:val="28"/>
        </w:rPr>
        <w:t xml:space="preserve"> м</w:t>
      </w:r>
      <w:r>
        <w:rPr>
          <w:rFonts w:hint="default"/>
          <w:sz w:val="28"/>
          <w:szCs w:val="28"/>
          <w:vertAlign w:val="superscript"/>
        </w:rPr>
        <w:t>2</w:t>
      </w:r>
      <w:r>
        <w:rPr>
          <w:rFonts w:hint="default"/>
          <w:sz w:val="28"/>
          <w:szCs w:val="28"/>
        </w:rPr>
        <w:t xml:space="preserve"> та загальною виручкою від продажів у 2019 році на на рівні 58 млрд грн (з урахуванням доходів Нової лінії, але без доходів від експорту зерна через </w:t>
      </w:r>
      <w:r>
        <w:rPr>
          <w:rFonts w:hint="default"/>
          <w:sz w:val="28"/>
          <w:szCs w:val="28"/>
          <w:lang w:val="uk-UA"/>
        </w:rPr>
        <w:t>“</w:t>
      </w:r>
      <w:r>
        <w:rPr>
          <w:rFonts w:hint="default"/>
          <w:sz w:val="28"/>
          <w:szCs w:val="28"/>
        </w:rPr>
        <w:t>Епіцентр-К</w:t>
      </w:r>
      <w:r>
        <w:rPr>
          <w:rFonts w:hint="default"/>
          <w:sz w:val="28"/>
          <w:szCs w:val="28"/>
          <w:lang w:val="uk-UA"/>
        </w:rPr>
        <w:t>”</w:t>
      </w:r>
      <w:r>
        <w:rPr>
          <w:rFonts w:hint="default"/>
          <w:sz w:val="28"/>
          <w:szCs w:val="28"/>
        </w:rPr>
        <w:t>).</w:t>
      </w:r>
    </w:p>
    <w:p>
      <w:pPr>
        <w:spacing w:line="360" w:lineRule="auto"/>
        <w:ind w:left="18" w:leftChars="0" w:firstLine="702" w:firstLineChars="0"/>
        <w:jc w:val="both"/>
        <w:rPr>
          <w:rFonts w:hint="default"/>
          <w:sz w:val="28"/>
          <w:szCs w:val="28"/>
          <w:lang w:val="ru-RU"/>
        </w:rPr>
      </w:pPr>
      <w:r>
        <w:rPr>
          <w:rFonts w:hint="default"/>
          <w:sz w:val="28"/>
          <w:szCs w:val="28"/>
        </w:rPr>
        <w:t>Власники компанії – Олександр та Галина Гереги – почали торгувати будівельними матеріалами давно – ще у 1996 році, коли відкрили свій перший магазин. Перший великий супермаркет був відкритий в 2003 році і мав загальну площу 17 тис. м</w:t>
      </w:r>
      <w:r>
        <w:rPr>
          <w:rFonts w:hint="default"/>
          <w:sz w:val="28"/>
          <w:szCs w:val="28"/>
          <w:vertAlign w:val="superscript"/>
        </w:rPr>
        <w:t>2</w:t>
      </w:r>
      <w:r>
        <w:rPr>
          <w:rFonts w:hint="default"/>
          <w:sz w:val="28"/>
          <w:szCs w:val="28"/>
        </w:rPr>
        <w:t>. Після цього почалася стрімка експансія компанії: в 2006 році мережа налічувала вже 6 гіпермаркетів, в 2007</w:t>
      </w:r>
      <w:r>
        <w:rPr>
          <w:rFonts w:hint="default"/>
          <w:sz w:val="28"/>
          <w:szCs w:val="28"/>
          <w:lang w:val="ru-RU"/>
        </w:rPr>
        <w:t xml:space="preserve"> –</w:t>
      </w:r>
      <w:r>
        <w:rPr>
          <w:rFonts w:hint="default"/>
          <w:sz w:val="28"/>
          <w:szCs w:val="28"/>
        </w:rPr>
        <w:t xml:space="preserve"> 14, 2008 </w:t>
      </w:r>
      <w:r>
        <w:rPr>
          <w:rFonts w:hint="default"/>
          <w:sz w:val="28"/>
          <w:szCs w:val="28"/>
          <w:lang w:val="ru-RU"/>
        </w:rPr>
        <w:t>–</w:t>
      </w:r>
      <w:r>
        <w:rPr>
          <w:rFonts w:hint="default"/>
          <w:sz w:val="28"/>
          <w:szCs w:val="28"/>
        </w:rPr>
        <w:t xml:space="preserve"> 22</w:t>
      </w:r>
      <w:r>
        <w:rPr>
          <w:rFonts w:hint="default"/>
          <w:sz w:val="28"/>
          <w:szCs w:val="28"/>
          <w:lang w:val="ru-RU"/>
        </w:rPr>
        <w:t>.</w:t>
      </w:r>
    </w:p>
    <w:p>
      <w:pPr>
        <w:spacing w:line="360" w:lineRule="auto"/>
        <w:ind w:left="18" w:leftChars="0" w:firstLine="702" w:firstLineChars="0"/>
        <w:jc w:val="both"/>
        <w:rPr>
          <w:rFonts w:hint="default"/>
          <w:sz w:val="28"/>
          <w:szCs w:val="28"/>
        </w:rPr>
      </w:pPr>
      <w:r>
        <w:rPr>
          <w:rFonts w:hint="default"/>
          <w:sz w:val="28"/>
          <w:szCs w:val="28"/>
        </w:rPr>
        <w:t xml:space="preserve">Разом з </w:t>
      </w:r>
      <w:r>
        <w:rPr>
          <w:rFonts w:hint="default"/>
          <w:sz w:val="28"/>
          <w:szCs w:val="28"/>
          <w:lang w:val="uk-UA"/>
        </w:rPr>
        <w:t>“</w:t>
      </w:r>
      <w:r>
        <w:rPr>
          <w:rFonts w:hint="default"/>
          <w:sz w:val="28"/>
          <w:szCs w:val="28"/>
        </w:rPr>
        <w:t>Новою лінією</w:t>
      </w:r>
      <w:r>
        <w:rPr>
          <w:rFonts w:hint="default"/>
          <w:sz w:val="28"/>
          <w:szCs w:val="28"/>
          <w:lang w:val="uk-UA"/>
        </w:rPr>
        <w:t>”</w:t>
      </w:r>
      <w:r>
        <w:rPr>
          <w:rFonts w:hint="default"/>
          <w:sz w:val="28"/>
          <w:szCs w:val="28"/>
        </w:rPr>
        <w:t xml:space="preserve"> (акціонерами якої на той момент були такі компанії, як Dragon Capital і East Capital), </w:t>
      </w:r>
      <w:r>
        <w:rPr>
          <w:rFonts w:hint="default"/>
          <w:sz w:val="28"/>
          <w:szCs w:val="28"/>
          <w:lang w:val="uk-UA"/>
        </w:rPr>
        <w:t>“</w:t>
      </w:r>
      <w:r>
        <w:rPr>
          <w:rFonts w:hint="default"/>
          <w:sz w:val="28"/>
          <w:szCs w:val="28"/>
        </w:rPr>
        <w:t>Епіцентр</w:t>
      </w:r>
      <w:r>
        <w:rPr>
          <w:rFonts w:hint="default"/>
          <w:sz w:val="28"/>
          <w:szCs w:val="28"/>
          <w:lang w:val="uk-UA"/>
        </w:rPr>
        <w:t xml:space="preserve"> К”</w:t>
      </w:r>
      <w:r>
        <w:rPr>
          <w:rFonts w:hint="default"/>
          <w:sz w:val="28"/>
          <w:szCs w:val="28"/>
        </w:rPr>
        <w:t xml:space="preserve"> став одним з лідерів ринку DIY в Україні.</w:t>
      </w:r>
      <w:r>
        <w:rPr>
          <w:rFonts w:hint="default"/>
          <w:sz w:val="28"/>
          <w:szCs w:val="28"/>
          <w:lang w:val="ru-RU"/>
        </w:rPr>
        <w:t xml:space="preserve"> </w:t>
      </w:r>
      <w:r>
        <w:rPr>
          <w:rFonts w:hint="default"/>
          <w:sz w:val="28"/>
          <w:szCs w:val="28"/>
        </w:rPr>
        <w:t>При цьому сам ринок розвивався дуже хорошими темпами (а 2006</w:t>
      </w:r>
      <w:r>
        <w:rPr>
          <w:rFonts w:hint="default"/>
          <w:sz w:val="28"/>
          <w:szCs w:val="28"/>
          <w:lang w:val="uk-UA"/>
        </w:rPr>
        <w:t>–</w:t>
      </w:r>
      <w:r>
        <w:rPr>
          <w:rFonts w:hint="default"/>
          <w:sz w:val="28"/>
          <w:szCs w:val="28"/>
        </w:rPr>
        <w:t xml:space="preserve">2007 роки були роками будівельного буму в Україні). Обидві компанії були, по суті, її піонерами, тому спочатку конкуренція була між ними </w:t>
      </w:r>
      <w:r>
        <w:rPr>
          <w:rFonts w:hint="default"/>
          <w:sz w:val="28"/>
          <w:szCs w:val="28"/>
          <w:lang w:val="uk-UA"/>
        </w:rPr>
        <w:t>–</w:t>
      </w:r>
      <w:r>
        <w:rPr>
          <w:rFonts w:hint="default"/>
          <w:sz w:val="28"/>
          <w:szCs w:val="28"/>
        </w:rPr>
        <w:t xml:space="preserve"> </w:t>
      </w:r>
      <w:r>
        <w:rPr>
          <w:rFonts w:hint="default"/>
          <w:sz w:val="28"/>
          <w:szCs w:val="28"/>
          <w:lang w:val="uk-UA"/>
        </w:rPr>
        <w:t>“</w:t>
      </w:r>
      <w:r>
        <w:rPr>
          <w:rFonts w:hint="default"/>
          <w:sz w:val="28"/>
          <w:szCs w:val="28"/>
        </w:rPr>
        <w:t>Епіцентр</w:t>
      </w:r>
      <w:r>
        <w:rPr>
          <w:rFonts w:hint="default"/>
          <w:sz w:val="28"/>
          <w:szCs w:val="28"/>
          <w:lang w:val="uk-UA"/>
        </w:rPr>
        <w:t xml:space="preserve"> К”</w:t>
      </w:r>
      <w:r>
        <w:rPr>
          <w:rFonts w:hint="default"/>
          <w:sz w:val="28"/>
          <w:szCs w:val="28"/>
        </w:rPr>
        <w:t xml:space="preserve"> конкурував з </w:t>
      </w:r>
      <w:r>
        <w:rPr>
          <w:rFonts w:hint="default"/>
          <w:sz w:val="28"/>
          <w:szCs w:val="28"/>
          <w:lang w:val="uk-UA"/>
        </w:rPr>
        <w:t>“</w:t>
      </w:r>
      <w:r>
        <w:rPr>
          <w:rFonts w:hint="default"/>
          <w:sz w:val="28"/>
          <w:szCs w:val="28"/>
        </w:rPr>
        <w:t>Новою лінією</w:t>
      </w:r>
      <w:r>
        <w:rPr>
          <w:rFonts w:hint="default"/>
          <w:sz w:val="28"/>
          <w:szCs w:val="28"/>
          <w:lang w:val="uk-UA"/>
        </w:rPr>
        <w:t>”</w:t>
      </w:r>
      <w:r>
        <w:rPr>
          <w:rFonts w:hint="default"/>
          <w:sz w:val="28"/>
          <w:szCs w:val="28"/>
        </w:rPr>
        <w:t xml:space="preserve"> переважно за кращі місця розташування гіпермаркетів. Європейські рітейлери – Praktiker та OBI – також вийшли на український ринок, але з ряду причин</w:t>
      </w:r>
      <w:r>
        <w:rPr>
          <w:rFonts w:hint="default"/>
          <w:sz w:val="28"/>
          <w:szCs w:val="28"/>
          <w:lang w:val="uk-UA"/>
        </w:rPr>
        <w:t xml:space="preserve"> </w:t>
      </w:r>
      <w:r>
        <w:rPr>
          <w:rFonts w:hint="default"/>
          <w:sz w:val="28"/>
          <w:szCs w:val="28"/>
        </w:rPr>
        <w:t>вони були набагато менш агресивними у своєму розвитку.</w:t>
      </w:r>
    </w:p>
    <w:p>
      <w:pPr>
        <w:spacing w:line="360" w:lineRule="auto"/>
        <w:ind w:left="18" w:leftChars="0" w:firstLine="702" w:firstLineChars="0"/>
        <w:jc w:val="both"/>
        <w:rPr>
          <w:rFonts w:hint="default"/>
          <w:sz w:val="28"/>
          <w:szCs w:val="28"/>
        </w:rPr>
      </w:pPr>
      <w:r>
        <w:rPr>
          <w:rFonts w:hint="default"/>
          <w:sz w:val="28"/>
          <w:szCs w:val="28"/>
        </w:rPr>
        <w:t xml:space="preserve">Ще однією характерною рисою </w:t>
      </w:r>
      <w:r>
        <w:rPr>
          <w:rFonts w:hint="default"/>
          <w:sz w:val="28"/>
          <w:szCs w:val="28"/>
          <w:lang w:val="uk-UA"/>
        </w:rPr>
        <w:t>підприємства</w:t>
      </w:r>
      <w:r>
        <w:rPr>
          <w:rFonts w:hint="default"/>
          <w:sz w:val="28"/>
          <w:szCs w:val="28"/>
        </w:rPr>
        <w:t xml:space="preserve"> стала неймовірна швидкість будівництва нових магазинів (в середньому цей термін становив менше 120 днів (а в деяких випадках менше 90 днів))</w:t>
      </w:r>
      <w:r>
        <w:rPr>
          <w:rFonts w:hint="default"/>
          <w:sz w:val="28"/>
          <w:szCs w:val="28"/>
          <w:lang w:val="en-US"/>
        </w:rPr>
        <w:t xml:space="preserve"> [18]</w:t>
      </w:r>
      <w:r>
        <w:rPr>
          <w:rFonts w:hint="default"/>
          <w:sz w:val="28"/>
          <w:szCs w:val="28"/>
        </w:rPr>
        <w:t>.</w:t>
      </w:r>
    </w:p>
    <w:p>
      <w:pPr>
        <w:spacing w:line="360" w:lineRule="auto"/>
        <w:ind w:left="18" w:leftChars="0" w:firstLine="702" w:firstLineChars="0"/>
        <w:jc w:val="both"/>
        <w:rPr>
          <w:rFonts w:hint="default"/>
          <w:sz w:val="28"/>
          <w:szCs w:val="28"/>
        </w:rPr>
      </w:pPr>
      <w:r>
        <w:rPr>
          <w:rFonts w:hint="default"/>
          <w:sz w:val="28"/>
          <w:szCs w:val="28"/>
        </w:rPr>
        <w:t xml:space="preserve">Епіцентр став домінуючим гравцем на ринку та почав конкурувати з іншими гравцями, які вже були на своїй території, відкриваючи магазини (з більш широким асортиментом/нижчими цінами) відносно близько до гіпермаркетів конкурентів. У конкурентів було не так багато варіантів – закривати свої гіпермаркети чи продавати їх </w:t>
      </w:r>
      <w:r>
        <w:rPr>
          <w:rFonts w:hint="default"/>
          <w:sz w:val="28"/>
          <w:szCs w:val="28"/>
          <w:lang w:val="uk-UA"/>
        </w:rPr>
        <w:t>“</w:t>
      </w:r>
      <w:r>
        <w:rPr>
          <w:rFonts w:hint="default"/>
          <w:sz w:val="28"/>
          <w:szCs w:val="28"/>
        </w:rPr>
        <w:t>Епіцентр</w:t>
      </w:r>
      <w:r>
        <w:rPr>
          <w:rFonts w:hint="default"/>
          <w:sz w:val="28"/>
          <w:szCs w:val="28"/>
          <w:lang w:val="uk-UA"/>
        </w:rPr>
        <w:t xml:space="preserve"> К”</w:t>
      </w:r>
      <w:r>
        <w:rPr>
          <w:rFonts w:hint="default"/>
          <w:sz w:val="28"/>
          <w:szCs w:val="28"/>
        </w:rPr>
        <w:t xml:space="preserve">. </w:t>
      </w:r>
      <w:r>
        <w:rPr>
          <w:rFonts w:hint="default"/>
          <w:sz w:val="28"/>
          <w:szCs w:val="28"/>
          <w:lang w:val="uk-UA"/>
        </w:rPr>
        <w:t>”</w:t>
      </w:r>
      <w:r>
        <w:rPr>
          <w:rFonts w:hint="default"/>
          <w:sz w:val="28"/>
          <w:szCs w:val="28"/>
        </w:rPr>
        <w:t>Нова Лінія</w:t>
      </w:r>
      <w:r>
        <w:rPr>
          <w:rFonts w:hint="default"/>
          <w:sz w:val="28"/>
          <w:szCs w:val="28"/>
          <w:lang w:val="uk-UA"/>
        </w:rPr>
        <w:t>”</w:t>
      </w:r>
      <w:r>
        <w:rPr>
          <w:rFonts w:hint="default"/>
          <w:sz w:val="28"/>
          <w:szCs w:val="28"/>
        </w:rPr>
        <w:t xml:space="preserve"> у 2013 році обрала другий варіант, а </w:t>
      </w:r>
      <w:r>
        <w:rPr>
          <w:rFonts w:hint="default"/>
          <w:sz w:val="28"/>
          <w:szCs w:val="28"/>
          <w:lang w:val="uk-UA"/>
        </w:rPr>
        <w:t>“</w:t>
      </w:r>
      <w:r>
        <w:rPr>
          <w:rFonts w:hint="default"/>
          <w:sz w:val="28"/>
          <w:szCs w:val="28"/>
          <w:lang w:val="en-US"/>
        </w:rPr>
        <w:t>Praktiker</w:t>
      </w:r>
      <w:r>
        <w:rPr>
          <w:rFonts w:hint="default"/>
          <w:sz w:val="28"/>
          <w:szCs w:val="28"/>
          <w:lang w:val="uk-UA"/>
        </w:rPr>
        <w:t>”</w:t>
      </w:r>
      <w:r>
        <w:rPr>
          <w:rFonts w:hint="default"/>
          <w:sz w:val="28"/>
          <w:szCs w:val="28"/>
        </w:rPr>
        <w:t xml:space="preserve"> і </w:t>
      </w:r>
      <w:r>
        <w:rPr>
          <w:rFonts w:hint="default"/>
          <w:sz w:val="28"/>
          <w:szCs w:val="28"/>
          <w:lang w:val="uk-UA"/>
        </w:rPr>
        <w:t>“</w:t>
      </w:r>
      <w:r>
        <w:rPr>
          <w:rFonts w:hint="default"/>
          <w:sz w:val="28"/>
          <w:szCs w:val="28"/>
          <w:lang w:val="en-US"/>
        </w:rPr>
        <w:t>OBI</w:t>
      </w:r>
      <w:r>
        <w:rPr>
          <w:rFonts w:hint="default"/>
          <w:sz w:val="28"/>
          <w:szCs w:val="28"/>
          <w:lang w:val="uk-UA"/>
        </w:rPr>
        <w:t>”</w:t>
      </w:r>
      <w:r>
        <w:rPr>
          <w:rFonts w:hint="default"/>
          <w:sz w:val="28"/>
          <w:szCs w:val="28"/>
        </w:rPr>
        <w:t xml:space="preserve"> вирішили піти з українського ринку. Єдиною іноземною мережею, яка залишилася в сегменті DIY в Україні, стала Leroy Merlin.</w:t>
      </w:r>
    </w:p>
    <w:p>
      <w:pPr>
        <w:spacing w:line="360" w:lineRule="auto"/>
        <w:ind w:left="18" w:leftChars="0" w:firstLine="702" w:firstLineChars="0"/>
        <w:jc w:val="both"/>
        <w:rPr>
          <w:rFonts w:hint="default"/>
          <w:sz w:val="28"/>
          <w:szCs w:val="28"/>
        </w:rPr>
      </w:pPr>
      <w:r>
        <w:rPr>
          <w:rFonts w:hint="default"/>
          <w:sz w:val="28"/>
          <w:szCs w:val="28"/>
        </w:rPr>
        <w:t xml:space="preserve">У подальшому розвитку </w:t>
      </w:r>
      <w:r>
        <w:rPr>
          <w:rFonts w:hint="default"/>
          <w:sz w:val="28"/>
          <w:szCs w:val="28"/>
          <w:lang w:val="uk-UA"/>
        </w:rPr>
        <w:t>“</w:t>
      </w:r>
      <w:r>
        <w:rPr>
          <w:rFonts w:hint="default"/>
          <w:sz w:val="28"/>
          <w:szCs w:val="28"/>
        </w:rPr>
        <w:t>Епіцентр</w:t>
      </w:r>
      <w:r>
        <w:rPr>
          <w:rFonts w:hint="default"/>
          <w:sz w:val="28"/>
          <w:szCs w:val="28"/>
          <w:lang w:val="en-US"/>
        </w:rPr>
        <w:t xml:space="preserve"> </w:t>
      </w:r>
      <w:r>
        <w:rPr>
          <w:rFonts w:hint="default"/>
          <w:sz w:val="28"/>
          <w:szCs w:val="28"/>
          <w:lang w:val="ru-RU"/>
        </w:rPr>
        <w:t>К</w:t>
      </w:r>
      <w:r>
        <w:rPr>
          <w:rFonts w:hint="default"/>
          <w:sz w:val="28"/>
          <w:szCs w:val="28"/>
          <w:lang w:val="uk-UA"/>
        </w:rPr>
        <w:t>”</w:t>
      </w:r>
      <w:r>
        <w:rPr>
          <w:rFonts w:hint="default"/>
          <w:sz w:val="28"/>
          <w:szCs w:val="28"/>
        </w:rPr>
        <w:t xml:space="preserve"> змінив фокус, почавши відкривати відносно невеликі магазини в містах з населенням менше 200 тис. осіб (раніше фокус був здебільшого на великі міста). Так, за останні </w:t>
      </w:r>
      <w:r>
        <w:rPr>
          <w:rFonts w:hint="default"/>
          <w:sz w:val="28"/>
          <w:szCs w:val="28"/>
          <w:lang w:val="uk-UA"/>
        </w:rPr>
        <w:t>п’ять</w:t>
      </w:r>
      <w:r>
        <w:rPr>
          <w:rFonts w:hint="default"/>
          <w:sz w:val="28"/>
          <w:szCs w:val="28"/>
        </w:rPr>
        <w:t xml:space="preserve"> рок</w:t>
      </w:r>
      <w:r>
        <w:rPr>
          <w:rFonts w:hint="default"/>
          <w:sz w:val="28"/>
          <w:szCs w:val="28"/>
          <w:lang w:val="uk-UA"/>
        </w:rPr>
        <w:t>ів</w:t>
      </w:r>
      <w:r>
        <w:rPr>
          <w:rFonts w:hint="default"/>
          <w:sz w:val="28"/>
          <w:szCs w:val="28"/>
        </w:rPr>
        <w:t xml:space="preserve"> компанія відкрила 17 магазинів, збільшивши торгову площу на 300 тис. кв. Також Епіцентр почав відкривати концептуальні магазини в торгових центрах (відділи shop-in-shop, наприклад, мультибрендові магазини спортивного одягу Intersport, галереї товарів для дому та декору Deco, магазини дитячих товарів E.Pic). При цьому деякі з цих магазинів були відкриті не в гіпермаркетах, а в орендованих приміщеннях (вісім магазинів Intersport, три галереї Deco та один магазин E.Pic)</w:t>
      </w:r>
      <w:r>
        <w:rPr>
          <w:rFonts w:hint="default"/>
          <w:sz w:val="28"/>
          <w:szCs w:val="28"/>
          <w:lang w:val="en-US"/>
        </w:rPr>
        <w:t xml:space="preserve"> [18]</w:t>
      </w:r>
      <w:r>
        <w:rPr>
          <w:rFonts w:hint="default"/>
          <w:sz w:val="28"/>
          <w:szCs w:val="28"/>
        </w:rPr>
        <w:t>.</w:t>
      </w:r>
    </w:p>
    <w:p>
      <w:pPr>
        <w:spacing w:line="360" w:lineRule="auto"/>
        <w:ind w:left="0" w:leftChars="0" w:hanging="1418" w:firstLineChars="0"/>
        <w:jc w:val="both"/>
        <w:rPr>
          <w:sz w:val="28"/>
          <w:szCs w:val="28"/>
        </w:rPr>
      </w:pPr>
    </w:p>
    <w:p>
      <w:pPr>
        <w:spacing w:line="360" w:lineRule="auto"/>
        <w:ind w:left="18" w:leftChars="0" w:firstLine="702" w:firstLineChars="0"/>
        <w:jc w:val="both"/>
        <w:rPr>
          <w:rFonts w:hint="default"/>
          <w:b/>
          <w:bCs/>
          <w:color w:val="000000"/>
          <w:sz w:val="28"/>
          <w:szCs w:val="28"/>
          <w:lang w:val="uk-UA"/>
        </w:rPr>
      </w:pPr>
      <w:r>
        <w:rPr>
          <w:b/>
          <w:bCs/>
          <w:color w:val="000000"/>
          <w:sz w:val="28"/>
          <w:szCs w:val="28"/>
        </w:rPr>
        <w:t xml:space="preserve">2.1. Загальна характеристика та результати застосування системи онбордингу персоналу на підприємстві ТОВ </w:t>
      </w:r>
      <w:r>
        <w:rPr>
          <w:rFonts w:hint="default"/>
          <w:b/>
          <w:bCs/>
          <w:color w:val="000000"/>
          <w:sz w:val="28"/>
          <w:szCs w:val="28"/>
          <w:lang w:val="uk-UA"/>
        </w:rPr>
        <w:t>“</w:t>
      </w:r>
      <w:r>
        <w:rPr>
          <w:b/>
          <w:bCs/>
          <w:color w:val="000000"/>
          <w:sz w:val="28"/>
          <w:szCs w:val="28"/>
        </w:rPr>
        <w:t>ЕПІЦЕНТР К</w:t>
      </w:r>
      <w:r>
        <w:rPr>
          <w:rFonts w:hint="default"/>
          <w:b/>
          <w:bCs/>
          <w:color w:val="000000"/>
          <w:sz w:val="28"/>
          <w:szCs w:val="28"/>
          <w:lang w:val="uk-UA"/>
        </w:rPr>
        <w:t>”</w:t>
      </w:r>
    </w:p>
    <w:p>
      <w:pPr>
        <w:spacing w:line="360" w:lineRule="auto"/>
        <w:ind w:left="18" w:leftChars="0" w:firstLine="702" w:firstLineChars="0"/>
        <w:jc w:val="both"/>
        <w:rPr>
          <w:rFonts w:hint="default"/>
          <w:color w:val="000000"/>
          <w:sz w:val="28"/>
          <w:szCs w:val="28"/>
          <w:lang w:val="uk-UA"/>
        </w:rPr>
      </w:pPr>
    </w:p>
    <w:p>
      <w:pPr>
        <w:spacing w:line="360" w:lineRule="auto"/>
        <w:ind w:left="18" w:leftChars="0" w:firstLine="702" w:firstLineChars="0"/>
        <w:jc w:val="both"/>
        <w:rPr>
          <w:rFonts w:hint="default"/>
          <w:sz w:val="28"/>
          <w:szCs w:val="28"/>
          <w:lang w:val="en-US"/>
        </w:rPr>
      </w:pPr>
      <w:r>
        <w:rPr>
          <w:rFonts w:hint="default"/>
          <w:sz w:val="28"/>
          <w:szCs w:val="28"/>
        </w:rPr>
        <w:t xml:space="preserve">Важливою </w:t>
      </w:r>
      <w:r>
        <w:rPr>
          <w:rFonts w:hint="default"/>
          <w:sz w:val="28"/>
          <w:szCs w:val="28"/>
          <w:lang w:val="uk-UA"/>
        </w:rPr>
        <w:t>особливістю</w:t>
      </w:r>
      <w:r>
        <w:rPr>
          <w:rFonts w:hint="default"/>
          <w:sz w:val="28"/>
          <w:szCs w:val="28"/>
        </w:rPr>
        <w:t xml:space="preserve"> </w:t>
      </w:r>
      <w:r>
        <w:rPr>
          <w:rFonts w:hint="default"/>
          <w:sz w:val="28"/>
          <w:szCs w:val="28"/>
          <w:lang w:val="uk-UA"/>
        </w:rPr>
        <w:t>компанії</w:t>
      </w:r>
      <w:r>
        <w:rPr>
          <w:rFonts w:hint="default"/>
          <w:sz w:val="28"/>
          <w:szCs w:val="28"/>
        </w:rPr>
        <w:t xml:space="preserve"> “Епіцентр</w:t>
      </w:r>
      <w:r>
        <w:rPr>
          <w:rFonts w:hint="default"/>
          <w:sz w:val="28"/>
          <w:szCs w:val="28"/>
          <w:lang w:val="uk-UA"/>
        </w:rPr>
        <w:t xml:space="preserve"> К</w:t>
      </w:r>
      <w:r>
        <w:rPr>
          <w:rFonts w:hint="default"/>
          <w:sz w:val="28"/>
          <w:szCs w:val="28"/>
        </w:rPr>
        <w:t xml:space="preserve">” </w:t>
      </w:r>
      <w:r>
        <w:rPr>
          <w:rFonts w:hint="default"/>
          <w:sz w:val="28"/>
          <w:szCs w:val="28"/>
          <w:lang w:val="uk-UA"/>
        </w:rPr>
        <w:t>є існування</w:t>
      </w:r>
      <w:r>
        <w:rPr>
          <w:rFonts w:hint="default"/>
          <w:sz w:val="28"/>
          <w:szCs w:val="28"/>
        </w:rPr>
        <w:t xml:space="preserve"> багаторівнев</w:t>
      </w:r>
      <w:r>
        <w:rPr>
          <w:rFonts w:hint="default"/>
          <w:sz w:val="28"/>
          <w:szCs w:val="28"/>
          <w:lang w:val="uk-UA"/>
        </w:rPr>
        <w:t>ої</w:t>
      </w:r>
      <w:r>
        <w:rPr>
          <w:rFonts w:hint="default"/>
          <w:sz w:val="28"/>
          <w:szCs w:val="28"/>
        </w:rPr>
        <w:t xml:space="preserve"> систем</w:t>
      </w:r>
      <w:r>
        <w:rPr>
          <w:rFonts w:hint="default"/>
          <w:sz w:val="28"/>
          <w:szCs w:val="28"/>
          <w:lang w:val="uk-UA"/>
        </w:rPr>
        <w:t>и</w:t>
      </w:r>
      <w:r>
        <w:rPr>
          <w:rFonts w:hint="default"/>
          <w:sz w:val="28"/>
          <w:szCs w:val="28"/>
        </w:rPr>
        <w:t xml:space="preserve"> зростання</w:t>
      </w:r>
      <w:r>
        <w:rPr>
          <w:rFonts w:hint="default"/>
          <w:sz w:val="28"/>
          <w:szCs w:val="28"/>
          <w:lang w:val="uk-UA"/>
        </w:rPr>
        <w:t xml:space="preserve"> за кар’єрними сходами</w:t>
      </w:r>
      <w:r>
        <w:rPr>
          <w:rFonts w:hint="default"/>
          <w:sz w:val="28"/>
          <w:szCs w:val="28"/>
        </w:rPr>
        <w:t xml:space="preserve"> </w:t>
      </w:r>
      <w:r>
        <w:rPr>
          <w:rFonts w:hint="default"/>
          <w:sz w:val="28"/>
          <w:szCs w:val="28"/>
          <w:lang w:val="uk-UA"/>
        </w:rPr>
        <w:t>(</w:t>
      </w:r>
      <w:r>
        <w:rPr>
          <w:rFonts w:hint="default"/>
          <w:sz w:val="28"/>
          <w:szCs w:val="28"/>
        </w:rPr>
        <w:t xml:space="preserve">від </w:t>
      </w:r>
      <w:r>
        <w:rPr>
          <w:rFonts w:hint="default"/>
          <w:sz w:val="28"/>
          <w:szCs w:val="28"/>
          <w:lang w:val="uk-UA"/>
        </w:rPr>
        <w:t xml:space="preserve">звичайного </w:t>
      </w:r>
      <w:r>
        <w:rPr>
          <w:rFonts w:hint="default"/>
          <w:sz w:val="28"/>
          <w:szCs w:val="28"/>
        </w:rPr>
        <w:t>стажера до керівника департаменту</w:t>
      </w:r>
      <w:r>
        <w:rPr>
          <w:rFonts w:hint="default"/>
          <w:sz w:val="28"/>
          <w:szCs w:val="28"/>
          <w:lang w:val="uk-UA"/>
        </w:rPr>
        <w:t xml:space="preserve"> або, навіть вище).</w:t>
      </w:r>
      <w:r>
        <w:rPr>
          <w:rFonts w:hint="default"/>
          <w:sz w:val="28"/>
          <w:szCs w:val="28"/>
        </w:rPr>
        <w:t xml:space="preserve"> </w:t>
      </w:r>
      <w:r>
        <w:rPr>
          <w:rFonts w:hint="default"/>
          <w:sz w:val="28"/>
          <w:szCs w:val="28"/>
          <w:lang w:val="uk-UA"/>
        </w:rPr>
        <w:t>Відповідно в</w:t>
      </w:r>
      <w:r>
        <w:rPr>
          <w:rFonts w:hint="default"/>
          <w:sz w:val="28"/>
          <w:szCs w:val="28"/>
        </w:rPr>
        <w:t xml:space="preserve"> компанії </w:t>
      </w:r>
      <w:r>
        <w:rPr>
          <w:rFonts w:hint="default"/>
          <w:sz w:val="28"/>
          <w:szCs w:val="28"/>
          <w:lang w:val="uk-UA"/>
        </w:rPr>
        <w:t xml:space="preserve">щорічно </w:t>
      </w:r>
      <w:r>
        <w:rPr>
          <w:rFonts w:hint="default"/>
          <w:sz w:val="28"/>
          <w:szCs w:val="28"/>
        </w:rPr>
        <w:t xml:space="preserve">проходить </w:t>
      </w:r>
      <w:r>
        <w:rPr>
          <w:rFonts w:hint="default"/>
          <w:sz w:val="28"/>
          <w:szCs w:val="28"/>
          <w:lang w:val="uk-UA"/>
        </w:rPr>
        <w:t>більш ніж</w:t>
      </w:r>
      <w:r>
        <w:rPr>
          <w:rFonts w:hint="default"/>
          <w:sz w:val="28"/>
          <w:szCs w:val="28"/>
        </w:rPr>
        <w:t xml:space="preserve"> 67 тис. </w:t>
      </w:r>
      <w:r>
        <w:rPr>
          <w:rFonts w:hint="default"/>
          <w:sz w:val="28"/>
          <w:szCs w:val="28"/>
          <w:lang w:val="uk-UA"/>
        </w:rPr>
        <w:t>н</w:t>
      </w:r>
      <w:r>
        <w:rPr>
          <w:rFonts w:hint="default"/>
          <w:sz w:val="28"/>
          <w:szCs w:val="28"/>
        </w:rPr>
        <w:t>авчань</w:t>
      </w:r>
      <w:r>
        <w:rPr>
          <w:rFonts w:hint="default"/>
          <w:sz w:val="28"/>
          <w:szCs w:val="28"/>
          <w:lang w:val="uk-UA"/>
        </w:rPr>
        <w:t xml:space="preserve"> як</w:t>
      </w:r>
      <w:r>
        <w:rPr>
          <w:rFonts w:hint="default"/>
          <w:sz w:val="28"/>
          <w:szCs w:val="28"/>
        </w:rPr>
        <w:t xml:space="preserve"> від постачальників</w:t>
      </w:r>
      <w:r>
        <w:rPr>
          <w:rFonts w:hint="default"/>
          <w:sz w:val="28"/>
          <w:szCs w:val="28"/>
          <w:lang w:val="uk-UA"/>
        </w:rPr>
        <w:t xml:space="preserve"> так і від </w:t>
      </w:r>
      <w:r>
        <w:rPr>
          <w:rFonts w:hint="default"/>
          <w:sz w:val="28"/>
          <w:szCs w:val="28"/>
        </w:rPr>
        <w:t xml:space="preserve"> </w:t>
      </w:r>
      <w:r>
        <w:rPr>
          <w:rFonts w:hint="default"/>
          <w:sz w:val="28"/>
          <w:szCs w:val="28"/>
          <w:lang w:val="uk-UA"/>
        </w:rPr>
        <w:t>спеціалістів компанії</w:t>
      </w:r>
      <w:r>
        <w:rPr>
          <w:rFonts w:hint="default"/>
          <w:sz w:val="28"/>
          <w:szCs w:val="28"/>
        </w:rPr>
        <w:t xml:space="preserve">. Пандемія стала </w:t>
      </w:r>
      <w:r>
        <w:rPr>
          <w:rFonts w:hint="default"/>
          <w:sz w:val="28"/>
          <w:szCs w:val="28"/>
          <w:lang w:val="uk-UA"/>
        </w:rPr>
        <w:t>черговим викликом для керівництва підприємства та шансом глибоко впровадити в систему онбордингу</w:t>
      </w:r>
      <w:r>
        <w:rPr>
          <w:rFonts w:hint="default"/>
          <w:sz w:val="28"/>
          <w:szCs w:val="28"/>
        </w:rPr>
        <w:t xml:space="preserve"> цифрові трансформації</w:t>
      </w:r>
      <w:r>
        <w:rPr>
          <w:rFonts w:hint="default"/>
          <w:sz w:val="28"/>
          <w:szCs w:val="28"/>
          <w:lang w:val="uk-UA"/>
        </w:rPr>
        <w:t>, загалом перейшовши до роботи онлайн</w:t>
      </w:r>
      <w:r>
        <w:rPr>
          <w:rFonts w:hint="default"/>
          <w:sz w:val="28"/>
          <w:szCs w:val="28"/>
        </w:rPr>
        <w:t xml:space="preserve">. </w:t>
      </w:r>
      <w:r>
        <w:rPr>
          <w:rFonts w:hint="default"/>
          <w:sz w:val="28"/>
          <w:szCs w:val="28"/>
          <w:lang w:val="uk-UA"/>
        </w:rPr>
        <w:t xml:space="preserve">За відносно кроткий строк був створений механізм </w:t>
      </w:r>
      <w:r>
        <w:rPr>
          <w:rFonts w:hint="default"/>
          <w:sz w:val="28"/>
          <w:szCs w:val="28"/>
        </w:rPr>
        <w:t>онлайн-</w:t>
      </w:r>
      <w:r>
        <w:rPr>
          <w:rFonts w:hint="default"/>
          <w:sz w:val="28"/>
          <w:szCs w:val="28"/>
          <w:lang w:val="uk-UA"/>
        </w:rPr>
        <w:t xml:space="preserve">навчання </w:t>
      </w:r>
      <w:r>
        <w:rPr>
          <w:rFonts w:hint="default"/>
          <w:sz w:val="28"/>
          <w:szCs w:val="28"/>
        </w:rPr>
        <w:t>для н</w:t>
      </w:r>
      <w:r>
        <w:rPr>
          <w:rFonts w:hint="default"/>
          <w:sz w:val="28"/>
          <w:szCs w:val="28"/>
          <w:lang w:val="uk-UA"/>
        </w:rPr>
        <w:t xml:space="preserve">ових </w:t>
      </w:r>
      <w:r>
        <w:rPr>
          <w:rFonts w:hint="default"/>
          <w:sz w:val="28"/>
          <w:szCs w:val="28"/>
        </w:rPr>
        <w:t xml:space="preserve">співробітників </w:t>
      </w:r>
      <w:r>
        <w:rPr>
          <w:rFonts w:hint="default"/>
          <w:sz w:val="28"/>
          <w:szCs w:val="28"/>
          <w:lang w:val="uk-UA"/>
        </w:rPr>
        <w:t>(</w:t>
      </w:r>
      <w:r>
        <w:rPr>
          <w:rFonts w:hint="default"/>
          <w:sz w:val="28"/>
          <w:szCs w:val="28"/>
        </w:rPr>
        <w:t>PowerPoint,</w:t>
      </w:r>
      <w:r>
        <w:rPr>
          <w:rFonts w:hint="default"/>
          <w:sz w:val="28"/>
          <w:szCs w:val="28"/>
          <w:lang w:val="uk-UA"/>
        </w:rPr>
        <w:t xml:space="preserve"> </w:t>
      </w:r>
      <w:r>
        <w:rPr>
          <w:rFonts w:hint="default"/>
          <w:sz w:val="28"/>
          <w:szCs w:val="28"/>
        </w:rPr>
        <w:t>Excel, 5P,  курс</w:t>
      </w:r>
      <w:r>
        <w:rPr>
          <w:rFonts w:hint="default"/>
          <w:sz w:val="28"/>
          <w:szCs w:val="28"/>
          <w:lang w:val="uk-UA"/>
        </w:rPr>
        <w:t>и</w:t>
      </w:r>
      <w:r>
        <w:rPr>
          <w:rFonts w:hint="default"/>
          <w:sz w:val="28"/>
          <w:szCs w:val="28"/>
        </w:rPr>
        <w:t xml:space="preserve"> для </w:t>
      </w:r>
      <w:r>
        <w:rPr>
          <w:rFonts w:hint="default"/>
          <w:sz w:val="28"/>
          <w:szCs w:val="28"/>
          <w:lang w:val="uk-UA"/>
        </w:rPr>
        <w:t xml:space="preserve">служби </w:t>
      </w:r>
      <w:r>
        <w:rPr>
          <w:rFonts w:hint="default"/>
          <w:sz w:val="28"/>
          <w:szCs w:val="28"/>
          <w:lang w:val="en-US"/>
        </w:rPr>
        <w:t xml:space="preserve">HR, </w:t>
      </w:r>
      <w:r>
        <w:rPr>
          <w:rFonts w:hint="default"/>
          <w:sz w:val="28"/>
          <w:szCs w:val="28"/>
        </w:rPr>
        <w:t>спеціалістів HoReCa,</w:t>
      </w:r>
      <w:r>
        <w:rPr>
          <w:rFonts w:hint="default"/>
          <w:sz w:val="28"/>
          <w:szCs w:val="28"/>
          <w:lang w:val="en-US"/>
        </w:rPr>
        <w:t xml:space="preserve"> </w:t>
      </w:r>
      <w:r>
        <w:rPr>
          <w:rFonts w:hint="default"/>
          <w:sz w:val="28"/>
          <w:szCs w:val="28"/>
        </w:rPr>
        <w:t>керівників</w:t>
      </w:r>
      <w:r>
        <w:rPr>
          <w:rFonts w:hint="default"/>
          <w:sz w:val="28"/>
          <w:szCs w:val="28"/>
          <w:lang w:val="en-US"/>
        </w:rPr>
        <w:t xml:space="preserve">, </w:t>
      </w:r>
      <w:r>
        <w:rPr>
          <w:rFonts w:hint="default"/>
          <w:sz w:val="28"/>
          <w:szCs w:val="28"/>
        </w:rPr>
        <w:t>категорійних менеджерів</w:t>
      </w:r>
      <w:r>
        <w:rPr>
          <w:rFonts w:hint="default"/>
          <w:sz w:val="28"/>
          <w:szCs w:val="28"/>
          <w:lang w:val="en-US"/>
        </w:rPr>
        <w:t xml:space="preserve">) [18]. </w:t>
      </w:r>
    </w:p>
    <w:p>
      <w:pPr>
        <w:spacing w:line="360" w:lineRule="auto"/>
        <w:ind w:left="18" w:leftChars="0" w:firstLine="702" w:firstLineChars="0"/>
        <w:jc w:val="both"/>
        <w:rPr>
          <w:rFonts w:hint="default"/>
          <w:sz w:val="28"/>
          <w:szCs w:val="28"/>
          <w:lang w:val="uk-UA"/>
        </w:rPr>
      </w:pPr>
      <w:r>
        <w:rPr>
          <w:rFonts w:hint="default"/>
          <w:sz w:val="28"/>
          <w:szCs w:val="28"/>
          <w:lang w:val="uk-UA"/>
        </w:rPr>
        <w:t xml:space="preserve">Отже основні рівні прояву процесу онбордингу можна побачити в таблиці 2.1. </w:t>
      </w:r>
    </w:p>
    <w:p>
      <w:pPr>
        <w:spacing w:line="360" w:lineRule="auto"/>
        <w:ind w:left="18" w:leftChars="0" w:firstLine="702" w:firstLineChars="0"/>
        <w:jc w:val="both"/>
        <w:rPr>
          <w:rFonts w:hint="default"/>
          <w:sz w:val="28"/>
          <w:szCs w:val="28"/>
          <w:lang w:val="en-US"/>
        </w:rPr>
      </w:pPr>
      <w:r>
        <w:rPr>
          <w:rFonts w:hint="default"/>
          <w:sz w:val="28"/>
          <w:szCs w:val="28"/>
          <w:lang w:val="uk-UA"/>
        </w:rPr>
        <w:t>Таблиця 2.1 – Рівні прояву онбордингу персоналу на підприємстві ТОВ “Епіцентр К”</w:t>
      </w:r>
      <w:r>
        <w:rPr>
          <w:rFonts w:hint="default"/>
          <w:sz w:val="28"/>
          <w:szCs w:val="28"/>
          <w:lang w:val="en-US"/>
        </w:rPr>
        <w:t xml:space="preserve"> [18]</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2"/>
        <w:gridCol w:w="1599"/>
        <w:gridCol w:w="1200"/>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2"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Назва критерію</w:t>
            </w:r>
          </w:p>
        </w:tc>
        <w:tc>
          <w:tcPr>
            <w:tcW w:w="1599"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Можливі рівні прояву</w:t>
            </w:r>
          </w:p>
        </w:tc>
        <w:tc>
          <w:tcPr>
            <w:tcW w:w="1200"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Рівень прояву</w:t>
            </w:r>
          </w:p>
        </w:tc>
        <w:tc>
          <w:tcPr>
            <w:tcW w:w="4077"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Опис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2"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Наявність спеціаліста, що займається процесом онбордингу</w:t>
            </w:r>
          </w:p>
        </w:tc>
        <w:tc>
          <w:tcPr>
            <w:tcW w:w="1599"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від 1 до 4</w:t>
            </w:r>
          </w:p>
        </w:tc>
        <w:tc>
          <w:tcPr>
            <w:tcW w:w="12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4</w:t>
            </w:r>
          </w:p>
        </w:tc>
        <w:tc>
          <w:tcPr>
            <w:tcW w:w="407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 xml:space="preserve">В </w:t>
            </w:r>
            <w:r>
              <w:rPr>
                <w:rFonts w:hint="default"/>
                <w:sz w:val="24"/>
                <w:szCs w:val="24"/>
                <w:vertAlign w:val="baseline"/>
                <w:lang w:val="en-US"/>
              </w:rPr>
              <w:t>HR-</w:t>
            </w:r>
            <w:r>
              <w:rPr>
                <w:rFonts w:hint="default"/>
                <w:sz w:val="24"/>
                <w:szCs w:val="24"/>
                <w:vertAlign w:val="baseline"/>
                <w:lang w:val="uk-UA"/>
              </w:rPr>
              <w:t>відділі є вповноважена особа, в обов’язки якої входить онбординг прийнятиї співробітників.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2"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Наявність необхідної документації</w:t>
            </w:r>
          </w:p>
        </w:tc>
        <w:tc>
          <w:tcPr>
            <w:tcW w:w="1599"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від 1 до 3</w:t>
            </w:r>
          </w:p>
        </w:tc>
        <w:tc>
          <w:tcPr>
            <w:tcW w:w="12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w:t>
            </w:r>
          </w:p>
        </w:tc>
        <w:tc>
          <w:tcPr>
            <w:tcW w:w="407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На підприємстві існує діюче Положення про онбординг персоналу.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2"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Наявність ефективної програми онбордингу</w:t>
            </w:r>
          </w:p>
        </w:tc>
        <w:tc>
          <w:tcPr>
            <w:tcW w:w="1599"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від 1 до 3</w:t>
            </w:r>
          </w:p>
        </w:tc>
        <w:tc>
          <w:tcPr>
            <w:tcW w:w="12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w:t>
            </w:r>
          </w:p>
        </w:tc>
        <w:tc>
          <w:tcPr>
            <w:tcW w:w="407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На підприємстві існує самостійна програма онбордингу, яка складається з детального перечню адаптаційних заходів та методів з вказанням строків та відповідальності за їх реалізацію.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2"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Диференціація програми онбордингу за категоріями персоналу</w:t>
            </w:r>
          </w:p>
        </w:tc>
        <w:tc>
          <w:tcPr>
            <w:tcW w:w="1599"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від 1 до 3</w:t>
            </w:r>
          </w:p>
        </w:tc>
        <w:tc>
          <w:tcPr>
            <w:tcW w:w="12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w:t>
            </w:r>
          </w:p>
        </w:tc>
        <w:tc>
          <w:tcPr>
            <w:tcW w:w="407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Зміст програми онбордингу диференціюється зсередини за категоріями персоналу: керівники, спеціалісти, технічні виконавці.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2"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Наявність інформаційно-довідкової системи про організацію, її корпоративні цінності, політику в сфері управління персоналом</w:t>
            </w:r>
          </w:p>
        </w:tc>
        <w:tc>
          <w:tcPr>
            <w:tcW w:w="1599"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від 1 до 3</w:t>
            </w:r>
          </w:p>
        </w:tc>
        <w:tc>
          <w:tcPr>
            <w:tcW w:w="12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w:t>
            </w:r>
          </w:p>
        </w:tc>
        <w:tc>
          <w:tcPr>
            <w:tcW w:w="407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Наявна посадова інструкція, положення про відділи, правила внутрішнього трудового розпорядку, корпоративна книга, корпоративний сайт, корпоративний мобільний додаток.</w:t>
            </w:r>
          </w:p>
        </w:tc>
      </w:tr>
    </w:tbl>
    <w:p/>
    <w:p/>
    <w:p/>
    <w:p>
      <w:pPr>
        <w:ind w:left="0" w:leftChars="0" w:firstLine="719" w:firstLineChars="257"/>
        <w:rPr>
          <w:rFonts w:hint="default"/>
          <w:sz w:val="28"/>
          <w:szCs w:val="28"/>
          <w:lang w:val="uk-UA"/>
        </w:rPr>
      </w:pPr>
      <w:r>
        <w:rPr>
          <w:sz w:val="28"/>
          <w:szCs w:val="28"/>
          <w:lang w:val="uk-UA"/>
        </w:rPr>
        <w:t>Продовження</w:t>
      </w:r>
      <w:r>
        <w:rPr>
          <w:rFonts w:hint="default"/>
          <w:sz w:val="28"/>
          <w:szCs w:val="28"/>
          <w:lang w:val="uk-UA"/>
        </w:rPr>
        <w:t xml:space="preserve"> таблиці 2.1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2"/>
        <w:gridCol w:w="1599"/>
        <w:gridCol w:w="1200"/>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2"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Бюджетні витрати на онбординг</w:t>
            </w:r>
          </w:p>
        </w:tc>
        <w:tc>
          <w:tcPr>
            <w:tcW w:w="1599"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від 1 до 3</w:t>
            </w:r>
          </w:p>
        </w:tc>
        <w:tc>
          <w:tcPr>
            <w:tcW w:w="12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w:t>
            </w:r>
          </w:p>
        </w:tc>
        <w:tc>
          <w:tcPr>
            <w:tcW w:w="407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На підприємстві кожного місяця виділяється фінансування на онбординг персоналу.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2"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Наявність системи наставництва</w:t>
            </w:r>
          </w:p>
        </w:tc>
        <w:tc>
          <w:tcPr>
            <w:tcW w:w="1599"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від 1 до 3</w:t>
            </w:r>
          </w:p>
        </w:tc>
        <w:tc>
          <w:tcPr>
            <w:tcW w:w="12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w:t>
            </w:r>
          </w:p>
        </w:tc>
        <w:tc>
          <w:tcPr>
            <w:tcW w:w="407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До кожного нового працівника прикріпляється наставник.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2"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Адаптаційні заходи, які проводяться</w:t>
            </w:r>
          </w:p>
        </w:tc>
        <w:tc>
          <w:tcPr>
            <w:tcW w:w="1599"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від 1 до 3</w:t>
            </w:r>
          </w:p>
        </w:tc>
        <w:tc>
          <w:tcPr>
            <w:tcW w:w="12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w:t>
            </w:r>
          </w:p>
        </w:tc>
        <w:tc>
          <w:tcPr>
            <w:tcW w:w="407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Проводиться ввідний інструктаж, ознайомлення з посадовою інструкцією, політикою компанії, програмою онбордингу, проводиться віртуальна екскурсія по підприємтсву, навчання на онлайн-платформі</w:t>
            </w:r>
          </w:p>
        </w:tc>
      </w:tr>
    </w:tbl>
    <w:p>
      <w:pPr>
        <w:spacing w:line="360" w:lineRule="auto"/>
        <w:ind w:left="18" w:leftChars="0" w:firstLine="702" w:firstLineChars="0"/>
        <w:jc w:val="both"/>
        <w:rPr>
          <w:rFonts w:hint="default"/>
          <w:sz w:val="28"/>
          <w:szCs w:val="28"/>
          <w:lang w:val="uk-UA"/>
        </w:rPr>
      </w:pPr>
    </w:p>
    <w:p>
      <w:pPr>
        <w:spacing w:line="360" w:lineRule="auto"/>
        <w:ind w:left="18" w:leftChars="0" w:firstLine="702" w:firstLineChars="0"/>
        <w:jc w:val="both"/>
        <w:rPr>
          <w:rFonts w:hint="default"/>
          <w:sz w:val="28"/>
          <w:szCs w:val="28"/>
          <w:lang w:val="uk-UA"/>
        </w:rPr>
      </w:pPr>
      <w:r>
        <w:rPr>
          <w:rFonts w:hint="default"/>
          <w:sz w:val="28"/>
          <w:szCs w:val="28"/>
          <w:lang w:val="uk-UA"/>
        </w:rPr>
        <w:t>Переведення критеріїв оцінки рівня прояву елементів онбордингу буде проводитися за таблицею 2.2.</w:t>
      </w:r>
    </w:p>
    <w:p>
      <w:pPr>
        <w:spacing w:line="360" w:lineRule="auto"/>
        <w:ind w:left="18" w:leftChars="0" w:firstLine="702" w:firstLineChars="0"/>
        <w:jc w:val="both"/>
        <w:rPr>
          <w:rFonts w:hint="default"/>
          <w:sz w:val="28"/>
          <w:szCs w:val="28"/>
          <w:lang w:val="en-US"/>
        </w:rPr>
      </w:pPr>
      <w:r>
        <w:rPr>
          <w:rFonts w:hint="default"/>
          <w:sz w:val="28"/>
          <w:szCs w:val="28"/>
          <w:lang w:val="uk-UA"/>
        </w:rPr>
        <w:t>Таблиця 2.2 – Переведення рівня прояву критерію в бали</w:t>
      </w:r>
      <w:r>
        <w:rPr>
          <w:rFonts w:hint="default"/>
          <w:sz w:val="28"/>
          <w:szCs w:val="28"/>
          <w:lang w:val="en-US"/>
        </w:rPr>
        <w:t xml:space="preserve"> [4]</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7"/>
        <w:gridCol w:w="1707"/>
        <w:gridCol w:w="1787"/>
        <w:gridCol w:w="1093"/>
        <w:gridCol w:w="1107"/>
        <w:gridCol w:w="1080"/>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7" w:type="dxa"/>
            <w:vMerge w:val="restart"/>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Назва критерію</w:t>
            </w:r>
          </w:p>
        </w:tc>
        <w:tc>
          <w:tcPr>
            <w:tcW w:w="1707" w:type="dxa"/>
            <w:vMerge w:val="restart"/>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Значимість критерію, %</w:t>
            </w:r>
          </w:p>
        </w:tc>
        <w:tc>
          <w:tcPr>
            <w:tcW w:w="1787" w:type="dxa"/>
            <w:vMerge w:val="restart"/>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Максимальна кількість балів</w:t>
            </w:r>
          </w:p>
        </w:tc>
        <w:tc>
          <w:tcPr>
            <w:tcW w:w="4080" w:type="dxa"/>
            <w:gridSpan w:val="4"/>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Шкала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7" w:type="dxa"/>
            <w:vMerge w:val="continue"/>
            <w:vAlign w:val="center"/>
          </w:tcPr>
          <w:p>
            <w:pPr>
              <w:widowControl w:val="0"/>
              <w:spacing w:line="360" w:lineRule="auto"/>
              <w:jc w:val="center"/>
              <w:rPr>
                <w:rFonts w:hint="default"/>
                <w:b/>
                <w:bCs/>
                <w:sz w:val="24"/>
                <w:szCs w:val="24"/>
                <w:vertAlign w:val="baseline"/>
                <w:lang w:val="uk-UA"/>
              </w:rPr>
            </w:pPr>
          </w:p>
        </w:tc>
        <w:tc>
          <w:tcPr>
            <w:tcW w:w="1707" w:type="dxa"/>
            <w:vMerge w:val="continue"/>
            <w:vAlign w:val="center"/>
          </w:tcPr>
          <w:p>
            <w:pPr>
              <w:widowControl w:val="0"/>
              <w:spacing w:line="360" w:lineRule="auto"/>
              <w:jc w:val="center"/>
              <w:rPr>
                <w:rFonts w:hint="default"/>
                <w:b/>
                <w:bCs/>
                <w:sz w:val="24"/>
                <w:szCs w:val="24"/>
                <w:vertAlign w:val="baseline"/>
                <w:lang w:val="uk-UA"/>
              </w:rPr>
            </w:pPr>
          </w:p>
        </w:tc>
        <w:tc>
          <w:tcPr>
            <w:tcW w:w="1787" w:type="dxa"/>
            <w:vMerge w:val="continue"/>
            <w:vAlign w:val="center"/>
          </w:tcPr>
          <w:p>
            <w:pPr>
              <w:widowControl w:val="0"/>
              <w:spacing w:line="360" w:lineRule="auto"/>
              <w:jc w:val="center"/>
              <w:rPr>
                <w:rFonts w:hint="default"/>
                <w:b/>
                <w:bCs/>
                <w:sz w:val="24"/>
                <w:szCs w:val="24"/>
                <w:vertAlign w:val="baseline"/>
                <w:lang w:val="uk-UA"/>
              </w:rPr>
            </w:pPr>
          </w:p>
        </w:tc>
        <w:tc>
          <w:tcPr>
            <w:tcW w:w="1093"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1</w:t>
            </w:r>
          </w:p>
        </w:tc>
        <w:tc>
          <w:tcPr>
            <w:tcW w:w="1107"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2</w:t>
            </w:r>
          </w:p>
        </w:tc>
        <w:tc>
          <w:tcPr>
            <w:tcW w:w="1080"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3</w:t>
            </w:r>
          </w:p>
        </w:tc>
        <w:tc>
          <w:tcPr>
            <w:tcW w:w="800"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97"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Наявність спеціаліста, що займається процесом онбордингу</w:t>
            </w:r>
          </w:p>
        </w:tc>
        <w:tc>
          <w:tcPr>
            <w:tcW w:w="170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12,7</w:t>
            </w:r>
          </w:p>
        </w:tc>
        <w:tc>
          <w:tcPr>
            <w:tcW w:w="178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127</w:t>
            </w:r>
          </w:p>
        </w:tc>
        <w:tc>
          <w:tcPr>
            <w:tcW w:w="1093"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0</w:t>
            </w:r>
          </w:p>
        </w:tc>
        <w:tc>
          <w:tcPr>
            <w:tcW w:w="110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39</w:t>
            </w:r>
          </w:p>
        </w:tc>
        <w:tc>
          <w:tcPr>
            <w:tcW w:w="10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79,5</w:t>
            </w:r>
          </w:p>
        </w:tc>
        <w:tc>
          <w:tcPr>
            <w:tcW w:w="800"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7"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Наявність необхідної документації</w:t>
            </w:r>
          </w:p>
        </w:tc>
        <w:tc>
          <w:tcPr>
            <w:tcW w:w="170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13,3</w:t>
            </w:r>
          </w:p>
        </w:tc>
        <w:tc>
          <w:tcPr>
            <w:tcW w:w="178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133</w:t>
            </w:r>
          </w:p>
        </w:tc>
        <w:tc>
          <w:tcPr>
            <w:tcW w:w="1093"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0</w:t>
            </w:r>
          </w:p>
        </w:tc>
        <w:tc>
          <w:tcPr>
            <w:tcW w:w="110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65</w:t>
            </w:r>
          </w:p>
        </w:tc>
        <w:tc>
          <w:tcPr>
            <w:tcW w:w="1080"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133</w:t>
            </w:r>
          </w:p>
        </w:tc>
        <w:tc>
          <w:tcPr>
            <w:tcW w:w="800" w:type="dxa"/>
            <w:vAlign w:val="center"/>
          </w:tcPr>
          <w:p>
            <w:pPr>
              <w:widowControl w:val="0"/>
              <w:spacing w:line="360" w:lineRule="auto"/>
              <w:jc w:val="center"/>
              <w:rPr>
                <w:rFonts w:hint="default"/>
                <w:sz w:val="24"/>
                <w:szCs w:val="24"/>
                <w:vertAlign w:val="baseline"/>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7"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Наявність ефективної програми онбордингу</w:t>
            </w:r>
          </w:p>
        </w:tc>
        <w:tc>
          <w:tcPr>
            <w:tcW w:w="170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13,3</w:t>
            </w:r>
          </w:p>
        </w:tc>
        <w:tc>
          <w:tcPr>
            <w:tcW w:w="178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133</w:t>
            </w:r>
          </w:p>
        </w:tc>
        <w:tc>
          <w:tcPr>
            <w:tcW w:w="1093"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0</w:t>
            </w:r>
          </w:p>
        </w:tc>
        <w:tc>
          <w:tcPr>
            <w:tcW w:w="1107"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63,7</w:t>
            </w:r>
          </w:p>
        </w:tc>
        <w:tc>
          <w:tcPr>
            <w:tcW w:w="1080"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133</w:t>
            </w:r>
          </w:p>
        </w:tc>
        <w:tc>
          <w:tcPr>
            <w:tcW w:w="800" w:type="dxa"/>
            <w:vAlign w:val="center"/>
          </w:tcPr>
          <w:p>
            <w:pPr>
              <w:widowControl w:val="0"/>
              <w:spacing w:line="360" w:lineRule="auto"/>
              <w:jc w:val="center"/>
              <w:rPr>
                <w:rFonts w:hint="default"/>
                <w:sz w:val="24"/>
                <w:szCs w:val="24"/>
                <w:vertAlign w:val="baseline"/>
                <w:lang w:val="uk-UA"/>
              </w:rPr>
            </w:pPr>
          </w:p>
        </w:tc>
      </w:tr>
    </w:tbl>
    <w:p>
      <w:pPr>
        <w:ind w:left="0" w:leftChars="0" w:firstLine="616" w:firstLineChars="257"/>
        <w:rPr>
          <w:sz w:val="24"/>
          <w:szCs w:val="24"/>
          <w:lang w:val="uk-UA"/>
        </w:rPr>
      </w:pPr>
    </w:p>
    <w:p>
      <w:pPr>
        <w:ind w:left="0" w:leftChars="0" w:firstLine="616" w:firstLineChars="257"/>
        <w:rPr>
          <w:sz w:val="24"/>
          <w:szCs w:val="24"/>
          <w:lang w:val="uk-UA"/>
        </w:rPr>
      </w:pPr>
    </w:p>
    <w:p>
      <w:pPr>
        <w:ind w:left="0" w:leftChars="0" w:firstLine="616" w:firstLineChars="257"/>
        <w:rPr>
          <w:sz w:val="24"/>
          <w:szCs w:val="24"/>
          <w:lang w:val="uk-UA"/>
        </w:rPr>
      </w:pPr>
    </w:p>
    <w:p>
      <w:pPr>
        <w:ind w:left="0" w:leftChars="0" w:firstLine="616" w:firstLineChars="257"/>
        <w:rPr>
          <w:rFonts w:hint="default"/>
          <w:sz w:val="24"/>
          <w:szCs w:val="24"/>
          <w:lang w:val="uk-UA"/>
        </w:rPr>
      </w:pPr>
      <w:r>
        <w:rPr>
          <w:sz w:val="24"/>
          <w:szCs w:val="24"/>
          <w:lang w:val="uk-UA"/>
        </w:rPr>
        <w:t>Продовження</w:t>
      </w:r>
      <w:r>
        <w:rPr>
          <w:rFonts w:hint="default"/>
          <w:sz w:val="24"/>
          <w:szCs w:val="24"/>
          <w:lang w:val="uk-UA"/>
        </w:rPr>
        <w:t xml:space="preserve"> таблиці 2.2</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1680"/>
        <w:gridCol w:w="1800"/>
        <w:gridCol w:w="1080"/>
        <w:gridCol w:w="1120"/>
        <w:gridCol w:w="1066"/>
        <w:gridCol w:w="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Диференціація програми онбордингу за категоріями персоналу</w:t>
            </w:r>
          </w:p>
        </w:tc>
        <w:tc>
          <w:tcPr>
            <w:tcW w:w="16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13,3</w:t>
            </w:r>
          </w:p>
        </w:tc>
        <w:tc>
          <w:tcPr>
            <w:tcW w:w="18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133</w:t>
            </w:r>
          </w:p>
        </w:tc>
        <w:tc>
          <w:tcPr>
            <w:tcW w:w="10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37,5</w:t>
            </w:r>
          </w:p>
        </w:tc>
        <w:tc>
          <w:tcPr>
            <w:tcW w:w="112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82,5</w:t>
            </w:r>
          </w:p>
        </w:tc>
        <w:tc>
          <w:tcPr>
            <w:tcW w:w="1066"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133</w:t>
            </w:r>
          </w:p>
        </w:tc>
        <w:tc>
          <w:tcPr>
            <w:tcW w:w="814" w:type="dxa"/>
            <w:vAlign w:val="center"/>
          </w:tcPr>
          <w:p>
            <w:pPr>
              <w:widowControl w:val="0"/>
              <w:spacing w:line="360" w:lineRule="auto"/>
              <w:jc w:val="center"/>
              <w:rPr>
                <w:rFonts w:hint="default"/>
                <w:sz w:val="24"/>
                <w:szCs w:val="24"/>
                <w:vertAlign w:val="baseline"/>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Наявність інформаційно-довідкової системи про організацію, її корпоративні цінності, політику в сфері управління персоналом</w:t>
            </w:r>
          </w:p>
        </w:tc>
        <w:tc>
          <w:tcPr>
            <w:tcW w:w="16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11</w:t>
            </w:r>
          </w:p>
        </w:tc>
        <w:tc>
          <w:tcPr>
            <w:tcW w:w="18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111</w:t>
            </w:r>
          </w:p>
        </w:tc>
        <w:tc>
          <w:tcPr>
            <w:tcW w:w="10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34</w:t>
            </w:r>
          </w:p>
        </w:tc>
        <w:tc>
          <w:tcPr>
            <w:tcW w:w="112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70</w:t>
            </w:r>
          </w:p>
        </w:tc>
        <w:tc>
          <w:tcPr>
            <w:tcW w:w="1066"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111</w:t>
            </w:r>
          </w:p>
        </w:tc>
        <w:tc>
          <w:tcPr>
            <w:tcW w:w="814" w:type="dxa"/>
            <w:vAlign w:val="center"/>
          </w:tcPr>
          <w:p>
            <w:pPr>
              <w:widowControl w:val="0"/>
              <w:spacing w:line="360" w:lineRule="auto"/>
              <w:jc w:val="center"/>
              <w:rPr>
                <w:rFonts w:hint="default"/>
                <w:sz w:val="24"/>
                <w:szCs w:val="24"/>
                <w:vertAlign w:val="baseline"/>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Бюджетні витрати на онбординг</w:t>
            </w:r>
          </w:p>
        </w:tc>
        <w:tc>
          <w:tcPr>
            <w:tcW w:w="16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7,5</w:t>
            </w:r>
          </w:p>
        </w:tc>
        <w:tc>
          <w:tcPr>
            <w:tcW w:w="18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75</w:t>
            </w:r>
          </w:p>
        </w:tc>
        <w:tc>
          <w:tcPr>
            <w:tcW w:w="10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0</w:t>
            </w:r>
          </w:p>
        </w:tc>
        <w:tc>
          <w:tcPr>
            <w:tcW w:w="112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36,5</w:t>
            </w:r>
          </w:p>
        </w:tc>
        <w:tc>
          <w:tcPr>
            <w:tcW w:w="1066"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75</w:t>
            </w:r>
          </w:p>
        </w:tc>
        <w:tc>
          <w:tcPr>
            <w:tcW w:w="814" w:type="dxa"/>
            <w:vAlign w:val="center"/>
          </w:tcPr>
          <w:p>
            <w:pPr>
              <w:widowControl w:val="0"/>
              <w:spacing w:line="360" w:lineRule="auto"/>
              <w:jc w:val="center"/>
              <w:rPr>
                <w:rFonts w:hint="default"/>
                <w:sz w:val="24"/>
                <w:szCs w:val="24"/>
                <w:vertAlign w:val="baseline"/>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Наявність системи наставництва</w:t>
            </w:r>
          </w:p>
        </w:tc>
        <w:tc>
          <w:tcPr>
            <w:tcW w:w="16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11,9</w:t>
            </w:r>
          </w:p>
        </w:tc>
        <w:tc>
          <w:tcPr>
            <w:tcW w:w="18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119</w:t>
            </w:r>
          </w:p>
        </w:tc>
        <w:tc>
          <w:tcPr>
            <w:tcW w:w="10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0</w:t>
            </w:r>
          </w:p>
        </w:tc>
        <w:tc>
          <w:tcPr>
            <w:tcW w:w="112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57,6</w:t>
            </w:r>
          </w:p>
        </w:tc>
        <w:tc>
          <w:tcPr>
            <w:tcW w:w="1066"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119</w:t>
            </w:r>
          </w:p>
        </w:tc>
        <w:tc>
          <w:tcPr>
            <w:tcW w:w="814" w:type="dxa"/>
            <w:vAlign w:val="center"/>
          </w:tcPr>
          <w:p>
            <w:pPr>
              <w:widowControl w:val="0"/>
              <w:spacing w:line="360" w:lineRule="auto"/>
              <w:jc w:val="center"/>
              <w:rPr>
                <w:rFonts w:hint="default"/>
                <w:sz w:val="24"/>
                <w:szCs w:val="24"/>
                <w:vertAlign w:val="baseline"/>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Адаптаційні заходи, які проводяться</w:t>
            </w:r>
          </w:p>
        </w:tc>
        <w:tc>
          <w:tcPr>
            <w:tcW w:w="16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16,9</w:t>
            </w:r>
          </w:p>
        </w:tc>
        <w:tc>
          <w:tcPr>
            <w:tcW w:w="18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169</w:t>
            </w:r>
          </w:p>
        </w:tc>
        <w:tc>
          <w:tcPr>
            <w:tcW w:w="10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53</w:t>
            </w:r>
          </w:p>
        </w:tc>
        <w:tc>
          <w:tcPr>
            <w:tcW w:w="112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105</w:t>
            </w:r>
          </w:p>
        </w:tc>
        <w:tc>
          <w:tcPr>
            <w:tcW w:w="1066" w:type="dxa"/>
            <w:vAlign w:val="center"/>
          </w:tcPr>
          <w:p>
            <w:pPr>
              <w:widowControl w:val="0"/>
              <w:spacing w:line="360" w:lineRule="auto"/>
              <w:jc w:val="center"/>
              <w:rPr>
                <w:rFonts w:hint="default"/>
                <w:sz w:val="24"/>
                <w:szCs w:val="24"/>
                <w:vertAlign w:val="baseline"/>
                <w:lang w:val="uk-UA"/>
              </w:rPr>
            </w:pPr>
            <w:r>
              <w:rPr>
                <w:rFonts w:hint="default"/>
                <w:b/>
                <w:bCs/>
                <w:sz w:val="24"/>
                <w:szCs w:val="24"/>
                <w:vertAlign w:val="baseline"/>
                <w:lang w:val="uk-UA"/>
              </w:rPr>
              <w:t>169</w:t>
            </w:r>
          </w:p>
        </w:tc>
        <w:tc>
          <w:tcPr>
            <w:tcW w:w="814" w:type="dxa"/>
            <w:vAlign w:val="center"/>
          </w:tcPr>
          <w:p>
            <w:pPr>
              <w:widowControl w:val="0"/>
              <w:spacing w:line="360" w:lineRule="auto"/>
              <w:jc w:val="center"/>
              <w:rPr>
                <w:rFonts w:hint="default"/>
                <w:sz w:val="24"/>
                <w:szCs w:val="24"/>
                <w:vertAlign w:val="baseline"/>
                <w:lang w:val="uk-U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Сума балів</w:t>
            </w:r>
          </w:p>
        </w:tc>
        <w:tc>
          <w:tcPr>
            <w:tcW w:w="168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100,0</w:t>
            </w:r>
          </w:p>
        </w:tc>
        <w:tc>
          <w:tcPr>
            <w:tcW w:w="1800" w:type="dxa"/>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1000</w:t>
            </w:r>
          </w:p>
        </w:tc>
        <w:tc>
          <w:tcPr>
            <w:tcW w:w="4080" w:type="dxa"/>
            <w:gridSpan w:val="4"/>
            <w:vAlign w:val="center"/>
          </w:tcPr>
          <w:p>
            <w:pPr>
              <w:widowControl w:val="0"/>
              <w:spacing w:line="360" w:lineRule="auto"/>
              <w:jc w:val="center"/>
              <w:rPr>
                <w:rFonts w:hint="default"/>
                <w:sz w:val="24"/>
                <w:szCs w:val="24"/>
                <w:vertAlign w:val="baseline"/>
                <w:lang w:val="uk-UA"/>
              </w:rPr>
            </w:pPr>
            <w:r>
              <w:rPr>
                <w:rFonts w:hint="default"/>
                <w:sz w:val="24"/>
                <w:szCs w:val="24"/>
                <w:vertAlign w:val="baseline"/>
                <w:lang w:val="uk-UA"/>
              </w:rPr>
              <w:t>1000=100%</w:t>
            </w:r>
          </w:p>
        </w:tc>
      </w:tr>
    </w:tbl>
    <w:p>
      <w:pPr>
        <w:spacing w:line="360" w:lineRule="auto"/>
        <w:ind w:left="18" w:leftChars="0" w:firstLine="702" w:firstLineChars="0"/>
        <w:jc w:val="both"/>
        <w:rPr>
          <w:rFonts w:hint="default"/>
          <w:sz w:val="28"/>
          <w:szCs w:val="28"/>
          <w:lang w:val="uk-UA"/>
        </w:rPr>
      </w:pP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Отже, можемо зробити висновок, що підприємство ТОВ “Епіцентр К” має добре сформовану, ефективну та комплексну систему онбордингу. Функція адаптації закріплена і виконується HR-службою або фахівцем з адаптації. На підприємстві регулярно виділяють кошти на адаптацію персоналу. Інститут наставництва розвинений. За всіма критеріями “Епіцентр К” отримало найвищу кількість балів.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Результатами ефективної системи онбордингу має стати підвищення ефективності виробництва, зріст доходів підприємтсва тощо. Саме тому важливим буде дослідити фінансові звітності “Епіцентр К”. Оскільки підприємтсво не надало звітності за 2022 рік, в роботі будуть використовуватися звітності за 2019–2021 роки задля відслідковування тенденції змін ефективності. Загальні техніко-кокномічні показники підприємтсва можна побачити в таблиці 2.3.</w:t>
      </w:r>
    </w:p>
    <w:p>
      <w:pPr>
        <w:spacing w:line="360" w:lineRule="auto"/>
        <w:ind w:left="18" w:leftChars="0" w:firstLine="702" w:firstLineChars="0"/>
        <w:jc w:val="both"/>
        <w:rPr>
          <w:rFonts w:hint="default"/>
          <w:color w:val="000000"/>
          <w:sz w:val="28"/>
          <w:szCs w:val="28"/>
          <w:lang w:val="en-US"/>
        </w:rPr>
      </w:pPr>
      <w:r>
        <w:rPr>
          <w:rFonts w:hint="default"/>
          <w:color w:val="000000"/>
          <w:sz w:val="28"/>
          <w:szCs w:val="28"/>
          <w:lang w:val="uk-UA"/>
        </w:rPr>
        <w:t>Таблиця 2.3 – Загальні техніко-кокномічні показники підприємтсва ТОВ “Епіцентр К” за 2019–2021 роки</w:t>
      </w:r>
      <w:r>
        <w:rPr>
          <w:rFonts w:hint="default"/>
          <w:color w:val="000000"/>
          <w:sz w:val="28"/>
          <w:szCs w:val="28"/>
          <w:lang w:val="en-US"/>
        </w:rPr>
        <w:t xml:space="preserve"> [18]</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1252"/>
        <w:gridCol w:w="1114"/>
        <w:gridCol w:w="1200"/>
        <w:gridCol w:w="1251"/>
        <w:gridCol w:w="1132"/>
        <w:gridCol w:w="977"/>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Merge w:val="restart"/>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Назва показника</w:t>
            </w:r>
          </w:p>
        </w:tc>
        <w:tc>
          <w:tcPr>
            <w:tcW w:w="3566" w:type="dxa"/>
            <w:gridSpan w:val="3"/>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Роки</w:t>
            </w:r>
          </w:p>
        </w:tc>
        <w:tc>
          <w:tcPr>
            <w:tcW w:w="2383" w:type="dxa"/>
            <w:gridSpan w:val="2"/>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Абсолютне відхилення</w:t>
            </w:r>
          </w:p>
        </w:tc>
        <w:tc>
          <w:tcPr>
            <w:tcW w:w="1857" w:type="dxa"/>
            <w:gridSpan w:val="2"/>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Відносне відхилення,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Merge w:val="continue"/>
            <w:vAlign w:val="center"/>
          </w:tcPr>
          <w:p>
            <w:pPr>
              <w:widowControl w:val="0"/>
              <w:spacing w:line="360" w:lineRule="auto"/>
              <w:jc w:val="center"/>
              <w:rPr>
                <w:rFonts w:hint="default"/>
                <w:b/>
                <w:bCs/>
                <w:color w:val="000000"/>
                <w:sz w:val="24"/>
                <w:szCs w:val="24"/>
                <w:vertAlign w:val="baseline"/>
                <w:lang w:val="uk-UA"/>
              </w:rPr>
            </w:pPr>
          </w:p>
        </w:tc>
        <w:tc>
          <w:tcPr>
            <w:tcW w:w="1252"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2019</w:t>
            </w:r>
          </w:p>
        </w:tc>
        <w:tc>
          <w:tcPr>
            <w:tcW w:w="1114"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2020</w:t>
            </w:r>
          </w:p>
        </w:tc>
        <w:tc>
          <w:tcPr>
            <w:tcW w:w="1200"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2021</w:t>
            </w:r>
          </w:p>
        </w:tc>
        <w:tc>
          <w:tcPr>
            <w:tcW w:w="1251"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2020–2019</w:t>
            </w:r>
          </w:p>
        </w:tc>
        <w:tc>
          <w:tcPr>
            <w:tcW w:w="1132"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2021–2020</w:t>
            </w:r>
          </w:p>
        </w:tc>
        <w:tc>
          <w:tcPr>
            <w:tcW w:w="977"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2020/2019</w:t>
            </w:r>
          </w:p>
        </w:tc>
        <w:tc>
          <w:tcPr>
            <w:tcW w:w="880"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2021/2020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Власний капітал, тис. грн</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18 111</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15 210</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14 772</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-2 901</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-438</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16,0</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Чистий дохід, тис. грн.</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15 020</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14 407</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22 196</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-613</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7 789</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4,1</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Собівартість реалізованої продукції, тис. грн.</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12 245</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12 760</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18 937</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+515</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+6177</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4,2</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Валовий прибуток, тис. грн.</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2 775</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1 647</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3 259</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-1 128</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1 612</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40,6</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Чистий прибуток/збиток, тис. грн.</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107</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-2 331</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110</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-2 438</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3 441</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2 278,5</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Середньооблікова чисельність працівників, осіб</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570</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657</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704</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+87</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+47</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15,3</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7,2</w:t>
            </w:r>
          </w:p>
        </w:tc>
      </w:tr>
    </w:tbl>
    <w:p>
      <w:pPr>
        <w:ind w:left="0" w:leftChars="0" w:firstLine="719" w:firstLineChars="257"/>
        <w:rPr>
          <w:rFonts w:hint="default"/>
          <w:sz w:val="28"/>
          <w:szCs w:val="28"/>
          <w:lang w:val="uk-UA"/>
        </w:rPr>
      </w:pPr>
      <w:r>
        <w:rPr>
          <w:sz w:val="28"/>
          <w:szCs w:val="28"/>
          <w:lang w:val="uk-UA"/>
        </w:rPr>
        <w:t>Продовження</w:t>
      </w:r>
      <w:r>
        <w:rPr>
          <w:rFonts w:hint="default"/>
          <w:sz w:val="28"/>
          <w:szCs w:val="28"/>
          <w:lang w:val="uk-UA"/>
        </w:rPr>
        <w:t xml:space="preserve"> 2.3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1252"/>
        <w:gridCol w:w="1114"/>
        <w:gridCol w:w="1200"/>
        <w:gridCol w:w="1251"/>
        <w:gridCol w:w="1132"/>
        <w:gridCol w:w="977"/>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Фонд оплати праці, тис. грн</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4 142,0</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4 320,0</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3 578,0</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178,0</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-742</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4,3</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Фондовіддача, грн</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2,6</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2,6</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4,5</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-0,03</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1,98</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1,2</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Середномісячна заробітна плата одного працівника, грн.</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7 191</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7 826,1</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9 618,3</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+635,1</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+1 792,2</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8,8</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Продуктивність праці, тис.грн/особу</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321,9</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313,2</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716,0</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0,3</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402,8</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0,1</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128,6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Рентабельність власного капіталу, %</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0,6</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0,7</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Рентабельність основної діяльності, %</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0,9</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0,6</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5" w:type="dxa"/>
            <w:vAlign w:val="center"/>
          </w:tcPr>
          <w:p>
            <w:pPr>
              <w:widowControl w:val="0"/>
              <w:spacing w:line="360" w:lineRule="auto"/>
              <w:jc w:val="center"/>
              <w:rPr>
                <w:rFonts w:hint="default"/>
                <w:b/>
                <w:bCs/>
                <w:color w:val="000000"/>
                <w:sz w:val="24"/>
                <w:szCs w:val="24"/>
                <w:vertAlign w:val="baseline"/>
                <w:lang w:val="uk-UA"/>
              </w:rPr>
            </w:pPr>
            <w:r>
              <w:rPr>
                <w:rFonts w:hint="default"/>
                <w:b/>
                <w:bCs/>
                <w:color w:val="000000"/>
                <w:sz w:val="24"/>
                <w:szCs w:val="24"/>
                <w:vertAlign w:val="baseline"/>
                <w:lang w:val="uk-UA"/>
              </w:rPr>
              <w:t>Рентабельність підприємства, %</w:t>
            </w:r>
          </w:p>
        </w:tc>
        <w:tc>
          <w:tcPr>
            <w:tcW w:w="125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0,7</w:t>
            </w:r>
          </w:p>
        </w:tc>
        <w:tc>
          <w:tcPr>
            <w:tcW w:w="1114"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120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0,5</w:t>
            </w:r>
          </w:p>
        </w:tc>
        <w:tc>
          <w:tcPr>
            <w:tcW w:w="1251"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1132"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977"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c>
          <w:tcPr>
            <w:tcW w:w="880" w:type="dxa"/>
            <w:vAlign w:val="center"/>
          </w:tcPr>
          <w:p>
            <w:pPr>
              <w:widowControl w:val="0"/>
              <w:spacing w:line="360" w:lineRule="auto"/>
              <w:jc w:val="center"/>
              <w:rPr>
                <w:rFonts w:hint="default"/>
                <w:color w:val="000000"/>
                <w:sz w:val="24"/>
                <w:szCs w:val="24"/>
                <w:vertAlign w:val="baseline"/>
                <w:lang w:val="uk-UA"/>
              </w:rPr>
            </w:pPr>
            <w:r>
              <w:rPr>
                <w:rFonts w:hint="default"/>
                <w:color w:val="000000"/>
                <w:sz w:val="24"/>
                <w:szCs w:val="24"/>
                <w:vertAlign w:val="baseline"/>
                <w:lang w:val="uk-UA"/>
              </w:rPr>
              <w:t>–</w:t>
            </w:r>
          </w:p>
        </w:tc>
      </w:tr>
    </w:tbl>
    <w:p>
      <w:pPr>
        <w:spacing w:line="360" w:lineRule="auto"/>
        <w:ind w:left="18" w:leftChars="0" w:firstLine="702" w:firstLineChars="0"/>
        <w:jc w:val="both"/>
        <w:rPr>
          <w:rFonts w:hint="default"/>
          <w:color w:val="000000"/>
          <w:sz w:val="28"/>
          <w:szCs w:val="28"/>
          <w:lang w:val="uk-UA"/>
        </w:rPr>
      </w:pP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З таблиці 2.3 можна зробити наступні висновки: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чистий дохід ТОВ “Епіцентр К” протягом 2019–2021 років поступово зростав з кожним роком. В 2020 на на 4,1% порівняно з минулим 2019 роком, а в 2021 аж на 54,1 %. Це говорить про позитивну динаміку виручки підприємства та високу конкурентоспроможність.</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динаміка фонду оплати праці є негативною, це може бути спричинено негативним впливом пандемічної кризи на потужності підприємства.</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продуктивність праці, незважаючи на минулий пункт зростала з кожним роком, в 2021 році відбувся великий скачок (на 128,6%).</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загалом прослідковується зниження рентабельності підприємства.</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Підприємству рекомендується приділяти більше уваги до вдосконалення системи використання прибутку задля фінансової безпеки компанії та всього персоналу. Особливо слід звернути увагу на матеріальне забезпечення, стимулювання  та соціальний розвиток кадрів. </w:t>
      </w:r>
    </w:p>
    <w:p>
      <w:pPr>
        <w:spacing w:line="360" w:lineRule="auto"/>
        <w:ind w:left="18" w:leftChars="0" w:firstLine="702" w:firstLineChars="0"/>
        <w:jc w:val="both"/>
        <w:rPr>
          <w:rFonts w:hint="default"/>
          <w:color w:val="000000"/>
          <w:sz w:val="28"/>
          <w:szCs w:val="28"/>
          <w:lang w:val="uk-UA"/>
        </w:rPr>
      </w:pPr>
    </w:p>
    <w:p>
      <w:pPr>
        <w:spacing w:line="360" w:lineRule="auto"/>
        <w:ind w:left="18" w:leftChars="0" w:firstLine="702" w:firstLineChars="0"/>
        <w:jc w:val="both"/>
        <w:rPr>
          <w:b/>
          <w:bCs/>
          <w:sz w:val="28"/>
          <w:szCs w:val="28"/>
        </w:rPr>
      </w:pPr>
      <w:r>
        <w:rPr>
          <w:b/>
          <w:bCs/>
          <w:color w:val="000000"/>
          <w:sz w:val="28"/>
          <w:szCs w:val="28"/>
        </w:rPr>
        <w:t xml:space="preserve">2.2. Аналіз системи онбордингу персоналу на підприємстві </w:t>
      </w:r>
      <w:r>
        <w:rPr>
          <w:b/>
          <w:bCs/>
          <w:sz w:val="28"/>
          <w:szCs w:val="28"/>
        </w:rPr>
        <w:t>ТОВ «ЕПІЦЕНТР К»</w:t>
      </w:r>
      <w:r>
        <w:rPr>
          <w:b/>
          <w:bCs/>
        </w:rPr>
        <w:t xml:space="preserve"> </w:t>
      </w:r>
      <w:r>
        <w:rPr>
          <w:b/>
          <w:bCs/>
          <w:sz w:val="28"/>
          <w:szCs w:val="28"/>
        </w:rPr>
        <w:t>визначення недоліків у процесі її формування</w:t>
      </w:r>
    </w:p>
    <w:p>
      <w:pPr>
        <w:spacing w:line="360" w:lineRule="auto"/>
        <w:ind w:left="18" w:leftChars="0" w:firstLine="702" w:firstLineChars="0"/>
        <w:jc w:val="both"/>
        <w:rPr>
          <w:b/>
          <w:bCs/>
          <w:sz w:val="28"/>
          <w:szCs w:val="28"/>
        </w:rPr>
      </w:pPr>
    </w:p>
    <w:p>
      <w:pPr>
        <w:spacing w:line="360" w:lineRule="auto"/>
        <w:ind w:left="18" w:leftChars="0" w:firstLine="702" w:firstLineChars="0"/>
        <w:jc w:val="both"/>
        <w:rPr>
          <w:rFonts w:hint="default"/>
          <w:b w:val="0"/>
          <w:bCs w:val="0"/>
          <w:sz w:val="28"/>
          <w:szCs w:val="28"/>
          <w:lang w:val="uk-UA"/>
        </w:rPr>
      </w:pPr>
      <w:r>
        <w:rPr>
          <w:rFonts w:hint="default"/>
          <w:b w:val="0"/>
          <w:bCs w:val="0"/>
          <w:sz w:val="28"/>
          <w:szCs w:val="28"/>
          <w:lang w:val="uk-UA"/>
        </w:rPr>
        <w:t>Для того, щоб оцінити ефективність онбордингової системи ТОВ “Епіцентр К” необіхідно розрахувати коефіцієнт адаптивності. Безпосередньо для цього необхідні дані про кількість поданих заявок, кількість прийнятих та звільнених працівників в період адаптації. Відомо, що на підприємстві середній період адаптації триває від 1 до 3 місяців, в залежності від посади та рівня досвіду найнятої людини. Всі необбхідні для розрахунку дані знаходяться в таблиці 2.4.</w:t>
      </w:r>
    </w:p>
    <w:p>
      <w:pPr>
        <w:spacing w:line="360" w:lineRule="auto"/>
        <w:ind w:left="18" w:leftChars="0" w:firstLine="702" w:firstLineChars="0"/>
        <w:jc w:val="both"/>
        <w:rPr>
          <w:rFonts w:hint="default"/>
          <w:b w:val="0"/>
          <w:bCs w:val="0"/>
          <w:sz w:val="28"/>
          <w:szCs w:val="28"/>
          <w:lang w:val="en-US"/>
        </w:rPr>
      </w:pPr>
      <w:r>
        <w:rPr>
          <w:rFonts w:hint="default"/>
          <w:b w:val="0"/>
          <w:bCs w:val="0"/>
          <w:sz w:val="28"/>
          <w:szCs w:val="28"/>
          <w:lang w:val="uk-UA"/>
        </w:rPr>
        <w:t>Таблиця 2.4 – Аналіз руху нових працівників на підприємстві ТОВ “Епіцентр К”</w:t>
      </w:r>
      <w:r>
        <w:rPr>
          <w:rFonts w:hint="default"/>
          <w:b w:val="0"/>
          <w:bCs w:val="0"/>
          <w:sz w:val="28"/>
          <w:szCs w:val="28"/>
          <w:lang w:val="en-US"/>
        </w:rPr>
        <w:t xml:space="preserve"> [18]</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2939"/>
        <w:gridCol w:w="1653"/>
        <w:gridCol w:w="1573"/>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2" w:type="dxa"/>
            <w:gridSpan w:val="2"/>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Назва показника</w:t>
            </w:r>
          </w:p>
        </w:tc>
        <w:tc>
          <w:tcPr>
            <w:tcW w:w="1653"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2019</w:t>
            </w:r>
          </w:p>
        </w:tc>
        <w:tc>
          <w:tcPr>
            <w:tcW w:w="1573"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2020</w:t>
            </w:r>
          </w:p>
        </w:tc>
        <w:tc>
          <w:tcPr>
            <w:tcW w:w="1491"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2" w:type="dxa"/>
            <w:gridSpan w:val="2"/>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Подано заявок, шт.</w:t>
            </w:r>
          </w:p>
        </w:tc>
        <w:tc>
          <w:tcPr>
            <w:tcW w:w="165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457</w:t>
            </w:r>
          </w:p>
        </w:tc>
        <w:tc>
          <w:tcPr>
            <w:tcW w:w="157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262</w:t>
            </w:r>
          </w:p>
        </w:tc>
        <w:tc>
          <w:tcPr>
            <w:tcW w:w="1491"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2" w:type="dxa"/>
            <w:gridSpan w:val="2"/>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Прийнято на роботу, осіб</w:t>
            </w:r>
          </w:p>
        </w:tc>
        <w:tc>
          <w:tcPr>
            <w:tcW w:w="165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364</w:t>
            </w:r>
          </w:p>
        </w:tc>
        <w:tc>
          <w:tcPr>
            <w:tcW w:w="157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184</w:t>
            </w:r>
          </w:p>
        </w:tc>
        <w:tc>
          <w:tcPr>
            <w:tcW w:w="1491"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restart"/>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Звільнено в процесі онбордингу, осіб</w:t>
            </w:r>
          </w:p>
        </w:tc>
        <w:tc>
          <w:tcPr>
            <w:tcW w:w="2939"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За рішенням керівництва</w:t>
            </w:r>
          </w:p>
        </w:tc>
        <w:tc>
          <w:tcPr>
            <w:tcW w:w="165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61</w:t>
            </w:r>
          </w:p>
        </w:tc>
        <w:tc>
          <w:tcPr>
            <w:tcW w:w="157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40</w:t>
            </w:r>
          </w:p>
        </w:tc>
        <w:tc>
          <w:tcPr>
            <w:tcW w:w="1491"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continue"/>
            <w:vAlign w:val="center"/>
          </w:tcPr>
          <w:p>
            <w:pPr>
              <w:widowControl w:val="0"/>
              <w:spacing w:line="360" w:lineRule="auto"/>
              <w:jc w:val="center"/>
              <w:rPr>
                <w:rFonts w:hint="default"/>
                <w:b/>
                <w:bCs/>
                <w:sz w:val="24"/>
                <w:szCs w:val="24"/>
                <w:vertAlign w:val="baseline"/>
                <w:lang w:val="uk-UA"/>
              </w:rPr>
            </w:pPr>
          </w:p>
        </w:tc>
        <w:tc>
          <w:tcPr>
            <w:tcW w:w="2939" w:type="dxa"/>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За власним бажанням</w:t>
            </w:r>
          </w:p>
        </w:tc>
        <w:tc>
          <w:tcPr>
            <w:tcW w:w="165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32</w:t>
            </w:r>
          </w:p>
        </w:tc>
        <w:tc>
          <w:tcPr>
            <w:tcW w:w="157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38</w:t>
            </w:r>
          </w:p>
        </w:tc>
        <w:tc>
          <w:tcPr>
            <w:tcW w:w="1491"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2" w:type="dxa"/>
            <w:gridSpan w:val="2"/>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Всього звільнено, осіб</w:t>
            </w:r>
          </w:p>
        </w:tc>
        <w:tc>
          <w:tcPr>
            <w:tcW w:w="165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93</w:t>
            </w:r>
          </w:p>
        </w:tc>
        <w:tc>
          <w:tcPr>
            <w:tcW w:w="157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78</w:t>
            </w:r>
          </w:p>
        </w:tc>
        <w:tc>
          <w:tcPr>
            <w:tcW w:w="1491"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2" w:type="dxa"/>
            <w:gridSpan w:val="2"/>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Утриманих на робочому місці протягом 3 місяців</w:t>
            </w:r>
          </w:p>
        </w:tc>
        <w:tc>
          <w:tcPr>
            <w:tcW w:w="165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313</w:t>
            </w:r>
          </w:p>
        </w:tc>
        <w:tc>
          <w:tcPr>
            <w:tcW w:w="157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163</w:t>
            </w:r>
          </w:p>
        </w:tc>
        <w:tc>
          <w:tcPr>
            <w:tcW w:w="1491"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52" w:type="dxa"/>
            <w:gridSpan w:val="2"/>
            <w:vAlign w:val="center"/>
          </w:tcPr>
          <w:p>
            <w:pPr>
              <w:widowControl w:val="0"/>
              <w:spacing w:line="360" w:lineRule="auto"/>
              <w:jc w:val="center"/>
              <w:rPr>
                <w:rFonts w:hint="default"/>
                <w:b/>
                <w:bCs/>
                <w:sz w:val="24"/>
                <w:szCs w:val="24"/>
                <w:vertAlign w:val="baseline"/>
                <w:lang w:val="uk-UA"/>
              </w:rPr>
            </w:pPr>
            <w:r>
              <w:rPr>
                <w:rFonts w:hint="default"/>
                <w:b/>
                <w:bCs/>
                <w:sz w:val="24"/>
                <w:szCs w:val="24"/>
                <w:vertAlign w:val="baseline"/>
                <w:lang w:val="uk-UA"/>
              </w:rPr>
              <w:t>Число неминуче звільнених працівників</w:t>
            </w:r>
          </w:p>
        </w:tc>
        <w:tc>
          <w:tcPr>
            <w:tcW w:w="165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34</w:t>
            </w:r>
          </w:p>
        </w:tc>
        <w:tc>
          <w:tcPr>
            <w:tcW w:w="1573"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23</w:t>
            </w:r>
          </w:p>
        </w:tc>
        <w:tc>
          <w:tcPr>
            <w:tcW w:w="1491" w:type="dxa"/>
            <w:vAlign w:val="center"/>
          </w:tcPr>
          <w:p>
            <w:pPr>
              <w:widowControl w:val="0"/>
              <w:spacing w:line="360" w:lineRule="auto"/>
              <w:jc w:val="center"/>
              <w:rPr>
                <w:rFonts w:hint="default"/>
                <w:b w:val="0"/>
                <w:bCs w:val="0"/>
                <w:sz w:val="24"/>
                <w:szCs w:val="24"/>
                <w:vertAlign w:val="baseline"/>
                <w:lang w:val="uk-UA"/>
              </w:rPr>
            </w:pPr>
            <w:r>
              <w:rPr>
                <w:rFonts w:hint="default"/>
                <w:b w:val="0"/>
                <w:bCs w:val="0"/>
                <w:sz w:val="24"/>
                <w:szCs w:val="24"/>
                <w:vertAlign w:val="baseline"/>
                <w:lang w:val="uk-UA"/>
              </w:rPr>
              <w:t>18</w:t>
            </w:r>
          </w:p>
        </w:tc>
      </w:tr>
    </w:tbl>
    <w:p>
      <w:pPr>
        <w:spacing w:beforeLines="0" w:afterLines="0" w:line="360" w:lineRule="auto"/>
        <w:jc w:val="left"/>
        <w:rPr>
          <w:rFonts w:hint="default"/>
          <w:sz w:val="24"/>
          <w:szCs w:val="24"/>
        </w:rPr>
      </w:pP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Для підприємств в умовах пришвидшеного технічного процесу (карантинні обмеження можна віднести якраз до цієї категорії) коефіцієнт адаптації дорівнює різниці між кількістю прийнятих та звільнених працівників за певний проміжок часу:</w:t>
      </w:r>
    </w:p>
    <w:p>
      <w:pPr>
        <w:spacing w:line="360" w:lineRule="auto"/>
        <w:ind w:left="18" w:leftChars="0" w:firstLine="702" w:firstLineChars="0"/>
        <w:jc w:val="both"/>
        <w:rPr>
          <w:rFonts w:hint="default"/>
          <w:color w:val="000000"/>
          <w:sz w:val="28"/>
          <w:szCs w:val="28"/>
          <w:lang w:val="uk-UA"/>
        </w:rPr>
      </w:pPr>
    </w:p>
    <w:p>
      <w:pPr>
        <w:spacing w:line="360" w:lineRule="auto"/>
        <w:jc w:val="right"/>
        <w:rPr>
          <w:rFonts w:hint="default" w:ascii="Times New Roman" w:hAnsi="Cambria Math" w:cs="Times New Roman"/>
          <w:i w:val="0"/>
          <w:color w:val="000000"/>
          <w:sz w:val="28"/>
          <w:szCs w:val="28"/>
          <w:lang w:val="uk-UA" w:eastAsia="ru-RU" w:bidi="ar-SA"/>
        </w:rPr>
      </w:pPr>
      <m:oMath>
        <m:sSub>
          <m:sSubPr>
            <m:ctrlPr>
              <w:rPr>
                <w:rFonts w:hint="default" w:ascii="Cambria Math" w:hAnsi="Cambria Math" w:cs="Times New Roman"/>
                <w:i/>
                <w:iCs/>
                <w:color w:val="000000"/>
                <w:sz w:val="28"/>
                <w:szCs w:val="28"/>
                <w:lang w:val="uk-UA" w:eastAsia="ru-RU" w:bidi="ar-SA"/>
              </w:rPr>
            </m:ctrlPr>
          </m:sSubPr>
          <m:e>
            <m:r>
              <m:rPr/>
              <w:rPr>
                <w:rFonts w:hint="default" w:ascii="Cambria Math" w:hAnsi="Cambria Math" w:cs="Times New Roman"/>
                <w:color w:val="000000"/>
                <w:sz w:val="28"/>
                <w:szCs w:val="28"/>
                <w:lang w:val="uk-UA" w:eastAsia="ru-RU" w:bidi="ar-SA"/>
              </w:rPr>
              <m:t>К</m:t>
            </m:r>
            <m:ctrlPr>
              <w:rPr>
                <w:rFonts w:hint="default" w:ascii="Cambria Math" w:hAnsi="Cambria Math" w:cs="Times New Roman"/>
                <w:i/>
                <w:iCs/>
                <w:color w:val="000000"/>
                <w:sz w:val="28"/>
                <w:szCs w:val="28"/>
                <w:lang w:val="uk-UA" w:eastAsia="ru-RU" w:bidi="ar-SA"/>
              </w:rPr>
            </m:ctrlPr>
          </m:e>
          <m:sub>
            <m:r>
              <m:rPr/>
              <w:rPr>
                <w:rFonts w:hint="default" w:ascii="Cambria Math" w:hAnsi="Cambria Math" w:cs="Times New Roman"/>
                <w:color w:val="000000"/>
                <w:sz w:val="28"/>
                <w:szCs w:val="28"/>
                <w:lang w:val="uk-UA" w:eastAsia="ru-RU" w:bidi="ar-SA"/>
              </w:rPr>
              <m:t>ад</m:t>
            </m:r>
            <m:ctrlPr>
              <w:rPr>
                <w:rFonts w:hint="default" w:ascii="Cambria Math" w:hAnsi="Cambria Math" w:cs="Times New Roman"/>
                <w:i/>
                <w:iCs/>
                <w:color w:val="000000"/>
                <w:sz w:val="28"/>
                <w:szCs w:val="28"/>
                <w:lang w:val="uk-UA" w:eastAsia="ru-RU" w:bidi="ar-SA"/>
              </w:rPr>
            </m:ctrlPr>
          </m:sub>
        </m:sSub>
        <m:r>
          <m:rPr/>
          <w:rPr>
            <w:rFonts w:hint="default" w:ascii="Cambria Math" w:hAnsi="Cambria Math" w:cs="Times New Roman"/>
            <w:color w:val="000000"/>
            <w:sz w:val="28"/>
            <w:szCs w:val="28"/>
            <w:lang w:val="uk-UA" w:eastAsia="ru-RU" w:bidi="ar-SA"/>
          </w:rPr>
          <m:t>=</m:t>
        </m:r>
        <m:sSub>
          <m:sSubPr>
            <m:ctrlPr>
              <w:rPr>
                <w:rFonts w:hint="default" w:ascii="Cambria Math" w:hAnsi="Cambria Math" w:cs="Times New Roman"/>
                <w:i/>
                <w:iCs/>
                <w:color w:val="000000"/>
                <w:sz w:val="28"/>
                <w:szCs w:val="28"/>
                <w:lang w:val="uk-UA" w:eastAsia="ru-RU" w:bidi="ar-SA"/>
              </w:rPr>
            </m:ctrlPr>
          </m:sSubPr>
          <m:e>
            <m:r>
              <m:rPr/>
              <w:rPr>
                <w:rFonts w:hint="default" w:ascii="Cambria Math" w:hAnsi="Cambria Math" w:cs="Times New Roman"/>
                <w:color w:val="000000"/>
                <w:sz w:val="28"/>
                <w:szCs w:val="28"/>
                <w:lang w:val="uk-UA" w:eastAsia="ru-RU" w:bidi="ar-SA"/>
              </w:rPr>
              <m:t>Ч</m:t>
            </m:r>
            <m:ctrlPr>
              <w:rPr>
                <w:rFonts w:hint="default" w:ascii="Cambria Math" w:hAnsi="Cambria Math" w:cs="Times New Roman"/>
                <w:i/>
                <w:iCs/>
                <w:color w:val="000000"/>
                <w:sz w:val="28"/>
                <w:szCs w:val="28"/>
                <w:lang w:val="uk-UA" w:eastAsia="ru-RU" w:bidi="ar-SA"/>
              </w:rPr>
            </m:ctrlPr>
          </m:e>
          <m:sub>
            <m:r>
              <m:rPr/>
              <w:rPr>
                <w:rFonts w:hint="default" w:ascii="Cambria Math" w:hAnsi="Cambria Math" w:cs="Times New Roman"/>
                <w:color w:val="000000"/>
                <w:sz w:val="28"/>
                <w:szCs w:val="28"/>
                <w:lang w:val="uk-UA" w:eastAsia="ru-RU" w:bidi="ar-SA"/>
              </w:rPr>
              <m:t>п</m:t>
            </m:r>
            <m:ctrlPr>
              <w:rPr>
                <w:rFonts w:hint="default" w:ascii="Cambria Math" w:hAnsi="Cambria Math" w:cs="Times New Roman"/>
                <w:i/>
                <w:iCs/>
                <w:color w:val="000000"/>
                <w:sz w:val="28"/>
                <w:szCs w:val="28"/>
                <w:lang w:val="uk-UA" w:eastAsia="ru-RU" w:bidi="ar-SA"/>
              </w:rPr>
            </m:ctrlPr>
          </m:sub>
        </m:sSub>
        <m:r>
          <m:rPr/>
          <w:rPr>
            <w:rFonts w:hint="default" w:ascii="Cambria Math" w:hAnsi="Cambria Math" w:cs="Times New Roman"/>
            <w:color w:val="000000"/>
            <w:sz w:val="28"/>
            <w:szCs w:val="28"/>
            <w:lang w:val="uk-UA" w:eastAsia="ru-RU" w:bidi="ar-SA"/>
          </w:rPr>
          <m:t>−</m:t>
        </m:r>
        <m:sSub>
          <m:sSubPr>
            <m:ctrlPr>
              <w:rPr>
                <w:rFonts w:hint="default" w:ascii="Cambria Math" w:hAnsi="Cambria Math" w:cs="Times New Roman"/>
                <w:i/>
                <w:iCs/>
                <w:color w:val="000000"/>
                <w:sz w:val="28"/>
                <w:szCs w:val="28"/>
                <w:lang w:val="uk-UA" w:eastAsia="ru-RU" w:bidi="ar-SA"/>
              </w:rPr>
            </m:ctrlPr>
          </m:sSubPr>
          <m:e>
            <m:r>
              <m:rPr/>
              <w:rPr>
                <w:rFonts w:hint="default" w:ascii="Cambria Math" w:hAnsi="Cambria Math" w:cs="Times New Roman"/>
                <w:color w:val="000000"/>
                <w:sz w:val="28"/>
                <w:szCs w:val="28"/>
                <w:lang w:val="uk-UA" w:eastAsia="ru-RU" w:bidi="ar-SA"/>
              </w:rPr>
              <m:t>Ч</m:t>
            </m:r>
            <m:ctrlPr>
              <w:rPr>
                <w:rFonts w:hint="default" w:ascii="Cambria Math" w:hAnsi="Cambria Math" w:cs="Times New Roman"/>
                <w:i/>
                <w:iCs/>
                <w:color w:val="000000"/>
                <w:sz w:val="28"/>
                <w:szCs w:val="28"/>
                <w:lang w:val="uk-UA" w:eastAsia="ru-RU" w:bidi="ar-SA"/>
              </w:rPr>
            </m:ctrlPr>
          </m:e>
          <m:sub>
            <m:r>
              <m:rPr/>
              <w:rPr>
                <w:rFonts w:hint="default" w:ascii="Cambria Math" w:hAnsi="Cambria Math" w:cs="Times New Roman"/>
                <w:color w:val="000000"/>
                <w:sz w:val="28"/>
                <w:szCs w:val="28"/>
                <w:lang w:val="uk-UA" w:eastAsia="ru-RU" w:bidi="ar-SA"/>
              </w:rPr>
              <m:t>з</m:t>
            </m:r>
            <m:ctrlPr>
              <w:rPr>
                <w:rFonts w:hint="default" w:ascii="Cambria Math" w:hAnsi="Cambria Math" w:cs="Times New Roman"/>
                <w:i/>
                <w:iCs/>
                <w:color w:val="000000"/>
                <w:sz w:val="28"/>
                <w:szCs w:val="28"/>
                <w:lang w:val="uk-UA" w:eastAsia="ru-RU" w:bidi="ar-SA"/>
              </w:rPr>
            </m:ctrlPr>
          </m:sub>
        </m:sSub>
        <m:r>
          <m:rPr/>
          <w:rPr>
            <w:rFonts w:hint="default" w:ascii="Cambria Math" w:hAnsi="Cambria Math" w:cs="Times New Roman"/>
            <w:color w:val="000000"/>
            <w:sz w:val="28"/>
            <w:szCs w:val="28"/>
            <w:lang w:val="en-US" w:eastAsia="ru-RU" w:bidi="ar-SA"/>
          </w:rPr>
          <m:t xml:space="preserve">                                                      2.1</m:t>
        </m:r>
      </m:oMath>
      <w:r>
        <w:rPr>
          <w:rFonts w:hint="default" w:ascii="Times New Roman" w:hAnsi="Cambria Math" w:cs="Times New Roman"/>
          <w:i/>
          <w:iCs/>
          <w:color w:val="000000"/>
          <w:sz w:val="28"/>
          <w:szCs w:val="28"/>
          <w:lang w:val="uk-UA" w:eastAsia="ru-RU" w:bidi="ar-SA"/>
        </w:rPr>
        <w:t>,</w:t>
      </w:r>
    </w:p>
    <w:p>
      <w:pPr>
        <w:spacing w:line="360" w:lineRule="auto"/>
        <w:jc w:val="center"/>
        <w:rPr>
          <w:rFonts w:hint="default" w:ascii="Times New Roman" w:hAnsi="Cambria Math" w:cs="Times New Roman"/>
          <w:i w:val="0"/>
          <w:color w:val="000000"/>
          <w:sz w:val="28"/>
          <w:szCs w:val="28"/>
          <w:lang w:val="uk-UA" w:eastAsia="ru-RU" w:bidi="ar-SA"/>
        </w:rPr>
      </w:pPr>
    </w:p>
    <w:p>
      <w:pPr>
        <w:spacing w:line="360" w:lineRule="auto"/>
        <w:jc w:val="both"/>
        <w:rPr>
          <w:rFonts w:hint="default" w:ascii="Times New Roman" w:hAnsi="Cambria Math" w:cs="Times New Roman"/>
          <w:i w:val="0"/>
          <w:color w:val="000000"/>
          <w:sz w:val="28"/>
          <w:szCs w:val="28"/>
          <w:vertAlign w:val="baseline"/>
          <w:lang w:val="uk-UA" w:eastAsia="ru-RU" w:bidi="ar-SA"/>
        </w:rPr>
      </w:pPr>
      <w:r>
        <w:rPr>
          <w:rFonts w:hint="default" w:ascii="Times New Roman" w:hAnsi="Cambria Math" w:cs="Times New Roman"/>
          <w:i w:val="0"/>
          <w:color w:val="000000"/>
          <w:sz w:val="28"/>
          <w:szCs w:val="28"/>
          <w:lang w:val="uk-UA" w:eastAsia="ru-RU" w:bidi="ar-SA"/>
        </w:rPr>
        <w:t xml:space="preserve">де </w:t>
      </w:r>
      <w:r>
        <w:rPr>
          <w:rFonts w:hint="default" w:ascii="Times New Roman" w:hAnsi="Cambria Math" w:cs="Times New Roman"/>
          <w:i/>
          <w:iCs/>
          <w:color w:val="000000"/>
          <w:sz w:val="28"/>
          <w:szCs w:val="28"/>
          <w:lang w:val="uk-UA" w:eastAsia="ru-RU" w:bidi="ar-SA"/>
        </w:rPr>
        <w:t>Ч</w:t>
      </w:r>
      <w:r>
        <w:rPr>
          <w:rFonts w:hint="default" w:ascii="Times New Roman" w:hAnsi="Cambria Math" w:cs="Times New Roman"/>
          <w:i/>
          <w:iCs/>
          <w:color w:val="000000"/>
          <w:sz w:val="28"/>
          <w:szCs w:val="28"/>
          <w:vertAlign w:val="subscript"/>
          <w:lang w:val="uk-UA" w:eastAsia="ru-RU" w:bidi="ar-SA"/>
        </w:rPr>
        <w:t>п</w:t>
      </w:r>
      <w:r>
        <w:rPr>
          <w:rFonts w:hint="default" w:ascii="Times New Roman" w:hAnsi="Cambria Math" w:cs="Times New Roman"/>
          <w:i w:val="0"/>
          <w:color w:val="000000"/>
          <w:sz w:val="28"/>
          <w:szCs w:val="28"/>
          <w:vertAlign w:val="subscript"/>
          <w:lang w:val="uk-UA" w:eastAsia="ru-RU" w:bidi="ar-SA"/>
        </w:rPr>
        <w:t xml:space="preserve"> </w:t>
      </w:r>
      <w:r>
        <w:rPr>
          <w:rFonts w:hint="default" w:ascii="Times New Roman" w:hAnsi="Cambria Math" w:cs="Times New Roman"/>
          <w:i w:val="0"/>
          <w:color w:val="000000"/>
          <w:sz w:val="28"/>
          <w:szCs w:val="28"/>
          <w:vertAlign w:val="baseline"/>
          <w:lang w:val="uk-UA" w:eastAsia="ru-RU" w:bidi="ar-SA"/>
        </w:rPr>
        <w:t>– кількість прийнятих кадрів;</w:t>
      </w:r>
    </w:p>
    <w:p>
      <w:pPr>
        <w:spacing w:line="360" w:lineRule="auto"/>
        <w:jc w:val="both"/>
        <w:rPr>
          <w:rFonts w:hint="default" w:ascii="Times New Roman" w:hAnsi="Cambria Math" w:cs="Times New Roman"/>
          <w:i w:val="0"/>
          <w:color w:val="000000"/>
          <w:sz w:val="28"/>
          <w:szCs w:val="28"/>
          <w:vertAlign w:val="baseline"/>
          <w:lang w:val="uk-UA" w:eastAsia="ru-RU" w:bidi="ar-SA"/>
        </w:rPr>
      </w:pPr>
      <w:r>
        <w:rPr>
          <w:rFonts w:hint="default" w:ascii="Times New Roman" w:hAnsi="Cambria Math" w:cs="Times New Roman"/>
          <w:i/>
          <w:iCs/>
          <w:color w:val="000000"/>
          <w:sz w:val="28"/>
          <w:szCs w:val="28"/>
          <w:vertAlign w:val="baseline"/>
          <w:lang w:val="uk-UA" w:eastAsia="ru-RU" w:bidi="ar-SA"/>
        </w:rPr>
        <w:t>Ч</w:t>
      </w:r>
      <w:r>
        <w:rPr>
          <w:rFonts w:hint="default" w:ascii="Times New Roman" w:hAnsi="Cambria Math" w:cs="Times New Roman"/>
          <w:i/>
          <w:iCs/>
          <w:color w:val="000000"/>
          <w:sz w:val="28"/>
          <w:szCs w:val="28"/>
          <w:vertAlign w:val="subscript"/>
          <w:lang w:val="uk-UA" w:eastAsia="ru-RU" w:bidi="ar-SA"/>
        </w:rPr>
        <w:t>з</w:t>
      </w:r>
      <w:r>
        <w:rPr>
          <w:rFonts w:hint="default" w:ascii="Times New Roman" w:hAnsi="Cambria Math" w:cs="Times New Roman"/>
          <w:i w:val="0"/>
          <w:color w:val="000000"/>
          <w:sz w:val="28"/>
          <w:szCs w:val="28"/>
          <w:vertAlign w:val="subscript"/>
          <w:lang w:val="uk-UA" w:eastAsia="ru-RU" w:bidi="ar-SA"/>
        </w:rPr>
        <w:t xml:space="preserve"> </w:t>
      </w:r>
      <w:r>
        <w:rPr>
          <w:rFonts w:hint="default" w:ascii="Times New Roman" w:hAnsi="Cambria Math" w:cs="Times New Roman"/>
          <w:i w:val="0"/>
          <w:color w:val="000000"/>
          <w:sz w:val="28"/>
          <w:szCs w:val="28"/>
          <w:vertAlign w:val="baseline"/>
          <w:lang w:val="uk-UA" w:eastAsia="ru-RU" w:bidi="ar-SA"/>
        </w:rPr>
        <w:t>– кількість звільнених кадрів</w:t>
      </w:r>
      <w:r>
        <w:rPr>
          <w:rFonts w:hint="default" w:hAnsi="Cambria Math" w:cs="Times New Roman"/>
          <w:i w:val="0"/>
          <w:color w:val="000000"/>
          <w:sz w:val="28"/>
          <w:szCs w:val="28"/>
          <w:vertAlign w:val="baseline"/>
          <w:lang w:val="uk-UA" w:eastAsia="ru-RU" w:bidi="ar-SA"/>
        </w:rPr>
        <w:t>.</w:t>
      </w:r>
    </w:p>
    <w:p>
      <w:pPr>
        <w:spacing w:line="360" w:lineRule="auto"/>
        <w:ind w:left="18" w:leftChars="0" w:firstLine="702" w:firstLineChars="0"/>
        <w:jc w:val="both"/>
        <w:rPr>
          <w:rFonts w:hint="default"/>
          <w:color w:val="000000"/>
          <w:sz w:val="28"/>
          <w:szCs w:val="28"/>
          <w:lang w:val="uk-UA"/>
        </w:rPr>
      </w:pPr>
    </w:p>
    <w:p>
      <w:pPr>
        <w:numPr>
          <w:ilvl w:val="0"/>
          <w:numId w:val="0"/>
        </w:numPr>
        <w:spacing w:after="0" w:line="360" w:lineRule="auto"/>
        <w:ind w:left="0" w:leftChars="0" w:firstLine="719" w:firstLineChars="257"/>
        <w:jc w:val="both"/>
        <w:rPr>
          <w:rFonts w:hint="default"/>
          <w:sz w:val="28"/>
          <w:szCs w:val="28"/>
          <w:lang w:val="uk-UA"/>
        </w:rPr>
      </w:pPr>
      <w:r>
        <w:rPr>
          <w:rFonts w:hint="default"/>
          <w:color w:val="000000"/>
          <w:sz w:val="28"/>
          <w:szCs w:val="28"/>
          <w:lang w:val="uk-UA"/>
        </w:rPr>
        <w:t>Далі необхідно розрахувати коефіцієнт утримання нових співробітників:</w:t>
      </w:r>
    </w:p>
    <w:p>
      <w:pPr>
        <w:spacing w:line="360" w:lineRule="auto"/>
        <w:jc w:val="center"/>
        <w:rPr>
          <w:rFonts w:hint="default" w:hAnsi="Cambria Math"/>
          <w:i w:val="0"/>
          <w:color w:val="000000"/>
          <w:sz w:val="28"/>
          <w:szCs w:val="28"/>
          <w:lang w:val="en-US"/>
        </w:rPr>
      </w:pPr>
      <m:oMathPara>
        <m:oMathParaPr>
          <m:jc m:val="right"/>
        </m:oMathParaPr>
        <m:oMath>
          <m:sSub>
            <m:sSubPr>
              <m:ctrlPr>
                <w:rPr>
                  <w:rFonts w:ascii="Cambria Math" w:hAnsi="Cambria Math"/>
                  <w:i/>
                  <w:color w:val="000000"/>
                  <w:sz w:val="28"/>
                  <w:szCs w:val="28"/>
                  <w:lang w:val="uk-UA"/>
                </w:rPr>
              </m:ctrlPr>
            </m:sSubPr>
            <m:e>
              <m:r>
                <m:rPr/>
                <w:rPr>
                  <w:rFonts w:hint="default" w:ascii="Cambria Math" w:hAnsi="Cambria Math"/>
                  <w:color w:val="000000"/>
                  <w:sz w:val="28"/>
                  <w:szCs w:val="28"/>
                  <w:lang w:val="uk-UA"/>
                </w:rPr>
                <m:t>К</m:t>
              </m:r>
              <m:ctrlPr>
                <w:rPr>
                  <w:rFonts w:ascii="Cambria Math" w:hAnsi="Cambria Math"/>
                  <w:i/>
                  <w:color w:val="000000"/>
                  <w:sz w:val="28"/>
                  <w:szCs w:val="28"/>
                  <w:lang w:val="uk-UA"/>
                </w:rPr>
              </m:ctrlPr>
            </m:e>
            <m:sub>
              <m:r>
                <m:rPr/>
                <w:rPr>
                  <w:rFonts w:hint="default" w:ascii="Cambria Math" w:hAnsi="Cambria Math"/>
                  <w:color w:val="000000"/>
                  <w:sz w:val="28"/>
                  <w:szCs w:val="28"/>
                  <w:lang w:val="uk-UA"/>
                </w:rPr>
                <m:t>ут</m:t>
              </m:r>
              <m:ctrlPr>
                <w:rPr>
                  <w:rFonts w:ascii="Cambria Math" w:hAnsi="Cambria Math"/>
                  <w:i/>
                  <w:color w:val="000000"/>
                  <w:sz w:val="28"/>
                  <w:szCs w:val="28"/>
                  <w:lang w:val="uk-UA"/>
                </w:rPr>
              </m:ctrlPr>
            </m:sub>
          </m:sSub>
          <m:r>
            <m:rPr/>
            <w:rPr>
              <w:rFonts w:hint="default" w:ascii="Cambria Math" w:hAnsi="Cambria Math"/>
              <w:color w:val="000000"/>
              <w:sz w:val="28"/>
              <w:szCs w:val="28"/>
              <w:lang w:val="uk-UA"/>
            </w:rPr>
            <m:t>=</m:t>
          </m:r>
          <m:f>
            <m:fPr>
              <m:ctrlPr>
                <w:rPr>
                  <w:rFonts w:hint="default" w:ascii="Cambria Math" w:hAnsi="Cambria Math"/>
                  <w:i/>
                  <w:color w:val="000000"/>
                  <w:sz w:val="28"/>
                  <w:szCs w:val="28"/>
                  <w:lang w:val="uk-UA"/>
                </w:rPr>
              </m:ctrlPr>
            </m:fPr>
            <m:num>
              <m:sSub>
                <m:sSubPr>
                  <m:ctrlPr>
                    <w:rPr>
                      <w:rFonts w:hint="default" w:ascii="Cambria Math" w:hAnsi="Cambria Math"/>
                      <w:i/>
                      <w:color w:val="000000"/>
                      <w:sz w:val="28"/>
                      <w:szCs w:val="28"/>
                      <w:lang w:val="uk-UA"/>
                    </w:rPr>
                  </m:ctrlPr>
                </m:sSubPr>
                <m:e>
                  <m:r>
                    <m:rPr/>
                    <w:rPr>
                      <w:rFonts w:hint="default" w:ascii="Cambria Math" w:hAnsi="Cambria Math"/>
                      <w:color w:val="000000"/>
                      <w:sz w:val="28"/>
                      <w:szCs w:val="28"/>
                      <w:lang w:val="uk-UA"/>
                    </w:rPr>
                    <m:t>Ч</m:t>
                  </m:r>
                  <m:ctrlPr>
                    <w:rPr>
                      <w:rFonts w:hint="default" w:ascii="Cambria Math" w:hAnsi="Cambria Math"/>
                      <w:i/>
                      <w:color w:val="000000"/>
                      <w:sz w:val="28"/>
                      <w:szCs w:val="28"/>
                      <w:lang w:val="uk-UA"/>
                    </w:rPr>
                  </m:ctrlPr>
                </m:e>
                <m:sub>
                  <m:r>
                    <m:rPr/>
                    <w:rPr>
                      <w:rFonts w:hint="default" w:ascii="Cambria Math" w:hAnsi="Cambria Math"/>
                      <w:color w:val="000000"/>
                      <w:sz w:val="28"/>
                      <w:szCs w:val="28"/>
                      <w:lang w:val="uk-UA"/>
                    </w:rPr>
                    <m:t>ут</m:t>
                  </m:r>
                  <m:ctrlPr>
                    <w:rPr>
                      <w:rFonts w:hint="default" w:ascii="Cambria Math" w:hAnsi="Cambria Math"/>
                      <w:i/>
                      <w:color w:val="000000"/>
                      <w:sz w:val="28"/>
                      <w:szCs w:val="28"/>
                      <w:lang w:val="uk-UA"/>
                    </w:rPr>
                  </m:ctrlPr>
                </m:sub>
              </m:sSub>
              <m:ctrlPr>
                <w:rPr>
                  <w:rFonts w:hint="default" w:ascii="Cambria Math" w:hAnsi="Cambria Math"/>
                  <w:i/>
                  <w:color w:val="000000"/>
                  <w:sz w:val="28"/>
                  <w:szCs w:val="28"/>
                  <w:lang w:val="uk-UA"/>
                </w:rPr>
              </m:ctrlPr>
            </m:num>
            <m:den>
              <m:sSub>
                <m:sSubPr>
                  <m:ctrlPr>
                    <w:rPr>
                      <w:rFonts w:hint="default" w:ascii="Cambria Math" w:hAnsi="Cambria Math"/>
                      <w:i/>
                      <w:color w:val="000000"/>
                      <w:sz w:val="28"/>
                      <w:szCs w:val="28"/>
                      <w:lang w:val="uk-UA"/>
                    </w:rPr>
                  </m:ctrlPr>
                </m:sSubPr>
                <m:e>
                  <m:r>
                    <m:rPr/>
                    <w:rPr>
                      <w:rFonts w:hint="default" w:ascii="Cambria Math" w:hAnsi="Cambria Math"/>
                      <w:color w:val="000000"/>
                      <w:sz w:val="28"/>
                      <w:szCs w:val="28"/>
                      <w:lang w:val="uk-UA"/>
                    </w:rPr>
                    <m:t>Ч</m:t>
                  </m:r>
                  <m:ctrlPr>
                    <w:rPr>
                      <w:rFonts w:hint="default" w:ascii="Cambria Math" w:hAnsi="Cambria Math"/>
                      <w:i/>
                      <w:color w:val="000000"/>
                      <w:sz w:val="28"/>
                      <w:szCs w:val="28"/>
                      <w:lang w:val="uk-UA"/>
                    </w:rPr>
                  </m:ctrlPr>
                </m:e>
                <m:sub>
                  <m:r>
                    <m:rPr/>
                    <w:rPr>
                      <w:rFonts w:hint="default" w:ascii="Cambria Math" w:hAnsi="Cambria Math"/>
                      <w:color w:val="000000"/>
                      <w:sz w:val="28"/>
                      <w:szCs w:val="28"/>
                      <w:lang w:val="uk-UA"/>
                    </w:rPr>
                    <m:t>п</m:t>
                  </m:r>
                  <m:ctrlPr>
                    <w:rPr>
                      <w:rFonts w:hint="default" w:ascii="Cambria Math" w:hAnsi="Cambria Math"/>
                      <w:i/>
                      <w:color w:val="000000"/>
                      <w:sz w:val="28"/>
                      <w:szCs w:val="28"/>
                      <w:lang w:val="uk-UA"/>
                    </w:rPr>
                  </m:ctrlPr>
                </m:sub>
              </m:sSub>
              <m:ctrlPr>
                <w:rPr>
                  <w:rFonts w:hint="default" w:ascii="Cambria Math" w:hAnsi="Cambria Math"/>
                  <w:i/>
                  <w:color w:val="000000"/>
                  <w:sz w:val="28"/>
                  <w:szCs w:val="28"/>
                  <w:lang w:val="uk-UA"/>
                </w:rPr>
              </m:ctrlPr>
            </m:den>
          </m:f>
          <m:r>
            <m:rPr/>
            <w:rPr>
              <w:rFonts w:hint="default" w:ascii="Cambria Math" w:hAnsi="Cambria Math"/>
              <w:color w:val="000000"/>
              <w:sz w:val="28"/>
              <w:szCs w:val="28"/>
              <w:lang w:val="uk-UA"/>
            </w:rPr>
            <m:t>,</m:t>
          </m:r>
          <m:r>
            <m:rPr/>
            <w:rPr>
              <w:rFonts w:hint="default" w:ascii="Cambria Math" w:hAnsi="Cambria Math"/>
              <w:color w:val="000000"/>
              <w:sz w:val="28"/>
              <w:szCs w:val="28"/>
              <w:lang w:val="en-US"/>
            </w:rPr>
            <m:t xml:space="preserve">                                                            2.2</m:t>
          </m:r>
        </m:oMath>
      </m:oMathPara>
    </w:p>
    <w:p>
      <w:pPr>
        <w:spacing w:line="360" w:lineRule="auto"/>
        <w:jc w:val="center"/>
        <w:rPr>
          <w:rFonts w:hint="default" w:hAnsi="Cambria Math"/>
          <w:i w:val="0"/>
          <w:color w:val="000000"/>
          <w:sz w:val="28"/>
          <w:szCs w:val="28"/>
          <w:lang w:val="uk-UA"/>
        </w:rPr>
      </w:pPr>
    </w:p>
    <w:p>
      <w:pPr>
        <w:spacing w:line="360" w:lineRule="auto"/>
        <w:jc w:val="both"/>
        <w:rPr>
          <w:rFonts w:hint="default" w:hAnsi="Cambria Math"/>
          <w:i w:val="0"/>
          <w:color w:val="000000"/>
          <w:sz w:val="28"/>
          <w:szCs w:val="28"/>
          <w:vertAlign w:val="baseline"/>
          <w:lang w:val="uk-UA"/>
        </w:rPr>
      </w:pPr>
      <w:r>
        <w:rPr>
          <w:rFonts w:hint="default" w:hAnsi="Cambria Math"/>
          <w:i w:val="0"/>
          <w:color w:val="000000"/>
          <w:sz w:val="28"/>
          <w:szCs w:val="28"/>
          <w:lang w:val="uk-UA"/>
        </w:rPr>
        <w:t xml:space="preserve">де </w:t>
      </w:r>
      <w:r>
        <w:rPr>
          <w:rFonts w:hint="default" w:hAnsi="Cambria Math"/>
          <w:i/>
          <w:iCs/>
          <w:color w:val="000000"/>
          <w:sz w:val="28"/>
          <w:szCs w:val="28"/>
          <w:lang w:val="uk-UA"/>
        </w:rPr>
        <w:t>Ч</w:t>
      </w:r>
      <w:r>
        <w:rPr>
          <w:rFonts w:hint="default" w:hAnsi="Cambria Math"/>
          <w:i/>
          <w:iCs/>
          <w:color w:val="000000"/>
          <w:sz w:val="28"/>
          <w:szCs w:val="28"/>
          <w:vertAlign w:val="subscript"/>
          <w:lang w:val="uk-UA"/>
        </w:rPr>
        <w:t>ут</w:t>
      </w:r>
      <w:r>
        <w:rPr>
          <w:rFonts w:hint="default" w:hAnsi="Cambria Math"/>
          <w:i w:val="0"/>
          <w:color w:val="000000"/>
          <w:sz w:val="28"/>
          <w:szCs w:val="28"/>
          <w:vertAlign w:val="subscript"/>
          <w:lang w:val="uk-UA"/>
        </w:rPr>
        <w:t xml:space="preserve"> </w:t>
      </w:r>
      <w:r>
        <w:rPr>
          <w:rFonts w:hint="default" w:hAnsi="Cambria Math"/>
          <w:i w:val="0"/>
          <w:color w:val="000000"/>
          <w:sz w:val="28"/>
          <w:szCs w:val="28"/>
          <w:vertAlign w:val="baseline"/>
          <w:lang w:val="uk-UA"/>
        </w:rPr>
        <w:t xml:space="preserve">– кількість утриманих на робочому місці працівників протягом перших 3 місяців.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Коефіцієнт плинності кадрів розраховується за наступною формулою:</w:t>
      </w:r>
    </w:p>
    <w:p>
      <w:pPr>
        <w:spacing w:line="360" w:lineRule="auto"/>
        <w:jc w:val="both"/>
        <w:rPr>
          <w:rFonts w:hint="default" w:hAnsi="Cambria Math"/>
          <w:i w:val="0"/>
          <w:color w:val="000000"/>
          <w:sz w:val="28"/>
          <w:szCs w:val="28"/>
          <w:lang w:val="en-US"/>
        </w:rPr>
      </w:pPr>
      <m:oMathPara>
        <m:oMathParaPr>
          <m:jc m:val="right"/>
        </m:oMathParaPr>
        <m:oMath>
          <m:sSub>
            <m:sSubPr>
              <m:ctrlPr>
                <w:rPr>
                  <w:rFonts w:ascii="Cambria Math" w:hAnsi="Cambria Math"/>
                  <w:i/>
                  <w:color w:val="000000"/>
                  <w:sz w:val="28"/>
                  <w:szCs w:val="28"/>
                  <w:lang w:val="uk-UA"/>
                </w:rPr>
              </m:ctrlPr>
            </m:sSubPr>
            <m:e>
              <m:r>
                <m:rPr/>
                <w:rPr>
                  <w:rFonts w:hint="default" w:ascii="Cambria Math" w:hAnsi="Cambria Math"/>
                  <w:color w:val="000000"/>
                  <w:sz w:val="28"/>
                  <w:szCs w:val="28"/>
                  <w:lang w:val="uk-UA"/>
                </w:rPr>
                <m:t>К</m:t>
              </m:r>
              <m:ctrlPr>
                <w:rPr>
                  <w:rFonts w:ascii="Cambria Math" w:hAnsi="Cambria Math"/>
                  <w:i/>
                  <w:color w:val="000000"/>
                  <w:sz w:val="28"/>
                  <w:szCs w:val="28"/>
                  <w:lang w:val="uk-UA"/>
                </w:rPr>
              </m:ctrlPr>
            </m:e>
            <m:sub>
              <m:r>
                <m:rPr/>
                <w:rPr>
                  <w:rFonts w:hint="default" w:ascii="Cambria Math" w:hAnsi="Cambria Math"/>
                  <w:color w:val="000000"/>
                  <w:sz w:val="28"/>
                  <w:szCs w:val="28"/>
                  <w:lang w:val="uk-UA"/>
                </w:rPr>
                <m:t>пл</m:t>
              </m:r>
              <m:ctrlPr>
                <w:rPr>
                  <w:rFonts w:ascii="Cambria Math" w:hAnsi="Cambria Math"/>
                  <w:i/>
                  <w:color w:val="000000"/>
                  <w:sz w:val="28"/>
                  <w:szCs w:val="28"/>
                  <w:lang w:val="uk-UA"/>
                </w:rPr>
              </m:ctrlPr>
            </m:sub>
          </m:sSub>
          <m:r>
            <m:rPr/>
            <w:rPr>
              <w:rFonts w:hint="default" w:ascii="Cambria Math" w:hAnsi="Cambria Math"/>
              <w:color w:val="000000"/>
              <w:sz w:val="28"/>
              <w:szCs w:val="28"/>
              <w:lang w:val="uk-UA"/>
            </w:rPr>
            <m:t>=</m:t>
          </m:r>
          <m:f>
            <m:fPr>
              <m:ctrlPr>
                <w:rPr>
                  <w:rFonts w:hint="default" w:ascii="Cambria Math" w:hAnsi="Cambria Math"/>
                  <w:i/>
                  <w:color w:val="000000"/>
                  <w:sz w:val="28"/>
                  <w:szCs w:val="28"/>
                  <w:lang w:val="uk-UA"/>
                </w:rPr>
              </m:ctrlPr>
            </m:fPr>
            <m:num>
              <m:sSub>
                <m:sSubPr>
                  <m:ctrlPr>
                    <w:rPr>
                      <w:rFonts w:hint="default" w:ascii="Cambria Math" w:hAnsi="Cambria Math"/>
                      <w:i/>
                      <w:color w:val="000000"/>
                      <w:sz w:val="28"/>
                      <w:szCs w:val="28"/>
                      <w:lang w:val="uk-UA"/>
                    </w:rPr>
                  </m:ctrlPr>
                </m:sSubPr>
                <m:e>
                  <m:r>
                    <m:rPr/>
                    <w:rPr>
                      <w:rFonts w:hint="default" w:ascii="Cambria Math" w:hAnsi="Cambria Math"/>
                      <w:color w:val="000000"/>
                      <w:sz w:val="28"/>
                      <w:szCs w:val="28"/>
                      <w:lang w:val="uk-UA"/>
                    </w:rPr>
                    <m:t>Ч</m:t>
                  </m:r>
                  <m:ctrlPr>
                    <w:rPr>
                      <w:rFonts w:hint="default" w:ascii="Cambria Math" w:hAnsi="Cambria Math"/>
                      <w:i/>
                      <w:color w:val="000000"/>
                      <w:sz w:val="28"/>
                      <w:szCs w:val="28"/>
                      <w:lang w:val="uk-UA"/>
                    </w:rPr>
                  </m:ctrlPr>
                </m:e>
                <m:sub>
                  <m:r>
                    <m:rPr/>
                    <w:rPr>
                      <w:rFonts w:hint="default" w:ascii="Cambria Math" w:hAnsi="Cambria Math"/>
                      <w:color w:val="000000"/>
                      <w:sz w:val="28"/>
                      <w:szCs w:val="28"/>
                      <w:lang w:val="uk-UA"/>
                    </w:rPr>
                    <m:t>н.з.</m:t>
                  </m:r>
                  <m:ctrlPr>
                    <w:rPr>
                      <w:rFonts w:hint="default" w:ascii="Cambria Math" w:hAnsi="Cambria Math"/>
                      <w:i/>
                      <w:color w:val="000000"/>
                      <w:sz w:val="28"/>
                      <w:szCs w:val="28"/>
                      <w:lang w:val="uk-UA"/>
                    </w:rPr>
                  </m:ctrlPr>
                </m:sub>
              </m:sSub>
              <m:ctrlPr>
                <w:rPr>
                  <w:rFonts w:hint="default" w:ascii="Cambria Math" w:hAnsi="Cambria Math"/>
                  <w:i/>
                  <w:color w:val="000000"/>
                  <w:sz w:val="28"/>
                  <w:szCs w:val="28"/>
                  <w:lang w:val="uk-UA"/>
                </w:rPr>
              </m:ctrlPr>
            </m:num>
            <m:den>
              <m:sSub>
                <m:sSubPr>
                  <m:ctrlPr>
                    <w:rPr>
                      <w:rFonts w:hint="default" w:ascii="Cambria Math" w:hAnsi="Cambria Math"/>
                      <w:i/>
                      <w:color w:val="000000"/>
                      <w:sz w:val="28"/>
                      <w:szCs w:val="28"/>
                      <w:lang w:val="uk-UA"/>
                    </w:rPr>
                  </m:ctrlPr>
                </m:sSubPr>
                <m:e>
                  <m:r>
                    <m:rPr/>
                    <w:rPr>
                      <w:rFonts w:hint="default" w:ascii="Cambria Math" w:hAnsi="Cambria Math"/>
                      <w:color w:val="000000"/>
                      <w:sz w:val="28"/>
                      <w:szCs w:val="28"/>
                      <w:lang w:val="uk-UA"/>
                    </w:rPr>
                    <m:t>Ч</m:t>
                  </m:r>
                  <m:ctrlPr>
                    <w:rPr>
                      <w:rFonts w:hint="default" w:ascii="Cambria Math" w:hAnsi="Cambria Math"/>
                      <w:i/>
                      <w:color w:val="000000"/>
                      <w:sz w:val="28"/>
                      <w:szCs w:val="28"/>
                      <w:lang w:val="uk-UA"/>
                    </w:rPr>
                  </m:ctrlPr>
                </m:e>
                <m:sub>
                  <m:r>
                    <m:rPr/>
                    <w:rPr>
                      <w:rFonts w:hint="default" w:ascii="Cambria Math" w:hAnsi="Cambria Math"/>
                      <w:color w:val="000000"/>
                      <w:sz w:val="28"/>
                      <w:szCs w:val="28"/>
                      <w:lang w:val="uk-UA"/>
                    </w:rPr>
                    <m:t>п</m:t>
                  </m:r>
                  <m:ctrlPr>
                    <w:rPr>
                      <w:rFonts w:hint="default" w:ascii="Cambria Math" w:hAnsi="Cambria Math"/>
                      <w:i/>
                      <w:color w:val="000000"/>
                      <w:sz w:val="28"/>
                      <w:szCs w:val="28"/>
                      <w:lang w:val="uk-UA"/>
                    </w:rPr>
                  </m:ctrlPr>
                </m:sub>
              </m:sSub>
              <m:ctrlPr>
                <w:rPr>
                  <w:rFonts w:hint="default" w:ascii="Cambria Math" w:hAnsi="Cambria Math"/>
                  <w:i/>
                  <w:color w:val="000000"/>
                  <w:sz w:val="28"/>
                  <w:szCs w:val="28"/>
                  <w:lang w:val="uk-UA"/>
                </w:rPr>
              </m:ctrlPr>
            </m:den>
          </m:f>
          <m:r>
            <m:rPr/>
            <w:rPr>
              <w:rFonts w:ascii="Cambria Math" w:hAnsi="Cambria Math"/>
              <w:color w:val="000000"/>
              <w:sz w:val="28"/>
              <w:szCs w:val="28"/>
              <w:lang w:val="uk-UA"/>
            </w:rPr>
            <m:t>∙</m:t>
          </m:r>
          <m:r>
            <m:rPr/>
            <w:rPr>
              <w:rFonts w:hint="default" w:ascii="Cambria Math" w:hAnsi="Cambria Math"/>
              <w:color w:val="000000"/>
              <w:sz w:val="28"/>
              <w:szCs w:val="28"/>
              <w:lang w:val="uk-UA"/>
            </w:rPr>
            <m:t>100%,</m:t>
          </m:r>
          <m:r>
            <m:rPr/>
            <w:rPr>
              <w:rFonts w:hint="default" w:ascii="Cambria Math" w:hAnsi="Cambria Math"/>
              <w:color w:val="000000"/>
              <w:sz w:val="28"/>
              <w:szCs w:val="28"/>
              <w:lang w:val="en-US"/>
            </w:rPr>
            <m:t xml:space="preserve">                                                 2.3</m:t>
          </m:r>
        </m:oMath>
      </m:oMathPara>
    </w:p>
    <w:p>
      <w:pPr>
        <w:keepNext w:val="0"/>
        <w:keepLines w:val="0"/>
        <w:widowControl/>
        <w:suppressLineNumbers w:val="0"/>
        <w:shd w:val="clear" w:fill="FFFFFF"/>
        <w:spacing w:line="360" w:lineRule="auto"/>
        <w:jc w:val="both"/>
        <w:rPr>
          <w:rFonts w:hint="default"/>
          <w:sz w:val="28"/>
          <w:szCs w:val="28"/>
          <w:lang w:val="uk-UA" w:eastAsia="ru-RU"/>
        </w:rPr>
      </w:pPr>
      <w:r>
        <w:rPr>
          <w:rFonts w:hint="default" w:hAnsi="Cambria Math"/>
          <w:i w:val="0"/>
          <w:color w:val="000000"/>
          <w:sz w:val="28"/>
          <w:szCs w:val="28"/>
          <w:lang w:val="uk-UA"/>
        </w:rPr>
        <w:t xml:space="preserve">де </w:t>
      </w:r>
      <w:r>
        <w:rPr>
          <w:rFonts w:hint="default" w:hAnsi="Cambria Math"/>
          <w:i/>
          <w:iCs/>
          <w:color w:val="000000"/>
          <w:sz w:val="28"/>
          <w:szCs w:val="28"/>
          <w:lang w:val="uk-UA"/>
        </w:rPr>
        <w:t>Ч</w:t>
      </w:r>
      <w:r>
        <w:rPr>
          <w:rFonts w:hint="default" w:hAnsi="Cambria Math"/>
          <w:i/>
          <w:iCs/>
          <w:color w:val="000000"/>
          <w:sz w:val="28"/>
          <w:szCs w:val="28"/>
          <w:vertAlign w:val="subscript"/>
          <w:lang w:val="uk-UA"/>
        </w:rPr>
        <w:t>Н.З.</w:t>
      </w:r>
      <w:r>
        <w:rPr>
          <w:rFonts w:hint="default" w:hAnsi="Cambria Math"/>
          <w:i w:val="0"/>
          <w:color w:val="000000"/>
          <w:sz w:val="28"/>
          <w:szCs w:val="28"/>
          <w:vertAlign w:val="subscript"/>
          <w:lang w:val="uk-UA"/>
        </w:rPr>
        <w:t xml:space="preserve"> </w:t>
      </w:r>
      <w:r>
        <w:rPr>
          <w:rFonts w:hint="default" w:hAnsi="Cambria Math"/>
          <w:i w:val="0"/>
          <w:color w:val="000000"/>
          <w:sz w:val="28"/>
          <w:szCs w:val="28"/>
          <w:vertAlign w:val="baseline"/>
          <w:lang w:val="uk-UA"/>
        </w:rPr>
        <w:t xml:space="preserve">– </w:t>
      </w:r>
      <w:r>
        <w:rPr>
          <w:rFonts w:hint="default" w:hAnsi="Cambria Math"/>
          <w:i w:val="0"/>
          <w:sz w:val="28"/>
          <w:szCs w:val="28"/>
          <w:vertAlign w:val="baseline"/>
          <w:lang w:val="uk-UA"/>
        </w:rPr>
        <w:t xml:space="preserve">кількість </w:t>
      </w:r>
      <w:r>
        <w:rPr>
          <w:rFonts w:hint="default"/>
          <w:sz w:val="28"/>
          <w:szCs w:val="28"/>
          <w:lang w:val="uk-UA" w:eastAsia="ru-RU"/>
        </w:rPr>
        <w:t>неминуче звільнених працівників (вихід на пенсію, декрет тощо).</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eastAsia="ru-RU"/>
        </w:rPr>
      </w:pPr>
      <w:r>
        <w:rPr>
          <w:rFonts w:hint="default"/>
          <w:sz w:val="28"/>
          <w:szCs w:val="28"/>
          <w:lang w:val="uk-UA" w:eastAsia="ru-RU"/>
        </w:rPr>
        <w:t>Коефіцієнт успішності виконання навчання розраховується за наступною формулою:</w:t>
      </w:r>
    </w:p>
    <w:p>
      <w:pPr>
        <w:keepNext w:val="0"/>
        <w:keepLines w:val="0"/>
        <w:widowControl/>
        <w:suppressLineNumbers w:val="0"/>
        <w:shd w:val="clear" w:fill="FFFFFF"/>
        <w:spacing w:line="360" w:lineRule="auto"/>
        <w:jc w:val="both"/>
        <w:rPr>
          <w:rFonts w:hint="default" w:hAnsi="Cambria Math"/>
          <w:i w:val="0"/>
          <w:sz w:val="28"/>
          <w:szCs w:val="28"/>
          <w:lang w:val="en-US"/>
        </w:rPr>
      </w:pPr>
      <m:oMathPara>
        <m:oMathParaPr>
          <m:jc m:val="right"/>
        </m:oMathParaPr>
        <m:oMath>
          <m:sSub>
            <m:sSubPr>
              <m:ctrlPr>
                <w:rPr>
                  <w:rFonts w:ascii="Cambria Math" w:hAnsi="Cambria Math"/>
                  <w:i/>
                  <w:sz w:val="28"/>
                  <w:szCs w:val="28"/>
                  <w:lang w:val="uk-UA"/>
                </w:rPr>
              </m:ctrlPr>
            </m:sSubPr>
            <m:e>
              <m:r>
                <m:rPr/>
                <w:rPr>
                  <w:rFonts w:hint="default" w:ascii="Cambria Math" w:hAnsi="Cambria Math"/>
                  <w:sz w:val="28"/>
                  <w:szCs w:val="28"/>
                  <w:lang w:val="uk-UA"/>
                </w:rPr>
                <m:t>К</m:t>
              </m:r>
              <m:ctrlPr>
                <w:rPr>
                  <w:rFonts w:ascii="Cambria Math" w:hAnsi="Cambria Math"/>
                  <w:i/>
                  <w:sz w:val="28"/>
                  <w:szCs w:val="28"/>
                  <w:lang w:val="uk-UA"/>
                </w:rPr>
              </m:ctrlPr>
            </m:e>
            <m:sub>
              <m:r>
                <m:rPr/>
                <w:rPr>
                  <w:rFonts w:hint="default" w:ascii="Cambria Math" w:hAnsi="Cambria Math"/>
                  <w:sz w:val="28"/>
                  <w:szCs w:val="28"/>
                  <w:lang w:val="uk-UA"/>
                </w:rPr>
                <m:t>усп.</m:t>
              </m:r>
              <m:ctrlPr>
                <w:rPr>
                  <w:rFonts w:ascii="Cambria Math" w:hAnsi="Cambria Math"/>
                  <w:i/>
                  <w:sz w:val="28"/>
                  <w:szCs w:val="28"/>
                  <w:lang w:val="uk-UA"/>
                </w:rPr>
              </m:ctrlPr>
            </m:sub>
          </m:sSub>
          <m:r>
            <m:rPr/>
            <w:rPr>
              <w:rFonts w:hint="default" w:ascii="Cambria Math" w:hAnsi="Cambria Math"/>
              <w:sz w:val="28"/>
              <w:szCs w:val="28"/>
              <w:lang w:val="uk-UA"/>
            </w:rPr>
            <m:t>=</m:t>
          </m:r>
          <m:f>
            <m:fPr>
              <m:ctrlPr>
                <w:rPr>
                  <w:rFonts w:hint="default" w:ascii="Cambria Math" w:hAnsi="Cambria Math"/>
                  <w:i/>
                  <w:sz w:val="28"/>
                  <w:szCs w:val="28"/>
                  <w:lang w:val="uk-UA"/>
                </w:rPr>
              </m:ctrlPr>
            </m:fPr>
            <m:num>
              <m:sSub>
                <m:sSubPr>
                  <m:ctrlPr>
                    <w:rPr>
                      <w:rFonts w:hint="default" w:ascii="Cambria Math" w:hAnsi="Cambria Math"/>
                      <w:i/>
                      <w:sz w:val="28"/>
                      <w:szCs w:val="28"/>
                      <w:lang w:val="uk-UA"/>
                    </w:rPr>
                  </m:ctrlPr>
                </m:sSubPr>
                <m:e>
                  <m:r>
                    <m:rPr/>
                    <w:rPr>
                      <w:rFonts w:hint="default" w:ascii="Cambria Math" w:hAnsi="Cambria Math"/>
                      <w:sz w:val="28"/>
                      <w:szCs w:val="28"/>
                      <w:lang w:val="uk-UA"/>
                    </w:rPr>
                    <m:t>Ч</m:t>
                  </m:r>
                  <m:ctrlPr>
                    <w:rPr>
                      <w:rFonts w:hint="default" w:ascii="Cambria Math" w:hAnsi="Cambria Math"/>
                      <w:i/>
                      <w:sz w:val="28"/>
                      <w:szCs w:val="28"/>
                      <w:lang w:val="uk-UA"/>
                    </w:rPr>
                  </m:ctrlPr>
                </m:e>
                <m:sub>
                  <m:r>
                    <m:rPr/>
                    <w:rPr>
                      <w:rFonts w:hint="default" w:ascii="Cambria Math" w:hAnsi="Cambria Math"/>
                      <w:sz w:val="28"/>
                      <w:szCs w:val="28"/>
                      <w:lang w:val="uk-UA"/>
                    </w:rPr>
                    <m:t>п</m:t>
                  </m:r>
                  <m:ctrlPr>
                    <w:rPr>
                      <w:rFonts w:hint="default" w:ascii="Cambria Math" w:hAnsi="Cambria Math"/>
                      <w:i/>
                      <w:sz w:val="28"/>
                      <w:szCs w:val="28"/>
                      <w:lang w:val="uk-UA"/>
                    </w:rPr>
                  </m:ctrlPr>
                </m:sub>
              </m:sSub>
              <m:ctrlPr>
                <w:rPr>
                  <w:rFonts w:hint="default" w:ascii="Cambria Math" w:hAnsi="Cambria Math"/>
                  <w:i/>
                  <w:sz w:val="28"/>
                  <w:szCs w:val="28"/>
                  <w:lang w:val="uk-UA"/>
                </w:rPr>
              </m:ctrlPr>
            </m:num>
            <m:den>
              <m:sSub>
                <m:sSubPr>
                  <m:ctrlPr>
                    <w:rPr>
                      <w:rFonts w:hint="default" w:ascii="Cambria Math" w:hAnsi="Cambria Math"/>
                      <w:i/>
                      <w:sz w:val="28"/>
                      <w:szCs w:val="28"/>
                      <w:lang w:val="uk-UA"/>
                    </w:rPr>
                  </m:ctrlPr>
                </m:sSubPr>
                <m:e>
                  <m:r>
                    <m:rPr/>
                    <w:rPr>
                      <w:rFonts w:hint="default" w:ascii="Cambria Math" w:hAnsi="Cambria Math"/>
                      <w:sz w:val="28"/>
                      <w:szCs w:val="28"/>
                      <w:lang w:val="uk-UA"/>
                    </w:rPr>
                    <m:t>Ч</m:t>
                  </m:r>
                  <m:ctrlPr>
                    <w:rPr>
                      <w:rFonts w:hint="default" w:ascii="Cambria Math" w:hAnsi="Cambria Math"/>
                      <w:i/>
                      <w:sz w:val="28"/>
                      <w:szCs w:val="28"/>
                      <w:lang w:val="uk-UA"/>
                    </w:rPr>
                  </m:ctrlPr>
                </m:e>
                <m:sub>
                  <m:r>
                    <m:rPr/>
                    <w:rPr>
                      <w:rFonts w:hint="default" w:ascii="Cambria Math" w:hAnsi="Cambria Math"/>
                      <w:sz w:val="28"/>
                      <w:szCs w:val="28"/>
                      <w:lang w:val="uk-UA"/>
                    </w:rPr>
                    <m:t>заг</m:t>
                  </m:r>
                  <m:ctrlPr>
                    <w:rPr>
                      <w:rFonts w:hint="default" w:ascii="Cambria Math" w:hAnsi="Cambria Math"/>
                      <w:i/>
                      <w:sz w:val="28"/>
                      <w:szCs w:val="28"/>
                      <w:lang w:val="uk-UA"/>
                    </w:rPr>
                  </m:ctrlPr>
                </m:sub>
              </m:sSub>
              <m:ctrlPr>
                <w:rPr>
                  <w:rFonts w:hint="default" w:ascii="Cambria Math" w:hAnsi="Cambria Math"/>
                  <w:i/>
                  <w:sz w:val="28"/>
                  <w:szCs w:val="28"/>
                  <w:lang w:val="uk-UA"/>
                </w:rPr>
              </m:ctrlPr>
            </m:den>
          </m:f>
          <m:r>
            <m:rPr/>
            <w:rPr>
              <w:rFonts w:hint="default" w:ascii="Cambria Math" w:hAnsi="Cambria Math"/>
              <w:sz w:val="28"/>
              <w:szCs w:val="28"/>
              <w:lang w:val="uk-UA"/>
            </w:rPr>
            <m:t>,</m:t>
          </m:r>
          <m:r>
            <m:rPr/>
            <w:rPr>
              <w:rFonts w:hint="default" w:ascii="Cambria Math" w:hAnsi="Cambria Math"/>
              <w:sz w:val="28"/>
              <w:szCs w:val="28"/>
              <w:lang w:val="en-US"/>
            </w:rPr>
            <m:t xml:space="preserve">                                                          2.4</m:t>
          </m:r>
        </m:oMath>
      </m:oMathPara>
    </w:p>
    <w:p>
      <w:pPr>
        <w:keepNext w:val="0"/>
        <w:keepLines w:val="0"/>
        <w:widowControl/>
        <w:suppressLineNumbers w:val="0"/>
        <w:shd w:val="clear" w:fill="FFFFFF"/>
        <w:spacing w:line="360" w:lineRule="auto"/>
        <w:jc w:val="both"/>
        <w:rPr>
          <w:rFonts w:hint="default" w:hAnsi="Cambria Math"/>
          <w:i w:val="0"/>
          <w:sz w:val="28"/>
          <w:szCs w:val="28"/>
          <w:vertAlign w:val="baseline"/>
          <w:lang w:val="uk-UA" w:eastAsia="ru-RU"/>
        </w:rPr>
      </w:pPr>
      <w:r>
        <w:rPr>
          <w:rFonts w:hint="default" w:hAnsi="Cambria Math"/>
          <w:i w:val="0"/>
          <w:sz w:val="28"/>
          <w:szCs w:val="28"/>
          <w:lang w:val="uk-UA"/>
        </w:rPr>
        <w:t xml:space="preserve">де </w:t>
      </w:r>
      <w:r>
        <w:rPr>
          <w:rFonts w:hint="default" w:hAnsi="Cambria Math"/>
          <w:i/>
          <w:iCs/>
          <w:sz w:val="28"/>
          <w:szCs w:val="28"/>
          <w:lang w:val="uk-UA"/>
        </w:rPr>
        <w:t>Ч</w:t>
      </w:r>
      <w:r>
        <w:rPr>
          <w:rFonts w:hint="default" w:hAnsi="Cambria Math"/>
          <w:i/>
          <w:iCs/>
          <w:sz w:val="28"/>
          <w:szCs w:val="28"/>
          <w:vertAlign w:val="subscript"/>
          <w:lang w:val="uk-UA"/>
        </w:rPr>
        <w:t>заг</w:t>
      </w:r>
      <w:r>
        <w:rPr>
          <w:rFonts w:hint="default" w:hAnsi="Cambria Math"/>
          <w:i w:val="0"/>
          <w:sz w:val="28"/>
          <w:szCs w:val="28"/>
          <w:vertAlign w:val="subscript"/>
          <w:lang w:val="uk-UA"/>
        </w:rPr>
        <w:t xml:space="preserve"> </w:t>
      </w:r>
      <w:r>
        <w:rPr>
          <w:rFonts w:hint="default" w:hAnsi="Cambria Math"/>
          <w:i w:val="0"/>
          <w:sz w:val="28"/>
          <w:szCs w:val="28"/>
          <w:vertAlign w:val="baseline"/>
          <w:lang w:val="uk-UA"/>
        </w:rPr>
        <w:t>– загальна кількість нових працівників в період адаптації.</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Отже, для підприємства ТОВ “Епіцентр К” результати розрахунку показників адаптації за період 2019–2021 років можна побачити в таблиці 2.5.</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Таблиця 2.5 – Коефіцієнт адаптації ТОВ “Епіцентр К” за 2019–2021 роки</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3"/>
        <w:gridCol w:w="2393"/>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Рік</w:t>
            </w:r>
          </w:p>
        </w:tc>
        <w:tc>
          <w:tcPr>
            <w:tcW w:w="2393"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2019</w:t>
            </w:r>
          </w:p>
        </w:tc>
        <w:tc>
          <w:tcPr>
            <w:tcW w:w="2393"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2020</w:t>
            </w:r>
          </w:p>
        </w:tc>
        <w:tc>
          <w:tcPr>
            <w:tcW w:w="2393"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pPr>
              <w:widowControl w:val="0"/>
              <w:spacing w:line="360" w:lineRule="auto"/>
              <w:jc w:val="center"/>
              <w:rPr>
                <w:rFonts w:hint="default"/>
                <w:color w:val="000000"/>
                <w:sz w:val="28"/>
                <w:szCs w:val="28"/>
                <w:vertAlign w:val="baseline"/>
                <w:lang w:val="uk-UA"/>
              </w:rPr>
            </w:pPr>
            <w:r>
              <w:rPr>
                <w:rFonts w:hint="default"/>
                <w:b/>
                <w:bCs/>
                <w:color w:val="000000"/>
                <w:sz w:val="28"/>
                <w:szCs w:val="28"/>
                <w:vertAlign w:val="baseline"/>
                <w:lang w:val="uk-UA"/>
              </w:rPr>
              <w:t>Коефіцієнт адаптації</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271</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86</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Коефіцієнт утримання</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0,85</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0,88</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Коефіцієнт плинності, %</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9,34</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12,5</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Успішність навчання</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0,79</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0,7</w:t>
            </w:r>
          </w:p>
        </w:tc>
        <w:tc>
          <w:tcPr>
            <w:tcW w:w="2393"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0,61</w:t>
            </w:r>
          </w:p>
        </w:tc>
      </w:tr>
    </w:tbl>
    <w:p>
      <w:pPr>
        <w:spacing w:line="360" w:lineRule="auto"/>
        <w:ind w:left="18" w:leftChars="0" w:firstLine="702" w:firstLineChars="0"/>
        <w:jc w:val="both"/>
        <w:rPr>
          <w:rFonts w:hint="default"/>
          <w:color w:val="000000"/>
          <w:sz w:val="28"/>
          <w:szCs w:val="28"/>
          <w:lang w:val="uk-UA"/>
        </w:rPr>
      </w:pP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З таблиці 2.5 можна зробити висновок, що підприємство ТОВ “Епіцентр К” має достатньо високий коефіцієнт утримання нових працівників, але коефіцієнт плинності сильно перевищує норму (5 %), що може говорити про невдоволеність працівників при довгостроковому співробітництві з компанією. За останні роки, незважаючи на вдосконалення системи онбордину та переведення її в онлайн-форму, успішність навчання значно спадає. Порівняно з 2019 роком, в 2021 році коефіцієнт успішності навчання впав на 0,2.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Причини таких результатів будуть з’ясовані з допомогою результатів опитування працівників, звільнених за власним бажанням під час терміну проходження процесу онбордингу.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Візуально відношення звільнених осіб до прийнятих можна зобразити за допомогою діаграми (рис. 2.1)</w:t>
      </w:r>
    </w:p>
    <w:p>
      <w:pPr>
        <w:spacing w:line="360" w:lineRule="auto"/>
        <w:ind w:left="18" w:leftChars="0" w:firstLine="702" w:firstLineChars="0"/>
        <w:jc w:val="both"/>
        <w:rPr>
          <w:rFonts w:hint="default"/>
          <w:color w:val="000000"/>
          <w:sz w:val="28"/>
          <w:szCs w:val="28"/>
          <w:lang w:val="uk-UA"/>
        </w:rPr>
      </w:pPr>
    </w:p>
    <w:p>
      <w:pPr>
        <w:spacing w:line="360" w:lineRule="auto"/>
        <w:jc w:val="both"/>
        <w:rPr>
          <w:rFonts w:hint="default"/>
          <w:color w:val="000000"/>
          <w:sz w:val="28"/>
          <w:szCs w:val="28"/>
          <w:lang w:val="uk-UA"/>
        </w:rPr>
      </w:pPr>
    </w:p>
    <w:p>
      <w:pPr>
        <w:spacing w:line="360" w:lineRule="auto"/>
        <w:jc w:val="center"/>
        <w:rPr>
          <w:rFonts w:hint="default"/>
          <w:color w:val="000000"/>
          <w:sz w:val="28"/>
          <w:szCs w:val="28"/>
          <w:lang w:val="uk-UA"/>
        </w:rPr>
      </w:pPr>
      <w:r>
        <w:drawing>
          <wp:inline distT="0" distB="0" distL="114300" distR="114300">
            <wp:extent cx="5116830" cy="3053080"/>
            <wp:effectExtent l="0" t="0" r="3810" b="10160"/>
            <wp:docPr id="7"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pic:cNvPicPr>
                      <a:picLocks noChangeAspect="1"/>
                    </pic:cNvPicPr>
                  </pic:nvPicPr>
                  <pic:blipFill>
                    <a:blip r:embed="rId7"/>
                    <a:stretch>
                      <a:fillRect/>
                    </a:stretch>
                  </pic:blipFill>
                  <pic:spPr>
                    <a:xfrm>
                      <a:off x="0" y="0"/>
                      <a:ext cx="5116830" cy="3053080"/>
                    </a:xfrm>
                    <a:prstGeom prst="rect">
                      <a:avLst/>
                    </a:prstGeom>
                    <a:noFill/>
                    <a:ln>
                      <a:noFill/>
                    </a:ln>
                  </pic:spPr>
                </pic:pic>
              </a:graphicData>
            </a:graphic>
          </wp:inline>
        </w:drawing>
      </w:r>
    </w:p>
    <w:p>
      <w:pPr>
        <w:spacing w:line="360" w:lineRule="auto"/>
        <w:ind w:left="18" w:leftChars="0" w:firstLine="702" w:firstLineChars="0"/>
        <w:jc w:val="center"/>
        <w:rPr>
          <w:rFonts w:hint="default"/>
          <w:color w:val="000000"/>
          <w:sz w:val="28"/>
          <w:szCs w:val="28"/>
          <w:lang w:val="uk-UA"/>
        </w:rPr>
      </w:pPr>
      <w:r>
        <w:rPr>
          <w:rFonts w:hint="default"/>
          <w:color w:val="000000"/>
          <w:sz w:val="28"/>
          <w:szCs w:val="28"/>
          <w:lang w:val="uk-UA"/>
        </w:rPr>
        <w:t>Рисунок 2.1 – Відношення прийнятих працівників до звільнених під час онбордингу</w:t>
      </w:r>
    </w:p>
    <w:p>
      <w:pPr>
        <w:spacing w:line="360" w:lineRule="auto"/>
        <w:ind w:left="18" w:leftChars="0" w:firstLine="702" w:firstLineChars="0"/>
        <w:jc w:val="both"/>
        <w:rPr>
          <w:rFonts w:hint="default"/>
          <w:color w:val="000000"/>
          <w:sz w:val="28"/>
          <w:szCs w:val="28"/>
          <w:lang w:val="uk-UA"/>
        </w:rPr>
      </w:pPr>
      <w:r>
        <w:rPr>
          <w:rFonts w:hint="default" w:ascii="Times New Roman" w:hAnsi="Times New Roman" w:eastAsia="Times New Roman"/>
          <w:i/>
          <w:color w:val="000000"/>
          <w:sz w:val="24"/>
          <w:szCs w:val="28"/>
        </w:rPr>
        <w:t>Джерело: складено автором за даними</w:t>
      </w:r>
      <w:r>
        <w:rPr>
          <w:rFonts w:hint="default"/>
          <w:i/>
          <w:color w:val="000000"/>
          <w:sz w:val="24"/>
          <w:szCs w:val="28"/>
          <w:lang w:val="en-US"/>
        </w:rPr>
        <w:t xml:space="preserve"> [18]</w:t>
      </w:r>
    </w:p>
    <w:p>
      <w:pPr>
        <w:spacing w:line="360" w:lineRule="auto"/>
        <w:ind w:left="18" w:leftChars="0" w:firstLine="702" w:firstLineChars="0"/>
        <w:jc w:val="center"/>
        <w:rPr>
          <w:rFonts w:hint="default"/>
          <w:color w:val="000000"/>
          <w:sz w:val="28"/>
          <w:szCs w:val="28"/>
          <w:lang w:val="uk-UA"/>
        </w:rPr>
      </w:pP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Причому достатньо велика кількість осіб покидала місце роботи за власним бажанням, що добре видно на рисунку 2.2.</w:t>
      </w:r>
    </w:p>
    <w:p>
      <w:pPr>
        <w:spacing w:line="360" w:lineRule="auto"/>
        <w:jc w:val="center"/>
        <w:rPr>
          <w:rFonts w:hint="default"/>
          <w:color w:val="000000"/>
          <w:sz w:val="28"/>
          <w:szCs w:val="28"/>
          <w:lang w:val="uk-UA"/>
        </w:rPr>
      </w:pPr>
      <w:r>
        <w:drawing>
          <wp:inline distT="0" distB="0" distL="114300" distR="114300">
            <wp:extent cx="5066030" cy="3017520"/>
            <wp:effectExtent l="0" t="0" r="8890" b="0"/>
            <wp:docPr id="8"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pic:cNvPicPr>
                      <a:picLocks noChangeAspect="1"/>
                    </pic:cNvPicPr>
                  </pic:nvPicPr>
                  <pic:blipFill>
                    <a:blip r:embed="rId8"/>
                    <a:stretch>
                      <a:fillRect/>
                    </a:stretch>
                  </pic:blipFill>
                  <pic:spPr>
                    <a:xfrm>
                      <a:off x="0" y="0"/>
                      <a:ext cx="5066030" cy="3017520"/>
                    </a:xfrm>
                    <a:prstGeom prst="rect">
                      <a:avLst/>
                    </a:prstGeom>
                    <a:noFill/>
                    <a:ln>
                      <a:noFill/>
                    </a:ln>
                  </pic:spPr>
                </pic:pic>
              </a:graphicData>
            </a:graphic>
          </wp:inline>
        </w:drawing>
      </w:r>
    </w:p>
    <w:p>
      <w:pPr>
        <w:spacing w:line="360" w:lineRule="auto"/>
        <w:ind w:left="18" w:leftChars="0" w:firstLine="702" w:firstLineChars="0"/>
        <w:jc w:val="center"/>
        <w:rPr>
          <w:rFonts w:hint="default"/>
          <w:color w:val="000000"/>
          <w:sz w:val="28"/>
          <w:szCs w:val="28"/>
          <w:lang w:val="uk-UA"/>
        </w:rPr>
      </w:pPr>
      <w:r>
        <w:rPr>
          <w:rFonts w:hint="default"/>
          <w:color w:val="000000"/>
          <w:sz w:val="28"/>
          <w:szCs w:val="28"/>
          <w:lang w:val="uk-UA"/>
        </w:rPr>
        <w:t>Рисунок 2.1 – Відношення звільнених за рішенням керівництва та за власним бажанням працівників</w:t>
      </w:r>
    </w:p>
    <w:p>
      <w:pPr>
        <w:spacing w:line="360" w:lineRule="auto"/>
        <w:ind w:left="18" w:leftChars="0" w:firstLine="702" w:firstLineChars="0"/>
        <w:jc w:val="both"/>
        <w:rPr>
          <w:rFonts w:hint="default"/>
          <w:color w:val="000000"/>
          <w:sz w:val="32"/>
          <w:szCs w:val="32"/>
          <w:lang w:val="en-US"/>
        </w:rPr>
      </w:pPr>
      <w:r>
        <w:rPr>
          <w:rFonts w:hint="default" w:ascii="Times New Roman" w:hAnsi="Times New Roman" w:eastAsia="Times New Roman"/>
          <w:i/>
          <w:color w:val="000000"/>
          <w:sz w:val="24"/>
          <w:szCs w:val="28"/>
        </w:rPr>
        <w:t>Джерело: складено автором за даними</w:t>
      </w:r>
      <w:r>
        <w:rPr>
          <w:rFonts w:hint="default"/>
          <w:i/>
          <w:color w:val="000000"/>
          <w:sz w:val="24"/>
          <w:szCs w:val="28"/>
          <w:lang w:val="en-US"/>
        </w:rPr>
        <w:t xml:space="preserve"> [18]</w:t>
      </w:r>
    </w:p>
    <w:p>
      <w:pPr>
        <w:spacing w:line="360" w:lineRule="auto"/>
        <w:ind w:left="18" w:leftChars="0" w:firstLine="702" w:firstLineChars="0"/>
        <w:jc w:val="center"/>
        <w:rPr>
          <w:rFonts w:hint="default"/>
          <w:color w:val="000000"/>
          <w:sz w:val="28"/>
          <w:szCs w:val="28"/>
          <w:lang w:val="uk-UA"/>
        </w:rPr>
      </w:pPr>
    </w:p>
    <w:p>
      <w:pPr>
        <w:spacing w:line="360" w:lineRule="auto"/>
        <w:jc w:val="both"/>
        <w:rPr>
          <w:rFonts w:hint="default"/>
          <w:color w:val="000000"/>
          <w:sz w:val="28"/>
          <w:szCs w:val="28"/>
          <w:lang w:val="uk-UA"/>
        </w:rPr>
      </w:pPr>
    </w:p>
    <w:p>
      <w:pPr>
        <w:spacing w:line="360" w:lineRule="auto"/>
        <w:ind w:left="0" w:leftChars="0" w:firstLine="719" w:firstLineChars="257"/>
        <w:jc w:val="both"/>
        <w:rPr>
          <w:rFonts w:hint="default"/>
          <w:color w:val="000000"/>
          <w:sz w:val="28"/>
          <w:szCs w:val="28"/>
          <w:lang w:val="uk-UA"/>
        </w:rPr>
      </w:pPr>
      <w:r>
        <w:rPr>
          <w:rFonts w:hint="default"/>
          <w:color w:val="000000"/>
          <w:sz w:val="28"/>
          <w:szCs w:val="28"/>
          <w:lang w:val="uk-UA"/>
        </w:rPr>
        <w:t xml:space="preserve">Згідно з даними таблиці 2.5 коефіцієнт адаптації “Епіцентр К” стрімко падає протягом періоду 2019–2021 років, що говорить про неефективність процесу онбордингу в компанії. Даний коефіцієнт дає лише кількісну характеристику процесу адаптації, задля визначення якісної складової на підприємстві проходить анкетування завдоволеності працівників.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Персонал може дати оцінку з наступного переліку:</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5 балів: абсолютно задоволений процесом онбордингу;</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4 бали: задоволений процесом онбордингу;</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3 бали: складно відповісти;</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2 бали: не задоволений процесом онбордингу;</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1 бал: зовсім не задоволений процесом онбордингу.</w:t>
      </w:r>
    </w:p>
    <w:p>
      <w:pPr>
        <w:spacing w:line="360" w:lineRule="auto"/>
        <w:ind w:left="0" w:leftChars="0" w:firstLine="719" w:firstLineChars="257"/>
        <w:jc w:val="both"/>
        <w:rPr>
          <w:rFonts w:hint="default"/>
          <w:color w:val="000000"/>
          <w:sz w:val="28"/>
          <w:szCs w:val="28"/>
          <w:lang w:val="uk-UA"/>
        </w:rPr>
      </w:pPr>
      <w:r>
        <w:rPr>
          <w:rFonts w:hint="default"/>
          <w:color w:val="000000"/>
          <w:sz w:val="28"/>
          <w:szCs w:val="28"/>
          <w:lang w:val="uk-UA"/>
        </w:rPr>
        <w:t xml:space="preserve">Завдяки проведенню такого анкетування можна отримати уяву про рівень задоволенності працівників системою адаптації на підприємстві. Для того, щоб отримати більше інформації про прогалини та недоліки процесу проводять більш розгорнуте анкетування з питаннями відкритого типу, де працівники можуть поділитися специфічними труднощами, що виникали в кожного під час навчання. </w:t>
      </w:r>
    </w:p>
    <w:p>
      <w:pPr>
        <w:spacing w:line="360" w:lineRule="auto"/>
        <w:ind w:left="0" w:leftChars="0" w:firstLine="719" w:firstLineChars="257"/>
        <w:jc w:val="both"/>
        <w:rPr>
          <w:rFonts w:hint="default"/>
          <w:color w:val="000000"/>
          <w:sz w:val="28"/>
          <w:szCs w:val="28"/>
          <w:lang w:val="uk-UA"/>
        </w:rPr>
      </w:pPr>
      <w:r>
        <w:rPr>
          <w:rFonts w:hint="default"/>
          <w:color w:val="000000"/>
          <w:sz w:val="28"/>
          <w:szCs w:val="28"/>
          <w:lang w:val="uk-UA"/>
        </w:rPr>
        <w:t>За допомогою такого збору даних в подальшому можливим стає розрахунок таких індексів:</w:t>
      </w:r>
    </w:p>
    <w:p>
      <w:pPr>
        <w:spacing w:line="360" w:lineRule="auto"/>
        <w:ind w:left="0" w:leftChars="0" w:firstLine="719" w:firstLineChars="257"/>
        <w:jc w:val="both"/>
        <w:rPr>
          <w:rFonts w:hint="default"/>
          <w:color w:val="000000"/>
          <w:sz w:val="28"/>
          <w:szCs w:val="28"/>
          <w:lang w:val="uk-UA"/>
        </w:rPr>
      </w:pPr>
      <w:r>
        <w:rPr>
          <w:rFonts w:hint="default"/>
          <w:color w:val="000000"/>
          <w:sz w:val="28"/>
          <w:szCs w:val="28"/>
          <w:lang w:val="uk-UA"/>
        </w:rPr>
        <w:t>– індекст задоволеності наданою роботою;</w:t>
      </w:r>
    </w:p>
    <w:p>
      <w:pPr>
        <w:spacing w:line="360" w:lineRule="auto"/>
        <w:ind w:left="0" w:leftChars="0" w:firstLine="719" w:firstLineChars="257"/>
        <w:jc w:val="both"/>
        <w:rPr>
          <w:rFonts w:hint="default"/>
          <w:color w:val="000000"/>
          <w:sz w:val="28"/>
          <w:szCs w:val="28"/>
          <w:lang w:val="uk-UA"/>
        </w:rPr>
      </w:pPr>
      <w:r>
        <w:rPr>
          <w:rFonts w:hint="default"/>
          <w:color w:val="000000"/>
          <w:sz w:val="28"/>
          <w:szCs w:val="28"/>
          <w:lang w:val="uk-UA"/>
        </w:rPr>
        <w:t>– індекс зацікавленності;</w:t>
      </w:r>
    </w:p>
    <w:p>
      <w:pPr>
        <w:spacing w:line="360" w:lineRule="auto"/>
        <w:ind w:left="0" w:leftChars="0" w:firstLine="719" w:firstLineChars="257"/>
        <w:jc w:val="both"/>
        <w:rPr>
          <w:rFonts w:hint="default"/>
          <w:color w:val="000000"/>
          <w:sz w:val="28"/>
          <w:szCs w:val="28"/>
          <w:lang w:val="uk-UA"/>
        </w:rPr>
      </w:pPr>
      <w:r>
        <w:rPr>
          <w:rFonts w:hint="default"/>
          <w:color w:val="000000"/>
          <w:sz w:val="28"/>
          <w:szCs w:val="28"/>
          <w:lang w:val="uk-UA"/>
        </w:rPr>
        <w:t>– індекс задоволеності професією.</w:t>
      </w:r>
    </w:p>
    <w:p>
      <w:pPr>
        <w:spacing w:line="360" w:lineRule="auto"/>
        <w:ind w:left="0" w:leftChars="0" w:firstLine="719" w:firstLineChars="257"/>
        <w:jc w:val="both"/>
        <w:rPr>
          <w:rFonts w:hint="default"/>
          <w:color w:val="000000"/>
          <w:sz w:val="28"/>
          <w:szCs w:val="28"/>
          <w:lang w:val="uk-UA"/>
        </w:rPr>
      </w:pPr>
      <w:r>
        <w:rPr>
          <w:rFonts w:hint="default"/>
          <w:color w:val="000000"/>
          <w:sz w:val="28"/>
          <w:szCs w:val="28"/>
          <w:lang w:val="uk-UA"/>
        </w:rPr>
        <w:t xml:space="preserve">Подібні анкети зазвичай несуть конфіденційний характер, тому про рівень задоволеності системою онбордингу ТОВ “Епіцентр К” можна судити лише за допомогою кількісної оцінки, яка показує достатньо невтішні результати. </w:t>
      </w:r>
    </w:p>
    <w:p>
      <w:pPr>
        <w:spacing w:line="360" w:lineRule="auto"/>
        <w:ind w:left="0" w:leftChars="0" w:firstLine="719" w:firstLineChars="257"/>
        <w:jc w:val="both"/>
        <w:rPr>
          <w:rFonts w:hint="default"/>
          <w:color w:val="000000"/>
          <w:sz w:val="28"/>
          <w:szCs w:val="28"/>
          <w:lang w:val="uk-UA"/>
        </w:rPr>
      </w:pPr>
      <w:r>
        <w:rPr>
          <w:rFonts w:hint="default"/>
          <w:color w:val="000000"/>
          <w:sz w:val="28"/>
          <w:szCs w:val="28"/>
          <w:lang w:val="uk-UA"/>
        </w:rPr>
        <w:t>Однак, за допомогою інформації, яка є в вільному доступі, можна знайти відгуки колишніх працівників або людей, що пройшли процес онбордингу на підприємстві та дізнатися основні проблеми та недоліки системи. Дані про це надані в таблиці 2.6.</w:t>
      </w:r>
    </w:p>
    <w:p>
      <w:pPr>
        <w:spacing w:line="360" w:lineRule="auto"/>
        <w:ind w:left="0" w:leftChars="0" w:firstLine="719" w:firstLineChars="257"/>
        <w:jc w:val="both"/>
        <w:rPr>
          <w:rFonts w:hint="default"/>
          <w:color w:val="000000"/>
          <w:sz w:val="28"/>
          <w:szCs w:val="28"/>
          <w:lang w:val="en-US"/>
        </w:rPr>
      </w:pPr>
      <w:r>
        <w:rPr>
          <w:rFonts w:hint="default"/>
          <w:color w:val="000000"/>
          <w:sz w:val="28"/>
          <w:szCs w:val="28"/>
          <w:lang w:val="uk-UA"/>
        </w:rPr>
        <w:t>Таблиця 2.6 – Причини звільнення за власним бажанням персоналу під час періоду онбордингу на підприємстві ТОВ “Епіцентр К”</w:t>
      </w:r>
      <w:r>
        <w:rPr>
          <w:rFonts w:hint="default"/>
          <w:color w:val="000000"/>
          <w:sz w:val="28"/>
          <w:szCs w:val="28"/>
          <w:lang w:val="en-US"/>
        </w:rPr>
        <w:t xml:space="preserve"> [18]</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Причина звільнення</w:t>
            </w:r>
          </w:p>
        </w:tc>
        <w:tc>
          <w:tcPr>
            <w:tcW w:w="4786"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Кількість осіб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785"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Низький рівень зворотнього зв’язку</w:t>
            </w:r>
          </w:p>
        </w:tc>
        <w:tc>
          <w:tcPr>
            <w:tcW w:w="4786"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Занадто швидкий темп адаптації</w:t>
            </w:r>
          </w:p>
        </w:tc>
        <w:tc>
          <w:tcPr>
            <w:tcW w:w="4786"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Занадто великий обсяг матеріалу</w:t>
            </w:r>
          </w:p>
        </w:tc>
        <w:tc>
          <w:tcPr>
            <w:tcW w:w="4786"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Незадоволеність заробітною платою</w:t>
            </w:r>
          </w:p>
        </w:tc>
        <w:tc>
          <w:tcPr>
            <w:tcW w:w="4786"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Неетичне відношення до працівника</w:t>
            </w:r>
          </w:p>
        </w:tc>
        <w:tc>
          <w:tcPr>
            <w:tcW w:w="4786"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Невідповідність робочого графіку з реальним</w:t>
            </w:r>
          </w:p>
        </w:tc>
        <w:tc>
          <w:tcPr>
            <w:tcW w:w="4786"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85</w:t>
            </w:r>
          </w:p>
        </w:tc>
      </w:tr>
    </w:tbl>
    <w:p>
      <w:pPr>
        <w:spacing w:line="360" w:lineRule="auto"/>
        <w:ind w:left="0" w:leftChars="0" w:firstLine="719" w:firstLineChars="257"/>
        <w:jc w:val="both"/>
        <w:rPr>
          <w:rFonts w:hint="default"/>
          <w:color w:val="000000"/>
          <w:sz w:val="28"/>
          <w:szCs w:val="28"/>
          <w:lang w:val="uk-UA"/>
        </w:rPr>
      </w:pPr>
    </w:p>
    <w:p>
      <w:pPr>
        <w:spacing w:line="360" w:lineRule="auto"/>
        <w:ind w:left="0" w:leftChars="0" w:firstLine="719" w:firstLineChars="257"/>
        <w:jc w:val="both"/>
        <w:rPr>
          <w:rFonts w:hint="default"/>
          <w:color w:val="000000"/>
          <w:sz w:val="28"/>
          <w:szCs w:val="28"/>
          <w:lang w:val="uk-UA"/>
        </w:rPr>
      </w:pPr>
      <w:r>
        <w:rPr>
          <w:rFonts w:hint="default"/>
          <w:color w:val="000000"/>
          <w:sz w:val="28"/>
          <w:szCs w:val="28"/>
          <w:lang w:val="uk-UA"/>
        </w:rPr>
        <w:t>Важливість кожної з зазначених проблем можна визначити за допомогою діаграми відсоткового співвідношення  на рисунку 2.2.</w:t>
      </w:r>
    </w:p>
    <w:p>
      <w:pPr>
        <w:spacing w:line="360" w:lineRule="auto"/>
        <w:jc w:val="center"/>
      </w:pPr>
      <w:r>
        <w:drawing>
          <wp:inline distT="0" distB="0" distL="114300" distR="114300">
            <wp:extent cx="4030345" cy="3386455"/>
            <wp:effectExtent l="0" t="0" r="8255" b="12065"/>
            <wp:docPr id="9"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pic:cNvPicPr>
                      <a:picLocks noChangeAspect="1"/>
                    </pic:cNvPicPr>
                  </pic:nvPicPr>
                  <pic:blipFill>
                    <a:blip r:embed="rId9"/>
                    <a:srcRect l="13300" r="12782"/>
                    <a:stretch>
                      <a:fillRect/>
                    </a:stretch>
                  </pic:blipFill>
                  <pic:spPr>
                    <a:xfrm>
                      <a:off x="0" y="0"/>
                      <a:ext cx="4030345" cy="3386455"/>
                    </a:xfrm>
                    <a:prstGeom prst="rect">
                      <a:avLst/>
                    </a:prstGeom>
                    <a:noFill/>
                    <a:ln>
                      <a:noFill/>
                    </a:ln>
                  </pic:spPr>
                </pic:pic>
              </a:graphicData>
            </a:graphic>
          </wp:inline>
        </w:drawing>
      </w:r>
    </w:p>
    <w:p>
      <w:pPr>
        <w:spacing w:line="360" w:lineRule="auto"/>
        <w:jc w:val="center"/>
        <w:rPr>
          <w:rFonts w:hint="default"/>
          <w:sz w:val="28"/>
          <w:szCs w:val="28"/>
          <w:lang w:val="uk-UA"/>
        </w:rPr>
      </w:pPr>
      <w:r>
        <w:rPr>
          <w:sz w:val="28"/>
          <w:szCs w:val="28"/>
          <w:lang w:val="uk-UA"/>
        </w:rPr>
        <w:t>Рисунок</w:t>
      </w:r>
      <w:r>
        <w:rPr>
          <w:rFonts w:hint="default"/>
          <w:sz w:val="28"/>
          <w:szCs w:val="28"/>
          <w:lang w:val="uk-UA"/>
        </w:rPr>
        <w:t xml:space="preserve"> 2.2 – Відсоткове співвідношення проблем онбордингової системи ТОВ “Епіцентр К”</w:t>
      </w:r>
    </w:p>
    <w:p>
      <w:pPr>
        <w:spacing w:line="360" w:lineRule="auto"/>
        <w:ind w:left="18" w:leftChars="0" w:firstLine="702" w:firstLineChars="0"/>
        <w:jc w:val="both"/>
        <w:rPr>
          <w:rFonts w:hint="default"/>
          <w:color w:val="000000"/>
          <w:sz w:val="32"/>
          <w:szCs w:val="32"/>
          <w:lang w:val="en-US"/>
        </w:rPr>
      </w:pPr>
      <w:r>
        <w:rPr>
          <w:rFonts w:hint="default" w:ascii="Times New Roman" w:hAnsi="Times New Roman" w:eastAsia="Times New Roman"/>
          <w:i/>
          <w:color w:val="000000"/>
          <w:sz w:val="24"/>
          <w:szCs w:val="28"/>
        </w:rPr>
        <w:t>Джерело: складено автором за даними</w:t>
      </w:r>
      <w:r>
        <w:rPr>
          <w:rFonts w:hint="default"/>
          <w:i/>
          <w:color w:val="000000"/>
          <w:sz w:val="24"/>
          <w:szCs w:val="28"/>
          <w:lang w:val="en-US"/>
        </w:rPr>
        <w:t xml:space="preserve"> [18]</w:t>
      </w:r>
    </w:p>
    <w:p>
      <w:pPr>
        <w:spacing w:line="360" w:lineRule="auto"/>
        <w:jc w:val="center"/>
        <w:rPr>
          <w:rFonts w:hint="default"/>
          <w:sz w:val="28"/>
          <w:szCs w:val="28"/>
          <w:lang w:val="uk-UA"/>
        </w:rPr>
      </w:pPr>
    </w:p>
    <w:p>
      <w:pPr>
        <w:spacing w:line="360" w:lineRule="auto"/>
        <w:ind w:left="0" w:leftChars="0" w:firstLine="840" w:firstLineChars="300"/>
        <w:jc w:val="both"/>
        <w:rPr>
          <w:rFonts w:hint="default"/>
          <w:color w:val="000000"/>
          <w:sz w:val="28"/>
          <w:szCs w:val="28"/>
          <w:lang w:val="uk-UA"/>
        </w:rPr>
      </w:pPr>
      <w:r>
        <w:rPr>
          <w:rFonts w:hint="default"/>
          <w:color w:val="000000"/>
          <w:sz w:val="28"/>
          <w:szCs w:val="28"/>
          <w:lang w:val="uk-UA"/>
        </w:rPr>
        <w:t>Отже, найбільш вагомою проблемою люди вважають заробітну плату. Тому доцільним буде дослідити її відповідність відносно загального матеріального забезпечення українців (табл. 2.7)</w:t>
      </w:r>
    </w:p>
    <w:p>
      <w:pPr>
        <w:spacing w:line="360" w:lineRule="auto"/>
        <w:ind w:left="0" w:leftChars="0" w:firstLine="840" w:firstLineChars="300"/>
        <w:jc w:val="both"/>
        <w:rPr>
          <w:rFonts w:hint="default"/>
          <w:color w:val="000000"/>
          <w:sz w:val="28"/>
          <w:szCs w:val="28"/>
          <w:lang w:val="en-US"/>
        </w:rPr>
      </w:pPr>
      <w:r>
        <w:rPr>
          <w:rFonts w:hint="default"/>
          <w:color w:val="000000"/>
          <w:sz w:val="28"/>
          <w:szCs w:val="28"/>
          <w:lang w:val="uk-UA"/>
        </w:rPr>
        <w:t>Таблиця 2.7 – Рівень відповідності заробітної плати на підприємстві ТОВ “Епіцентр К” відповідно до загального рівня в Україні</w:t>
      </w:r>
      <w:r>
        <w:rPr>
          <w:rFonts w:hint="default"/>
          <w:color w:val="000000"/>
          <w:sz w:val="28"/>
          <w:szCs w:val="28"/>
          <w:lang w:val="en-US"/>
        </w:rPr>
        <w:t xml:space="preserve"> [18–19]</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4"/>
        <w:gridCol w:w="1920"/>
        <w:gridCol w:w="1907"/>
        <w:gridCol w:w="1600"/>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4"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Назва показника</w:t>
            </w:r>
          </w:p>
        </w:tc>
        <w:tc>
          <w:tcPr>
            <w:tcW w:w="1920"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2019</w:t>
            </w:r>
          </w:p>
        </w:tc>
        <w:tc>
          <w:tcPr>
            <w:tcW w:w="1907"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2020</w:t>
            </w:r>
          </w:p>
        </w:tc>
        <w:tc>
          <w:tcPr>
            <w:tcW w:w="1600"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2021</w:t>
            </w:r>
          </w:p>
        </w:tc>
        <w:tc>
          <w:tcPr>
            <w:tcW w:w="1360"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84"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Середня заробітна плата на ТОВ “Епіцентр К”, грн.</w:t>
            </w:r>
          </w:p>
        </w:tc>
        <w:tc>
          <w:tcPr>
            <w:tcW w:w="1920"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4"/>
                <w:szCs w:val="24"/>
                <w:vertAlign w:val="baseline"/>
                <w:lang w:val="uk-UA"/>
              </w:rPr>
              <w:t>7 191</w:t>
            </w:r>
          </w:p>
        </w:tc>
        <w:tc>
          <w:tcPr>
            <w:tcW w:w="1907"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4"/>
                <w:szCs w:val="24"/>
                <w:vertAlign w:val="baseline"/>
                <w:lang w:val="uk-UA"/>
              </w:rPr>
              <w:t>7 826,1</w:t>
            </w:r>
          </w:p>
        </w:tc>
        <w:tc>
          <w:tcPr>
            <w:tcW w:w="1600"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4"/>
                <w:szCs w:val="24"/>
                <w:vertAlign w:val="baseline"/>
                <w:lang w:val="uk-UA"/>
              </w:rPr>
              <w:t>9 618,3</w:t>
            </w:r>
          </w:p>
        </w:tc>
        <w:tc>
          <w:tcPr>
            <w:tcW w:w="1360"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11 875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4" w:type="dxa"/>
            <w:vAlign w:val="center"/>
          </w:tcPr>
          <w:p>
            <w:pPr>
              <w:widowControl w:val="0"/>
              <w:spacing w:line="360" w:lineRule="auto"/>
              <w:jc w:val="center"/>
              <w:rPr>
                <w:rFonts w:hint="default"/>
                <w:b/>
                <w:bCs/>
                <w:color w:val="000000"/>
                <w:sz w:val="28"/>
                <w:szCs w:val="28"/>
                <w:vertAlign w:val="baseline"/>
                <w:lang w:val="uk-UA"/>
              </w:rPr>
            </w:pPr>
            <w:r>
              <w:rPr>
                <w:rFonts w:hint="default"/>
                <w:b/>
                <w:bCs/>
                <w:color w:val="000000"/>
                <w:sz w:val="28"/>
                <w:szCs w:val="28"/>
                <w:vertAlign w:val="baseline"/>
                <w:lang w:val="uk-UA"/>
              </w:rPr>
              <w:t>Середня заробітна плата в Україні, грн.</w:t>
            </w:r>
          </w:p>
        </w:tc>
        <w:tc>
          <w:tcPr>
            <w:tcW w:w="1920"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9 223</w:t>
            </w:r>
          </w:p>
        </w:tc>
        <w:tc>
          <w:tcPr>
            <w:tcW w:w="1907"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10 340</w:t>
            </w:r>
          </w:p>
        </w:tc>
        <w:tc>
          <w:tcPr>
            <w:tcW w:w="1600"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14 313</w:t>
            </w:r>
          </w:p>
        </w:tc>
        <w:tc>
          <w:tcPr>
            <w:tcW w:w="1360" w:type="dxa"/>
            <w:vAlign w:val="center"/>
          </w:tcPr>
          <w:p>
            <w:pPr>
              <w:widowControl w:val="0"/>
              <w:spacing w:line="360" w:lineRule="auto"/>
              <w:jc w:val="center"/>
              <w:rPr>
                <w:rFonts w:hint="default"/>
                <w:color w:val="000000"/>
                <w:sz w:val="28"/>
                <w:szCs w:val="28"/>
                <w:vertAlign w:val="baseline"/>
                <w:lang w:val="uk-UA"/>
              </w:rPr>
            </w:pPr>
            <w:r>
              <w:rPr>
                <w:rFonts w:hint="default"/>
                <w:color w:val="000000"/>
                <w:sz w:val="28"/>
                <w:szCs w:val="28"/>
                <w:vertAlign w:val="baseline"/>
                <w:lang w:val="uk-UA"/>
              </w:rPr>
              <w:t>14 577</w:t>
            </w:r>
          </w:p>
        </w:tc>
      </w:tr>
    </w:tbl>
    <w:p>
      <w:pPr>
        <w:spacing w:line="360" w:lineRule="auto"/>
        <w:jc w:val="both"/>
        <w:rPr>
          <w:rFonts w:hint="default"/>
          <w:color w:val="000000"/>
          <w:sz w:val="28"/>
          <w:szCs w:val="28"/>
          <w:lang w:val="ru-RU"/>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uk-UA" w:eastAsia="ru-RU" w:bidi="ar-SA"/>
        </w:rPr>
        <w:t>З таблиці 2.7 видно, що середня заробітна плата українців значною мірою відрізняється від середньої заробітної плати на підприємстві ТОВ “Епіцентр К”. Зважаючи на те, що на більшість посад вимагаються наступні вимоги:</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en-US" w:eastAsia="ru-RU" w:bidi="ar-SA"/>
        </w:rPr>
        <w:t>–</w:t>
      </w:r>
      <w:r>
        <w:rPr>
          <w:rFonts w:hint="default" w:cs="Times New Roman"/>
          <w:kern w:val="0"/>
          <w:sz w:val="28"/>
          <w:szCs w:val="28"/>
          <w:lang w:val="uk-UA" w:eastAsia="ru-RU" w:bidi="ar-SA"/>
        </w:rPr>
        <w:t xml:space="preserve"> вища освіта;</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uk-UA" w:eastAsia="ru-RU" w:bidi="ar-SA"/>
        </w:rPr>
        <w:t>– досвід роботи від 1 до 3 років;</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uk-UA" w:eastAsia="ru-RU" w:bidi="ar-SA"/>
        </w:rPr>
        <w:t xml:space="preserve"> – знання англійської мови та бажана наявність сертифікату </w:t>
      </w:r>
      <w:r>
        <w:rPr>
          <w:rFonts w:hint="default" w:cs="Times New Roman"/>
          <w:kern w:val="0"/>
          <w:sz w:val="28"/>
          <w:szCs w:val="28"/>
          <w:lang w:val="en-US" w:eastAsia="ru-RU" w:bidi="ar-SA"/>
        </w:rPr>
        <w:t>TOEFL/IELTS</w:t>
      </w:r>
      <w:r>
        <w:rPr>
          <w:rFonts w:hint="default" w:cs="Times New Roman"/>
          <w:kern w:val="0"/>
          <w:sz w:val="28"/>
          <w:szCs w:val="28"/>
          <w:lang w:val="uk-UA" w:eastAsia="ru-RU" w:bidi="ar-SA"/>
        </w:rPr>
        <w:t>.</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uk-UA" w:eastAsia="ru-RU" w:bidi="ar-SA"/>
        </w:rPr>
        <w:t>Можна зробити висновок, що низька заробітна плата є серйозною проблемою для систему онбордингу персоналу. До того ж, за останній рік відомі численні випадки про затримку або невиплату зарплати на підприємстві. Всі відгуки та документи з судових процесів знаходяться у вільному доступі та можуть значною мірою негативно вплинути на репутацію та імідж компанії.</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uk-UA" w:eastAsia="ru-RU" w:bidi="ar-SA"/>
        </w:rPr>
        <w:t xml:space="preserve">Наступною за важливістю проблемою є невідповідність вказаного в посадовій інструкції робочого графіку з реальним. Від початку карантинних обмежень велика кількість співробітників скаржилася на неоплачувані перепрацювання, які стали вже більш правилом ніж виключенням. </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uk-UA" w:eastAsia="ru-RU" w:bidi="ar-SA"/>
        </w:rPr>
        <w:t xml:space="preserve">Наступними майже рівноцінно значимими причинами, які тісно взаємопов’язані між собою є занадто швидкий темп адаптації та велика кількість матеріалу для вивчення. Відомо, що ТОВ “Епіцентр К” має велику розгалужену мережу товарів, відповідно й кількість інформації, яку необхідно вивчити за період онбордингу для нового персонала є значною. Обов’язковий до ознайомлення “Посібник стажера” налічує в собі 130 сторінок друкованої загальної інформації, яку треба вивчити, а це є лише невеликим мінімумом від всієї адаптаційної програми. Відповідно, 1-3 місяців може бути недостатнім для якісного та комфортного адаптування на робоче місце. </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uk-UA" w:eastAsia="ru-RU" w:bidi="ar-SA"/>
        </w:rPr>
        <w:t>Наступною причиною є низький рівень зворотного зв’язку. Відомі випадки, коли майбутній кандидат декілька тижнів чекав на зворотній зв’язок з приводу відгуку на вакансію, а в подальшому працівники часто стикалися з неоперативними відповідями менторів та коучів.</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uk-UA" w:eastAsia="ru-RU" w:bidi="ar-SA"/>
        </w:rPr>
        <w:t>Останньою причиною є неетичне відношення до нових працівників з боку керівництва. Відомі випадки зверхнього ставлення керівників до підлеглих, порушення можливих повноважень, використання нецензурної лексики, відмова у вихідних чи лікарняних тощо.</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cs="Times New Roman"/>
          <w:kern w:val="0"/>
          <w:sz w:val="28"/>
          <w:szCs w:val="28"/>
          <w:lang w:val="uk-UA" w:eastAsia="ru-RU" w:bidi="ar-SA"/>
        </w:rPr>
        <w:t xml:space="preserve">Отже, зважаючи на проведений аналіз, можна зробити висновок, що на підприємстві ТОВ “Епіцентр К” система онбордингу добре сформована та оснащена необхідними цифровими технологіями, обов’язковими для якісної та комфортної адаптації нових працівників. Але головними проблемами є низька заробітна плата та неякісне виконання обов’язків персоналом, який приймає безспосередню участь в адаптації нових співробітників. </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p>
      <w:pPr>
        <w:spacing w:line="276" w:lineRule="auto"/>
        <w:jc w:val="center"/>
        <w:rPr>
          <w:b/>
          <w:bCs/>
          <w:color w:val="000000"/>
          <w:sz w:val="28"/>
          <w:szCs w:val="28"/>
        </w:rPr>
      </w:pPr>
      <w:r>
        <w:rPr>
          <w:b/>
          <w:bCs/>
          <w:color w:val="000000"/>
          <w:sz w:val="28"/>
          <w:szCs w:val="28"/>
        </w:rPr>
        <w:t>РОЗДІЛ 3</w:t>
      </w:r>
    </w:p>
    <w:p>
      <w:pPr>
        <w:spacing w:line="276" w:lineRule="auto"/>
        <w:jc w:val="center"/>
        <w:rPr>
          <w:b/>
          <w:bCs/>
          <w:sz w:val="28"/>
          <w:szCs w:val="28"/>
        </w:rPr>
      </w:pPr>
      <w:r>
        <w:rPr>
          <w:b/>
          <w:bCs/>
          <w:color w:val="000000"/>
          <w:sz w:val="28"/>
          <w:szCs w:val="28"/>
        </w:rPr>
        <w:t xml:space="preserve">НАПРЯМИ ВДОСКОНАЛЕННЯ СИСТЕМИ ОНБОРДИНГУ ПЕРСОНАЛУ НА ПІДПРИЄМСТВІ </w:t>
      </w:r>
      <w:r>
        <w:rPr>
          <w:b/>
          <w:bCs/>
          <w:sz w:val="28"/>
          <w:szCs w:val="28"/>
        </w:rPr>
        <w:t>ТОВ «ЕПІЦЕНТР К» В УМОВАХ ВІЙНИ</w:t>
      </w:r>
    </w:p>
    <w:p>
      <w:pPr>
        <w:spacing w:line="276" w:lineRule="auto"/>
        <w:jc w:val="center"/>
        <w:rPr>
          <w:b/>
          <w:bCs/>
          <w:sz w:val="28"/>
          <w:szCs w:val="28"/>
        </w:rPr>
      </w:pPr>
    </w:p>
    <w:p>
      <w:pPr>
        <w:spacing w:line="276" w:lineRule="auto"/>
        <w:ind w:left="0" w:leftChars="0" w:firstLine="720" w:firstLineChars="0"/>
        <w:jc w:val="both"/>
        <w:rPr>
          <w:b/>
          <w:bCs/>
          <w:sz w:val="28"/>
          <w:szCs w:val="28"/>
        </w:rPr>
      </w:pPr>
      <w:r>
        <w:rPr>
          <w:b/>
          <w:bCs/>
          <w:sz w:val="28"/>
          <w:szCs w:val="28"/>
        </w:rPr>
        <w:t>3.1 Формування заходів адаптації системи онбордингу персоналу на підприємстві в умовах війни</w:t>
      </w:r>
    </w:p>
    <w:p>
      <w:pPr>
        <w:spacing w:line="276" w:lineRule="auto"/>
        <w:ind w:left="0" w:leftChars="0" w:firstLine="720" w:firstLineChars="0"/>
        <w:jc w:val="both"/>
        <w:rPr>
          <w:b/>
          <w:bCs/>
          <w:sz w:val="28"/>
          <w:szCs w:val="28"/>
        </w:rPr>
      </w:pPr>
    </w:p>
    <w:p>
      <w:pPr>
        <w:spacing w:line="360" w:lineRule="auto"/>
        <w:ind w:left="0" w:leftChars="0" w:firstLine="720" w:firstLineChars="0"/>
        <w:jc w:val="both"/>
        <w:rPr>
          <w:rFonts w:hint="default"/>
          <w:b w:val="0"/>
          <w:bCs w:val="0"/>
          <w:sz w:val="28"/>
          <w:szCs w:val="28"/>
          <w:lang w:val="uk-UA"/>
        </w:rPr>
      </w:pPr>
      <w:r>
        <w:rPr>
          <w:b w:val="0"/>
          <w:bCs w:val="0"/>
          <w:sz w:val="28"/>
          <w:szCs w:val="28"/>
          <w:lang w:val="uk-UA"/>
        </w:rPr>
        <w:t>В</w:t>
      </w:r>
      <w:r>
        <w:rPr>
          <w:rFonts w:hint="default"/>
          <w:b w:val="0"/>
          <w:bCs w:val="0"/>
          <w:sz w:val="28"/>
          <w:szCs w:val="28"/>
          <w:lang w:val="uk-UA"/>
        </w:rPr>
        <w:t xml:space="preserve"> минулому розділі були розглянуті переваги та недоліки наявної системи онбордингу персоналу на підприємстві ТОВ “Епіцентр К”. Було встановлено, що підприємство має добре сформовану систему адаптації нового персоналу, активно використовує нові технології, застосовуючи онлайн-засоби та платформи для навчання нового персоналу.</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 xml:space="preserve">Але, при цьому, головними проблемами залишається низький рівень заробітної плати працівників, занадто швидкий темп адаптації для такого великого обсягу матеріалу, з яким необхідно ознайомитися новачкам. Також важливим недоліком є людські якості персоналу, який знаходиться на керівних посадах та/або відповідають за процес онбордингу на підприємстві. </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Зважаючи на це можна розробити оновлені заходи адаптації, які б могли допомогти підвищити продуктивність підприємства та покращити його імідж задля залучення нового персоналу. Для цього спочатку розглядатимуться можливі нововведення, з яких потім будуть сформовані покращення для системи онбордингу ТОВ “Епіцентр К”.</w:t>
      </w:r>
    </w:p>
    <w:p>
      <w:pPr>
        <w:spacing w:line="360" w:lineRule="auto"/>
        <w:ind w:left="0" w:leftChars="0" w:firstLine="720" w:firstLineChars="0"/>
        <w:jc w:val="both"/>
        <w:rPr>
          <w:rFonts w:hint="default"/>
          <w:b w:val="0"/>
          <w:bCs w:val="0"/>
          <w:sz w:val="28"/>
          <w:szCs w:val="28"/>
          <w:lang w:val="uk-UA"/>
        </w:rPr>
      </w:pPr>
      <w:r>
        <w:rPr>
          <w:rFonts w:hint="default"/>
          <w:b/>
          <w:bCs/>
          <w:sz w:val="28"/>
          <w:szCs w:val="28"/>
          <w:lang w:val="uk-UA"/>
        </w:rPr>
        <w:t xml:space="preserve">Залучення до співпраці з першого дня. </w:t>
      </w:r>
      <w:r>
        <w:rPr>
          <w:rFonts w:hint="default"/>
          <w:b w:val="0"/>
          <w:bCs w:val="0"/>
          <w:sz w:val="28"/>
          <w:szCs w:val="28"/>
          <w:lang w:val="uk-UA"/>
        </w:rPr>
        <w:t>Під час проведення дослідження було виявлено велику кількість скарг про те, що після підписання контракту  ТОВ “Епіцентр К” припиняють спілкування з новими працівниками, залишаючи їх у невіданні до дати початку роботи. Важливо підтримувати зв'язок і залучати таланти з першого робочого дня. Також, зважаючи на військове положення в країні, новим співробітникам слід надавати інструкції щодо проходження захисних робіт та поводження в небезпечній ситуації.</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 xml:space="preserve">Період між прийняттям кандидата і датою початку роботи є “часом найбільшого ризику”. Кандидати все ще відкриті для інших пропозицій і можуть легко відкликати свою пропозицію ще до початку роботи. Коли керівник, </w:t>
      </w:r>
      <w:r>
        <w:rPr>
          <w:rFonts w:hint="default"/>
          <w:b w:val="0"/>
          <w:bCs w:val="0"/>
          <w:sz w:val="28"/>
          <w:szCs w:val="28"/>
          <w:lang w:val="en-US"/>
        </w:rPr>
        <w:t>HR</w:t>
      </w:r>
      <w:r>
        <w:rPr>
          <w:rFonts w:hint="default"/>
          <w:b w:val="0"/>
          <w:bCs w:val="0"/>
          <w:sz w:val="28"/>
          <w:szCs w:val="28"/>
          <w:lang w:val="ru-RU"/>
        </w:rPr>
        <w:t xml:space="preserve"> або ментор/коуч в</w:t>
      </w:r>
      <w:r>
        <w:rPr>
          <w:rFonts w:hint="default"/>
          <w:b w:val="0"/>
          <w:bCs w:val="0"/>
          <w:sz w:val="28"/>
          <w:szCs w:val="28"/>
          <w:lang w:val="uk-UA"/>
        </w:rPr>
        <w:t xml:space="preserve">исловлює своє захоплення новою посадою, нові працівники з більшим ентузіазмом заохочуються до роботи. Такий підхід добре реалізовувати, якщо постійно відповідати на будь-які питання, які можуть мати кандидати і якомога частіше їм допомагати </w:t>
      </w:r>
      <w:r>
        <w:rPr>
          <w:rFonts w:hint="default"/>
          <w:b w:val="0"/>
          <w:bCs w:val="0"/>
          <w:sz w:val="28"/>
          <w:szCs w:val="28"/>
          <w:lang w:val="en-US"/>
        </w:rPr>
        <w:t>[20]</w:t>
      </w:r>
      <w:r>
        <w:rPr>
          <w:rFonts w:hint="default"/>
          <w:b w:val="0"/>
          <w:bCs w:val="0"/>
          <w:sz w:val="28"/>
          <w:szCs w:val="28"/>
          <w:lang w:val="uk-UA"/>
        </w:rPr>
        <w:t>.</w:t>
      </w:r>
    </w:p>
    <w:p>
      <w:pPr>
        <w:spacing w:line="360" w:lineRule="auto"/>
        <w:ind w:left="0" w:leftChars="0" w:firstLine="720" w:firstLineChars="0"/>
        <w:jc w:val="both"/>
        <w:rPr>
          <w:rFonts w:hint="default"/>
          <w:b w:val="0"/>
          <w:bCs w:val="0"/>
          <w:sz w:val="28"/>
          <w:szCs w:val="28"/>
          <w:lang w:val="uk-UA"/>
        </w:rPr>
      </w:pPr>
      <w:r>
        <w:rPr>
          <w:rFonts w:hint="default"/>
          <w:b/>
          <w:bCs/>
          <w:sz w:val="28"/>
          <w:szCs w:val="28"/>
          <w:lang w:val="uk-UA"/>
        </w:rPr>
        <w:t xml:space="preserve">Створення партнерства для співпраці. </w:t>
      </w:r>
      <w:r>
        <w:rPr>
          <w:rFonts w:hint="default"/>
          <w:b w:val="0"/>
          <w:bCs w:val="0"/>
          <w:sz w:val="28"/>
          <w:szCs w:val="28"/>
          <w:lang w:val="uk-UA"/>
        </w:rPr>
        <w:t>Сюди входить допомога новим працівникам легко влитися в посаду, доручивши їм співпрацювати з досвідченим співробітником, який виступатиме в ролі єдиної контактної особи. Таке партнерство дає новому працівникові надійного друга, який миттєво познайомить його з командою, проведе практичні тренінги, щоб швидше освоїти роботу та інтегрувати його в культуру компанії.</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Призначення партнера по робочому місцю – це чудовий спосіб для нового співробітника дізнатися про популярні місця для обіду, культурні особливості та будь-які додаткові хитрощі, яких навчилися досвідчені працівники за цей час. Опитування, проведене компанією Clear Company, показало, що 51% співробітників працюють з більшим ентузіазмом, коли у них є друг на роботі, що підвищує їхню продуктивність і мотивацію.</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До того ж, такий спосіб не вимагає залучення великої кількості фінансування, адже процес онбордингу відбувається гармонійно та природньо</w:t>
      </w:r>
      <w:r>
        <w:rPr>
          <w:rFonts w:hint="default"/>
          <w:b w:val="0"/>
          <w:bCs w:val="0"/>
          <w:sz w:val="28"/>
          <w:szCs w:val="28"/>
          <w:lang w:val="en-US"/>
        </w:rPr>
        <w:t xml:space="preserve"> [21]</w:t>
      </w:r>
      <w:r>
        <w:rPr>
          <w:rFonts w:hint="default"/>
          <w:b w:val="0"/>
          <w:bCs w:val="0"/>
          <w:sz w:val="28"/>
          <w:szCs w:val="28"/>
          <w:lang w:val="uk-UA"/>
        </w:rPr>
        <w:t>.</w:t>
      </w:r>
    </w:p>
    <w:p>
      <w:pPr>
        <w:spacing w:line="360" w:lineRule="auto"/>
        <w:ind w:left="0" w:leftChars="0" w:firstLine="720" w:firstLineChars="0"/>
        <w:jc w:val="both"/>
        <w:rPr>
          <w:rFonts w:hint="default"/>
          <w:b w:val="0"/>
          <w:bCs w:val="0"/>
          <w:sz w:val="28"/>
          <w:szCs w:val="28"/>
          <w:lang w:val="uk-UA"/>
        </w:rPr>
      </w:pPr>
      <w:r>
        <w:rPr>
          <w:rFonts w:hint="default"/>
          <w:b/>
          <w:bCs/>
          <w:i w:val="0"/>
          <w:iCs w:val="0"/>
          <w:sz w:val="28"/>
          <w:szCs w:val="28"/>
          <w:lang w:val="uk-UA"/>
        </w:rPr>
        <w:t xml:space="preserve">Вітання з ентузіазмом. </w:t>
      </w:r>
      <w:r>
        <w:rPr>
          <w:rFonts w:hint="default"/>
          <w:b w:val="0"/>
          <w:bCs w:val="0"/>
          <w:sz w:val="28"/>
          <w:szCs w:val="28"/>
          <w:lang w:val="uk-UA"/>
        </w:rPr>
        <w:t>Створення позитивного першого враження має вирішальне значення для роботи нових співробітників у компанії. Опитування, проведене TINYpulse, показало, що 22% плинності кадрів відбувається протягом перших 45 днів з моменту найму нового співробітника. Якщо новий член команди не відчуває, що його цінують, або що його навчання не відповідає вимогам, він, швидше за все, піде і шукатиме кращої можливості.</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Важливим є допомогти новому працівнику підтвердити своє рішення прийняти свою роль, влаштувавши йому теплий прийом, коли він прийде на роботу в перший день. До привітання нового працівника має бути залучений кожен. Коли нові працівники відчувають, що їх вітають колеги, рівень їхньої залученості зростає. Перше враження має вирішальне значення, щоб показати, наскільки компанія рада бачити їх частиною команди</w:t>
      </w:r>
      <w:r>
        <w:rPr>
          <w:rFonts w:hint="default"/>
          <w:b w:val="0"/>
          <w:bCs w:val="0"/>
          <w:sz w:val="28"/>
          <w:szCs w:val="28"/>
          <w:lang w:val="en-US"/>
        </w:rPr>
        <w:t xml:space="preserve"> [20]</w:t>
      </w:r>
      <w:r>
        <w:rPr>
          <w:rFonts w:hint="default"/>
          <w:b w:val="0"/>
          <w:bCs w:val="0"/>
          <w:sz w:val="28"/>
          <w:szCs w:val="28"/>
          <w:lang w:val="uk-UA"/>
        </w:rPr>
        <w:t>.</w:t>
      </w:r>
    </w:p>
    <w:p>
      <w:pPr>
        <w:spacing w:line="360" w:lineRule="auto"/>
        <w:ind w:left="0" w:leftChars="0" w:firstLine="720" w:firstLineChars="0"/>
        <w:jc w:val="both"/>
        <w:rPr>
          <w:rFonts w:hint="default"/>
          <w:b w:val="0"/>
          <w:bCs w:val="0"/>
          <w:sz w:val="28"/>
          <w:szCs w:val="28"/>
          <w:lang w:val="uk-UA"/>
        </w:rPr>
      </w:pPr>
      <w:r>
        <w:rPr>
          <w:rFonts w:hint="default"/>
          <w:b/>
          <w:bCs/>
          <w:sz w:val="28"/>
          <w:szCs w:val="28"/>
          <w:lang w:val="uk-UA"/>
        </w:rPr>
        <w:t xml:space="preserve">Прихильність. </w:t>
      </w:r>
      <w:r>
        <w:rPr>
          <w:rFonts w:hint="default"/>
          <w:b w:val="0"/>
          <w:bCs w:val="0"/>
          <w:sz w:val="28"/>
          <w:szCs w:val="28"/>
          <w:lang w:val="uk-UA"/>
        </w:rPr>
        <w:t>Більшість компаній плутають орієнтацію з онбордінговою програмою. Орієнтація – це разовий захід, зазвичай тривалістю до одного тижня, в якому основна увага приділяється оформленню документів і дотриманню вимог. Програма адаптації – це процес інтеграції нового працівника в його роль за допомогою навчання, підтримки та очікувань, які допомагають йому досягти успіху в цій ролі.</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Загалом, працівникам потрібно вісім місяців, щоб досягти піку продуктивності, проте в середньому програма адаптації триває лише три місяці. Найуспішніші програми тривають до одного року з частими перевірками та зворотним зв'язком протягом усього періоду. Компанії, які проводять тривалі адаптаційні програми, прискорюють освоєння нових працівників на 34%</w:t>
      </w:r>
      <w:r>
        <w:rPr>
          <w:rFonts w:hint="default"/>
          <w:b w:val="0"/>
          <w:bCs w:val="0"/>
          <w:sz w:val="28"/>
          <w:szCs w:val="28"/>
          <w:lang w:val="en-US"/>
        </w:rPr>
        <w:t xml:space="preserve"> [23]</w:t>
      </w:r>
      <w:r>
        <w:rPr>
          <w:rFonts w:hint="default"/>
          <w:b w:val="0"/>
          <w:bCs w:val="0"/>
          <w:sz w:val="28"/>
          <w:szCs w:val="28"/>
          <w:lang w:val="uk-UA"/>
        </w:rPr>
        <w:t>.</w:t>
      </w:r>
    </w:p>
    <w:p>
      <w:pPr>
        <w:spacing w:line="360" w:lineRule="auto"/>
        <w:ind w:left="0" w:leftChars="0" w:firstLine="720" w:firstLineChars="0"/>
        <w:jc w:val="both"/>
        <w:rPr>
          <w:rFonts w:hint="default"/>
          <w:b w:val="0"/>
          <w:bCs w:val="0"/>
          <w:sz w:val="28"/>
          <w:szCs w:val="28"/>
          <w:lang w:val="uk-UA"/>
        </w:rPr>
      </w:pPr>
      <w:r>
        <w:rPr>
          <w:rFonts w:hint="default"/>
          <w:b/>
          <w:bCs/>
          <w:sz w:val="28"/>
          <w:szCs w:val="28"/>
          <w:lang w:val="uk-UA"/>
        </w:rPr>
        <w:t xml:space="preserve">Усунення стресу за допомогою структурованого плану. </w:t>
      </w:r>
      <w:r>
        <w:rPr>
          <w:rFonts w:hint="default"/>
          <w:b w:val="0"/>
          <w:bCs w:val="0"/>
          <w:sz w:val="28"/>
          <w:szCs w:val="28"/>
          <w:lang w:val="uk-UA"/>
        </w:rPr>
        <w:t>Це нормально, що кандидати нервують перед початком нової роботи. Компанії, які не мають плану їхнього прибуття, збільшують тривожність і без того стресової ситуації. Це показує новому співробітнику, що компанія не достатньо цінує його, щоб підготуватися до його приїзду, змушуючи його сумніватися у своєму рішенні.</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Percolate, платформа контент-маркетингу, має виняткову онбордингову програму зі структурованим графіком. Вона охоплює все – від листа-пропозиції до першого робочого дня, навіть включає веселий вітальний набір на робочому столі для привітання. Співробітники, які пройшли через цей процес, були вражені всім цим досвідом. Кожна деталь програми була добре продумана, а її основа залишається незмінною з моменту заснування.</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В умовах війни новим співробітникам може бути важко зосередитися на процесі онбордингу. Тому варто спрямовувати їхню увагу на основні завдання та давати чіткі та зрозумілі інструкції для виконання роботи. Крім того, можна підготувати короткий посібник для нових співробітників, який міститиме інформацію про компанію, її цінності та завдання, що їх потрібно виконувати</w:t>
      </w:r>
      <w:r>
        <w:rPr>
          <w:rFonts w:hint="default"/>
          <w:b w:val="0"/>
          <w:bCs w:val="0"/>
          <w:sz w:val="28"/>
          <w:szCs w:val="28"/>
          <w:lang w:val="en-US"/>
        </w:rPr>
        <w:t xml:space="preserve"> [21]</w:t>
      </w:r>
      <w:r>
        <w:rPr>
          <w:rFonts w:hint="default"/>
          <w:b w:val="0"/>
          <w:bCs w:val="0"/>
          <w:sz w:val="28"/>
          <w:szCs w:val="28"/>
          <w:lang w:val="uk-UA"/>
        </w:rPr>
        <w:t>.</w:t>
      </w:r>
    </w:p>
    <w:p>
      <w:pPr>
        <w:spacing w:line="360" w:lineRule="auto"/>
        <w:ind w:left="0" w:leftChars="0" w:firstLine="720" w:firstLineChars="0"/>
        <w:jc w:val="both"/>
        <w:rPr>
          <w:rFonts w:hint="default"/>
          <w:b w:val="0"/>
          <w:bCs w:val="0"/>
          <w:sz w:val="28"/>
          <w:szCs w:val="28"/>
          <w:lang w:val="uk-UA"/>
        </w:rPr>
      </w:pPr>
      <w:r>
        <w:rPr>
          <w:rFonts w:hint="default"/>
          <w:b/>
          <w:bCs/>
          <w:sz w:val="28"/>
          <w:szCs w:val="28"/>
          <w:lang w:val="uk-UA"/>
        </w:rPr>
        <w:t xml:space="preserve">Планування часу індивідуальної співпраці. </w:t>
      </w:r>
      <w:r>
        <w:rPr>
          <w:rFonts w:hint="default"/>
          <w:b w:val="0"/>
          <w:bCs w:val="0"/>
          <w:sz w:val="28"/>
          <w:szCs w:val="28"/>
          <w:lang w:val="uk-UA"/>
        </w:rPr>
        <w:t>У нещодавньому опитуванні LinkedIn 96% нових співробітників заявили, що особиста зустріч з безпосереднім керівником має вирішальне значення для отримання хорошого досвіду адаптації. Це шанс для керівника справити перше враження, приділивши час новому члену команди.</w:t>
      </w:r>
    </w:p>
    <w:p>
      <w:pPr>
        <w:spacing w:line="360" w:lineRule="auto"/>
        <w:ind w:left="0" w:leftChars="0" w:firstLine="720" w:firstLineChars="0"/>
        <w:jc w:val="both"/>
        <w:rPr>
          <w:rFonts w:hint="default"/>
          <w:b w:val="0"/>
          <w:bCs w:val="0"/>
          <w:sz w:val="28"/>
          <w:szCs w:val="28"/>
          <w:lang w:val="uk-UA"/>
        </w:rPr>
      </w:pPr>
      <w:r>
        <w:rPr>
          <w:rFonts w:hint="default"/>
          <w:b w:val="0"/>
          <w:bCs w:val="0"/>
          <w:sz w:val="28"/>
          <w:szCs w:val="28"/>
          <w:lang w:val="uk-UA"/>
        </w:rPr>
        <w:t>Процес адаптації – це не просто підписання паперів, це знайомство з людьми, з якими працівник працюватиме і перед якими звітуватиме. Незважаючи на щільний графік, менеджери повинні приділяти пріоритетну увагу новому співробітнику, виділяючи йому час для індивідуальних зустрічей. Це допоможе полегшити перехід від нового працівника до члена команди.</w:t>
      </w:r>
    </w:p>
    <w:p>
      <w:pPr>
        <w:spacing w:line="360" w:lineRule="auto"/>
        <w:ind w:left="0" w:leftChars="0" w:firstLine="720" w:firstLineChars="0"/>
        <w:jc w:val="both"/>
        <w:rPr>
          <w:rFonts w:hint="default"/>
          <w:b w:val="0"/>
          <w:bCs w:val="0"/>
          <w:sz w:val="28"/>
          <w:szCs w:val="28"/>
          <w:lang w:val="uk-UA" w:eastAsia="ru-RU"/>
        </w:rPr>
      </w:pPr>
      <w:r>
        <w:rPr>
          <w:rFonts w:hint="default"/>
          <w:b w:val="0"/>
          <w:bCs w:val="0"/>
          <w:sz w:val="28"/>
          <w:szCs w:val="28"/>
          <w:lang w:val="uk-UA"/>
        </w:rPr>
        <w:t>Важливо створити ефективну систему комунікації та підтримки для нових співробітників, особливо в умовах війни. Якщо немає можливості проведення особистих зустрічей, можна створити спеціальний канал комунікації, де нові співробітники зможуть задавати питання та отримувати допомогу від досвідчених колег</w:t>
      </w:r>
      <w:r>
        <w:rPr>
          <w:rFonts w:hint="default"/>
          <w:b w:val="0"/>
          <w:bCs w:val="0"/>
          <w:sz w:val="28"/>
          <w:szCs w:val="28"/>
          <w:lang w:val="en-US"/>
        </w:rPr>
        <w:t xml:space="preserve"> [24]</w:t>
      </w:r>
      <w:r>
        <w:rPr>
          <w:rFonts w:hint="default"/>
          <w:b w:val="0"/>
          <w:bCs w:val="0"/>
          <w:sz w:val="28"/>
          <w:szCs w:val="28"/>
          <w:lang w:val="uk-UA"/>
        </w:rPr>
        <w:t>.</w:t>
      </w:r>
    </w:p>
    <w:p>
      <w:pPr>
        <w:numPr>
          <w:ilvl w:val="0"/>
          <w:numId w:val="0"/>
        </w:numPr>
        <w:spacing w:after="0" w:line="360" w:lineRule="auto"/>
        <w:ind w:left="0" w:leftChars="0" w:firstLine="720" w:firstLineChars="257"/>
        <w:jc w:val="both"/>
        <w:rPr>
          <w:rFonts w:hint="default"/>
          <w:kern w:val="0"/>
          <w:sz w:val="28"/>
          <w:szCs w:val="28"/>
          <w:lang w:val="uk-UA" w:eastAsia="ru-RU"/>
        </w:rPr>
      </w:pPr>
      <w:r>
        <w:rPr>
          <w:rFonts w:hint="default"/>
          <w:b/>
          <w:bCs/>
          <w:kern w:val="0"/>
          <w:sz w:val="28"/>
          <w:szCs w:val="28"/>
          <w:lang w:val="uk-UA" w:eastAsia="ru-RU"/>
        </w:rPr>
        <w:t xml:space="preserve">Планування майбутніх цілей та можливостей в компанії. </w:t>
      </w:r>
      <w:r>
        <w:rPr>
          <w:rFonts w:hint="default"/>
          <w:kern w:val="0"/>
          <w:sz w:val="28"/>
          <w:szCs w:val="28"/>
          <w:lang w:val="uk-UA" w:eastAsia="ru-RU"/>
        </w:rPr>
        <w:t>Нові співробітники часто не справляються зі своїми обов'язками, оскільки їм бракує чітких цілей та очікувань, які б мотивували їх до роботи. Подібно до карти подорожі клієнта, карта подорожі працівника створює візуальну схему його досвіду роботи в компанії. Вона містить точки дотику з детальною інформацією про те, що потрібно зробити, щоб досягти цілей і зробити наступний крок у кар'єрі.</w:t>
      </w:r>
    </w:p>
    <w:p>
      <w:pPr>
        <w:numPr>
          <w:ilvl w:val="0"/>
          <w:numId w:val="0"/>
        </w:numPr>
        <w:spacing w:after="0" w:line="360" w:lineRule="auto"/>
        <w:ind w:left="0" w:leftChars="0" w:firstLine="719" w:firstLineChars="257"/>
        <w:jc w:val="both"/>
        <w:rPr>
          <w:rFonts w:hint="default"/>
          <w:kern w:val="0"/>
          <w:sz w:val="28"/>
          <w:szCs w:val="28"/>
          <w:lang w:val="uk-UA" w:eastAsia="ru-RU"/>
        </w:rPr>
      </w:pPr>
      <w:r>
        <w:rPr>
          <w:rFonts w:hint="default"/>
          <w:kern w:val="0"/>
          <w:sz w:val="28"/>
          <w:szCs w:val="28"/>
          <w:lang w:val="uk-UA" w:eastAsia="ru-RU"/>
        </w:rPr>
        <w:t>Менеджери повинні працювати з новими працівниками над створенням карти подорожі, яка окреслює їхні майбутні кар'єрні цілі. Разом вони можуть визначити план з очікуваннями та етапами, які слугуватимуть орієнтиром для вимірювання прогресу, розвитку навичок та підтримки мотивації. Це чудовий спосіб для менеджерів визначити сильні та слабкі сторони нового члена команди та інтегрувати його в корпоративну культуру</w:t>
      </w:r>
      <w:r>
        <w:rPr>
          <w:rFonts w:hint="default"/>
          <w:kern w:val="0"/>
          <w:sz w:val="28"/>
          <w:szCs w:val="28"/>
          <w:lang w:val="en-US" w:eastAsia="ru-RU"/>
        </w:rPr>
        <w:t xml:space="preserve"> [22]</w:t>
      </w:r>
      <w:r>
        <w:rPr>
          <w:rFonts w:hint="default"/>
          <w:kern w:val="0"/>
          <w:sz w:val="28"/>
          <w:szCs w:val="28"/>
          <w:lang w:val="uk-UA" w:eastAsia="ru-RU"/>
        </w:rPr>
        <w:t>.</w:t>
      </w:r>
    </w:p>
    <w:p>
      <w:pPr>
        <w:numPr>
          <w:ilvl w:val="0"/>
          <w:numId w:val="0"/>
        </w:numPr>
        <w:spacing w:after="0" w:line="360" w:lineRule="auto"/>
        <w:ind w:left="0" w:leftChars="0" w:firstLine="720" w:firstLineChars="257"/>
        <w:jc w:val="both"/>
        <w:rPr>
          <w:rFonts w:hint="default"/>
          <w:kern w:val="0"/>
          <w:sz w:val="28"/>
          <w:szCs w:val="28"/>
          <w:lang w:val="uk-UA" w:eastAsia="ru-RU"/>
        </w:rPr>
      </w:pPr>
      <w:r>
        <w:rPr>
          <w:rFonts w:hint="default"/>
          <w:b/>
          <w:bCs/>
          <w:kern w:val="0"/>
          <w:sz w:val="28"/>
          <w:szCs w:val="28"/>
          <w:lang w:val="uk-UA" w:eastAsia="ru-RU"/>
        </w:rPr>
        <w:t xml:space="preserve">Розподілення обов'язків. </w:t>
      </w:r>
      <w:r>
        <w:rPr>
          <w:rFonts w:hint="default"/>
          <w:kern w:val="0"/>
          <w:sz w:val="28"/>
          <w:szCs w:val="28"/>
          <w:lang w:val="uk-UA" w:eastAsia="ru-RU"/>
        </w:rPr>
        <w:t>Перший день на новій роботі, як правило, найбільш виснажливий. На нового працівника одразу накидаються з усім, і в нього не вистачає часу, щоб усвідомити весь об’єм інформації. Онбординг – це процес аккультурації, який повинен бути розподілений на певний період часу.</w:t>
      </w:r>
    </w:p>
    <w:p>
      <w:pPr>
        <w:numPr>
          <w:ilvl w:val="0"/>
          <w:numId w:val="0"/>
        </w:numPr>
        <w:spacing w:after="0" w:line="360" w:lineRule="auto"/>
        <w:ind w:left="0" w:leftChars="0" w:firstLine="719" w:firstLineChars="257"/>
        <w:jc w:val="both"/>
        <w:rPr>
          <w:rFonts w:hint="default"/>
          <w:kern w:val="0"/>
          <w:sz w:val="28"/>
          <w:szCs w:val="28"/>
          <w:lang w:val="uk-UA" w:eastAsia="ru-RU"/>
        </w:rPr>
      </w:pPr>
      <w:r>
        <w:rPr>
          <w:rFonts w:hint="default"/>
          <w:kern w:val="0"/>
          <w:sz w:val="28"/>
          <w:szCs w:val="28"/>
          <w:lang w:val="uk-UA" w:eastAsia="ru-RU"/>
        </w:rPr>
        <w:t>Багато компаній досі ставляться до онбордингу як до транзакційного досвіду, тоді як він має бути трансформаційним. Розподілення представлення, паперової роботи та тренінгів зменшить кількість звільнень серед нових працівників і побудує міцніші стосунки між новим співробітником і командою</w:t>
      </w:r>
      <w:r>
        <w:rPr>
          <w:rFonts w:hint="default"/>
          <w:kern w:val="0"/>
          <w:sz w:val="28"/>
          <w:szCs w:val="28"/>
          <w:lang w:val="en-US" w:eastAsia="ru-RU"/>
        </w:rPr>
        <w:t xml:space="preserve"> [7]</w:t>
      </w:r>
      <w:r>
        <w:rPr>
          <w:rFonts w:hint="default"/>
          <w:kern w:val="0"/>
          <w:sz w:val="28"/>
          <w:szCs w:val="28"/>
          <w:lang w:val="uk-UA" w:eastAsia="ru-RU"/>
        </w:rPr>
        <w:t>.</w:t>
      </w:r>
    </w:p>
    <w:p>
      <w:pPr>
        <w:numPr>
          <w:ilvl w:val="0"/>
          <w:numId w:val="0"/>
        </w:numPr>
        <w:spacing w:after="0" w:line="360" w:lineRule="auto"/>
        <w:ind w:left="0" w:leftChars="0" w:firstLine="720" w:firstLineChars="257"/>
        <w:jc w:val="both"/>
        <w:rPr>
          <w:rFonts w:hint="default"/>
          <w:kern w:val="0"/>
          <w:sz w:val="28"/>
          <w:szCs w:val="28"/>
          <w:lang w:val="uk-UA" w:eastAsia="ru-RU"/>
        </w:rPr>
      </w:pPr>
      <w:r>
        <w:rPr>
          <w:rFonts w:hint="default"/>
          <w:b/>
          <w:bCs/>
          <w:kern w:val="0"/>
          <w:sz w:val="28"/>
          <w:szCs w:val="28"/>
          <w:lang w:val="uk-UA" w:eastAsia="ru-RU"/>
        </w:rPr>
        <w:t xml:space="preserve">Проведення регулярних перевірок та сесій зворотного зв'язку. </w:t>
      </w:r>
      <w:r>
        <w:rPr>
          <w:rFonts w:hint="default"/>
          <w:kern w:val="0"/>
          <w:sz w:val="28"/>
          <w:szCs w:val="28"/>
          <w:lang w:val="uk-UA" w:eastAsia="ru-RU"/>
        </w:rPr>
        <w:t>Мета перевірок та зворотного зв'язку полягає не лише в тому, щоб зосередитися на працівнику, а й у зміцненні відносин між ним і командою. Вони призначені для того, щоб відстежувати їхній досвід і бачити, як їхній керівник і команда можуть найкраще підтримати їх у тих сферах, з якими вони борються.</w:t>
      </w: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r>
        <w:rPr>
          <w:rFonts w:hint="default"/>
          <w:kern w:val="0"/>
          <w:sz w:val="28"/>
          <w:szCs w:val="28"/>
          <w:lang w:val="uk-UA" w:eastAsia="ru-RU"/>
        </w:rPr>
        <w:t>Щоб бути ефективними, менеджери повинні вживати заходів на основі отриманої інформації. Це показує новим працівникам, що їхній розвиток і голос цінується. Перевірки повинні бути частими і послідовними, оскільки своєчасність має вирішальне значення. Якщо працівник не з'являється на роботі через шість місяців, це дає зрозуміти, що компанія не цінує його</w:t>
      </w:r>
      <w:r>
        <w:rPr>
          <w:rFonts w:hint="default"/>
          <w:kern w:val="0"/>
          <w:sz w:val="28"/>
          <w:szCs w:val="28"/>
          <w:lang w:val="en-US" w:eastAsia="ru-RU"/>
        </w:rPr>
        <w:t xml:space="preserve"> [10]</w:t>
      </w:r>
      <w:r>
        <w:rPr>
          <w:rFonts w:hint="default"/>
          <w:kern w:val="0"/>
          <w:sz w:val="28"/>
          <w:szCs w:val="28"/>
          <w:lang w:val="uk-UA" w:eastAsia="ru-RU"/>
        </w:rPr>
        <w:t>.</w:t>
      </w:r>
    </w:p>
    <w:p>
      <w:pPr>
        <w:numPr>
          <w:ilvl w:val="0"/>
          <w:numId w:val="0"/>
        </w:numPr>
        <w:spacing w:after="0" w:line="360" w:lineRule="auto"/>
        <w:ind w:left="0" w:leftChars="0" w:firstLine="720" w:firstLineChars="257"/>
        <w:jc w:val="both"/>
        <w:rPr>
          <w:rFonts w:hint="default"/>
          <w:kern w:val="0"/>
          <w:sz w:val="28"/>
          <w:szCs w:val="28"/>
          <w:lang w:val="uk-UA" w:eastAsia="ru-RU"/>
        </w:rPr>
      </w:pPr>
      <w:r>
        <w:rPr>
          <w:rFonts w:hint="default"/>
          <w:b/>
          <w:bCs/>
          <w:kern w:val="0"/>
          <w:sz w:val="28"/>
          <w:szCs w:val="28"/>
          <w:lang w:val="uk-UA" w:eastAsia="ru-RU"/>
        </w:rPr>
        <w:t xml:space="preserve">Правильне розподілення часу. </w:t>
      </w:r>
      <w:r>
        <w:rPr>
          <w:rFonts w:hint="default"/>
          <w:kern w:val="0"/>
          <w:sz w:val="28"/>
          <w:szCs w:val="28"/>
          <w:lang w:val="uk-UA" w:eastAsia="ru-RU"/>
        </w:rPr>
        <w:t>Багато організацій вважають, що онбордінг – це короткий процес, після якого працівника залишають напризволяще. Інші розглядають цей процес як безперервний, що може тривати місяцями. Для цього треба продумати, які дані можна зібрати до того, як працівник почне працювати, наприклад, зарплатну відомість і банківські реквізити. Що може почекати, а що є важливим для першого дня працівника. А також враховувати складність процесу навчання та правильний його розподіл у часі. Іноді краще витратити на один місяць більше на навчання нового працівника, тим самим покращуючи якість його навчання, лояльності до компанії та зменшення плинності кадрів</w:t>
      </w:r>
      <w:r>
        <w:rPr>
          <w:rFonts w:hint="default"/>
          <w:kern w:val="0"/>
          <w:sz w:val="28"/>
          <w:szCs w:val="28"/>
          <w:lang w:val="en-US" w:eastAsia="ru-RU"/>
        </w:rPr>
        <w:t xml:space="preserve"> [4]</w:t>
      </w:r>
      <w:r>
        <w:rPr>
          <w:rFonts w:hint="default"/>
          <w:kern w:val="0"/>
          <w:sz w:val="28"/>
          <w:szCs w:val="28"/>
          <w:lang w:val="uk-UA" w:eastAsia="ru-RU"/>
        </w:rPr>
        <w:t xml:space="preserve">. </w:t>
      </w:r>
    </w:p>
    <w:p>
      <w:pPr>
        <w:numPr>
          <w:ilvl w:val="0"/>
          <w:numId w:val="0"/>
        </w:numPr>
        <w:spacing w:after="0" w:line="360" w:lineRule="auto"/>
        <w:ind w:left="0" w:leftChars="0" w:firstLine="720" w:firstLineChars="257"/>
        <w:jc w:val="both"/>
        <w:rPr>
          <w:rFonts w:hint="default"/>
          <w:kern w:val="0"/>
          <w:sz w:val="28"/>
          <w:szCs w:val="28"/>
          <w:lang w:val="uk-UA" w:eastAsia="ru-RU"/>
        </w:rPr>
      </w:pPr>
      <w:r>
        <w:rPr>
          <w:rFonts w:hint="default"/>
          <w:b/>
          <w:bCs/>
          <w:kern w:val="0"/>
          <w:sz w:val="28"/>
          <w:szCs w:val="28"/>
          <w:lang w:val="uk-UA" w:eastAsia="ru-RU"/>
        </w:rPr>
        <w:t xml:space="preserve">Гуманізація процесу. </w:t>
      </w:r>
      <w:r>
        <w:rPr>
          <w:rFonts w:hint="default"/>
          <w:kern w:val="0"/>
          <w:sz w:val="28"/>
          <w:szCs w:val="28"/>
          <w:lang w:val="uk-UA" w:eastAsia="ru-RU"/>
        </w:rPr>
        <w:t xml:space="preserve">Приєднання до команди – це не лише привітання людини, але й обмін інформацією. Нові співробітники природно нервують і не завжди знайомі з місцевістю, де розташоване їхнє робоче місце. Необхідно надати інформацію про все, що вони хотіли б знати заздалегідь, наприклад, інформацію про громадський транспорт або паркування, доступність таких послуг, як харчування та медичне обслуговування. </w:t>
      </w:r>
    </w:p>
    <w:p>
      <w:pPr>
        <w:numPr>
          <w:ilvl w:val="0"/>
          <w:numId w:val="0"/>
        </w:numPr>
        <w:spacing w:after="0" w:line="360" w:lineRule="auto"/>
        <w:ind w:left="0" w:leftChars="0" w:firstLine="719" w:firstLineChars="257"/>
        <w:jc w:val="both"/>
        <w:rPr>
          <w:rFonts w:hint="default"/>
          <w:kern w:val="0"/>
          <w:sz w:val="28"/>
          <w:szCs w:val="28"/>
          <w:lang w:val="uk-UA" w:eastAsia="ru-RU"/>
        </w:rPr>
      </w:pPr>
      <w:r>
        <w:rPr>
          <w:rFonts w:hint="default"/>
          <w:kern w:val="0"/>
          <w:sz w:val="28"/>
          <w:szCs w:val="28"/>
          <w:lang w:val="uk-UA" w:eastAsia="ru-RU"/>
        </w:rPr>
        <w:t>Кандидати працюють на ринку, де роботодавці змагаються за те, щоб вразити їх культурними та орієнтованими на вигоду пропозиціями. Кандидати очікують, що їх заманять, і цінують свою цінність більше, ніж будь-коли раніше.</w:t>
      </w:r>
    </w:p>
    <w:p>
      <w:pPr>
        <w:numPr>
          <w:ilvl w:val="0"/>
          <w:numId w:val="0"/>
        </w:numPr>
        <w:spacing w:after="0" w:line="360" w:lineRule="auto"/>
        <w:ind w:left="0" w:leftChars="0" w:firstLine="719" w:firstLineChars="257"/>
        <w:jc w:val="both"/>
        <w:rPr>
          <w:rFonts w:hint="default"/>
          <w:kern w:val="0"/>
          <w:sz w:val="28"/>
          <w:szCs w:val="28"/>
          <w:lang w:val="uk-UA" w:eastAsia="ru-RU"/>
        </w:rPr>
      </w:pPr>
      <w:r>
        <w:rPr>
          <w:rFonts w:hint="default"/>
          <w:kern w:val="0"/>
          <w:sz w:val="28"/>
          <w:szCs w:val="28"/>
          <w:lang w:val="uk-UA" w:eastAsia="ru-RU"/>
        </w:rPr>
        <w:t>Кандидати очікують, що потенційні роботодавці мають процес адаптації та програмне забезпечення. Вдосконалення цього процесу означає пошук балансу між обміном інформацією та наданням працівникові можливості налагодити соціальні зв'язки.</w:t>
      </w:r>
    </w:p>
    <w:p>
      <w:pPr>
        <w:numPr>
          <w:ilvl w:val="0"/>
          <w:numId w:val="0"/>
        </w:numPr>
        <w:spacing w:after="0" w:line="360" w:lineRule="auto"/>
        <w:ind w:left="0" w:leftChars="0" w:firstLine="719" w:firstLineChars="257"/>
        <w:jc w:val="both"/>
        <w:rPr>
          <w:rFonts w:hint="default"/>
          <w:kern w:val="0"/>
          <w:sz w:val="28"/>
          <w:szCs w:val="28"/>
          <w:lang w:val="uk-UA" w:eastAsia="ru-RU"/>
        </w:rPr>
      </w:pPr>
      <w:r>
        <w:rPr>
          <w:rFonts w:hint="default"/>
          <w:kern w:val="0"/>
          <w:sz w:val="28"/>
          <w:szCs w:val="28"/>
          <w:lang w:val="uk-UA" w:eastAsia="ru-RU"/>
        </w:rPr>
        <w:t xml:space="preserve">Добре сплановані програми адаптації створюють стислі терміни для підвищення компетентності та продуктивності працівників. Здібні, забезпечені ресурсами працівники залишаються залученими до роботи і знижують показники плинності кадрів. </w:t>
      </w:r>
      <w:r>
        <w:rPr>
          <w:rFonts w:hint="default"/>
          <w:b w:val="0"/>
          <w:bCs w:val="0"/>
          <w:sz w:val="28"/>
          <w:szCs w:val="28"/>
          <w:lang w:val="uk-UA"/>
        </w:rPr>
        <w:t>Важливо створити позитивну атмосферу для нових співробітників, яка підвищить їхню мотивацію та збільшить шанси на успішну адаптацію в компанії. Це може бути реалізовано шляхом проведення спеціальних заходів для новачків, включення їх в корпоративну культуру компанії, та ін</w:t>
      </w:r>
      <w:r>
        <w:rPr>
          <w:rFonts w:hint="default"/>
          <w:b w:val="0"/>
          <w:bCs w:val="0"/>
          <w:sz w:val="28"/>
          <w:szCs w:val="28"/>
          <w:lang w:val="en-US"/>
        </w:rPr>
        <w:t xml:space="preserve"> [24]</w:t>
      </w:r>
      <w:r>
        <w:rPr>
          <w:rFonts w:hint="default"/>
          <w:b w:val="0"/>
          <w:bCs w:val="0"/>
          <w:sz w:val="28"/>
          <w:szCs w:val="28"/>
          <w:lang w:val="uk-UA"/>
        </w:rPr>
        <w:t>.</w:t>
      </w:r>
    </w:p>
    <w:p>
      <w:pPr>
        <w:numPr>
          <w:ilvl w:val="0"/>
          <w:numId w:val="0"/>
        </w:numPr>
        <w:spacing w:after="0" w:line="360" w:lineRule="auto"/>
        <w:ind w:left="0" w:leftChars="0" w:firstLine="719" w:firstLineChars="257"/>
        <w:jc w:val="both"/>
        <w:rPr>
          <w:rFonts w:hint="default"/>
          <w:kern w:val="0"/>
          <w:sz w:val="28"/>
          <w:szCs w:val="28"/>
          <w:lang w:val="uk-UA" w:eastAsia="ru-RU"/>
        </w:rPr>
      </w:pPr>
      <w:r>
        <w:rPr>
          <w:rFonts w:hint="default"/>
          <w:kern w:val="0"/>
          <w:sz w:val="28"/>
          <w:szCs w:val="28"/>
          <w:lang w:val="uk-UA" w:eastAsia="ru-RU"/>
        </w:rPr>
        <w:t>Працівники, які добре ставляться до програми адаптації, стають прихильниками компанії та бренду, що приваблює більше талантів до організації.</w:t>
      </w:r>
    </w:p>
    <w:p>
      <w:pPr>
        <w:numPr>
          <w:ilvl w:val="0"/>
          <w:numId w:val="0"/>
        </w:numPr>
        <w:spacing w:after="0" w:line="360" w:lineRule="auto"/>
        <w:ind w:left="0" w:leftChars="0" w:firstLine="719" w:firstLineChars="257"/>
        <w:jc w:val="both"/>
        <w:rPr>
          <w:rFonts w:hint="default"/>
          <w:kern w:val="0"/>
          <w:sz w:val="28"/>
          <w:szCs w:val="28"/>
          <w:lang w:val="uk-UA" w:eastAsia="ru-RU"/>
        </w:rPr>
      </w:pPr>
      <w:r>
        <w:rPr>
          <w:rFonts w:hint="default"/>
          <w:kern w:val="0"/>
          <w:sz w:val="28"/>
          <w:szCs w:val="28"/>
          <w:lang w:val="uk-UA" w:eastAsia="ru-RU"/>
        </w:rPr>
        <w:t>Зважаючи на все вищесказане, можна сформувати заходи покращення наявної системи онбордингу, основні принципи якої викладені в таблиці 3.1.</w:t>
      </w:r>
    </w:p>
    <w:p>
      <w:pPr>
        <w:numPr>
          <w:ilvl w:val="0"/>
          <w:numId w:val="0"/>
        </w:numPr>
        <w:spacing w:after="0" w:line="360" w:lineRule="auto"/>
        <w:ind w:left="0" w:leftChars="0" w:firstLine="719" w:firstLineChars="257"/>
        <w:jc w:val="both"/>
        <w:rPr>
          <w:rFonts w:hint="default"/>
          <w:kern w:val="0"/>
          <w:sz w:val="28"/>
          <w:szCs w:val="28"/>
          <w:lang w:val="uk-UA" w:eastAsia="ru-RU"/>
        </w:rPr>
      </w:pPr>
      <w:r>
        <w:rPr>
          <w:rFonts w:hint="default"/>
          <w:kern w:val="0"/>
          <w:sz w:val="28"/>
          <w:szCs w:val="28"/>
          <w:lang w:val="uk-UA" w:eastAsia="ru-RU"/>
        </w:rPr>
        <w:t>Таблиця 3.1 – Розроблені заходи покращення системи онбордингу на підприємтсві ТОВ “Епіцентр К” в умовах війни</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8"/>
        <w:gridCol w:w="6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8" w:type="dxa"/>
            <w:vAlign w:val="center"/>
          </w:tcPr>
          <w:p>
            <w:pPr>
              <w:widowControl w:val="0"/>
              <w:numPr>
                <w:ilvl w:val="0"/>
                <w:numId w:val="0"/>
              </w:numPr>
              <w:spacing w:after="0" w:line="360" w:lineRule="auto"/>
              <w:jc w:val="center"/>
              <w:rPr>
                <w:rFonts w:hint="default"/>
                <w:b/>
                <w:bCs/>
                <w:kern w:val="0"/>
                <w:sz w:val="28"/>
                <w:szCs w:val="28"/>
                <w:vertAlign w:val="baseline"/>
                <w:lang w:val="uk-UA" w:eastAsia="ru-RU"/>
              </w:rPr>
            </w:pPr>
            <w:r>
              <w:rPr>
                <w:rFonts w:hint="default"/>
                <w:b/>
                <w:bCs/>
                <w:kern w:val="0"/>
                <w:sz w:val="28"/>
                <w:szCs w:val="28"/>
                <w:vertAlign w:val="baseline"/>
                <w:lang w:val="uk-UA" w:eastAsia="ru-RU"/>
              </w:rPr>
              <w:t>Назва заходу</w:t>
            </w:r>
          </w:p>
        </w:tc>
        <w:tc>
          <w:tcPr>
            <w:tcW w:w="6183" w:type="dxa"/>
            <w:vAlign w:val="center"/>
          </w:tcPr>
          <w:p>
            <w:pPr>
              <w:widowControl w:val="0"/>
              <w:numPr>
                <w:ilvl w:val="0"/>
                <w:numId w:val="0"/>
              </w:numPr>
              <w:spacing w:after="0" w:line="360" w:lineRule="auto"/>
              <w:jc w:val="center"/>
              <w:rPr>
                <w:rFonts w:hint="default"/>
                <w:b/>
                <w:bCs/>
                <w:kern w:val="0"/>
                <w:sz w:val="28"/>
                <w:szCs w:val="28"/>
                <w:vertAlign w:val="baseline"/>
                <w:lang w:val="uk-UA" w:eastAsia="ru-RU"/>
              </w:rPr>
            </w:pPr>
            <w:r>
              <w:rPr>
                <w:rFonts w:hint="default"/>
                <w:b/>
                <w:bCs/>
                <w:kern w:val="0"/>
                <w:sz w:val="28"/>
                <w:szCs w:val="28"/>
                <w:vertAlign w:val="baseline"/>
                <w:lang w:val="uk-UA" w:eastAsia="ru-RU"/>
              </w:rPr>
              <w:t>Методи реалізації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8"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Правильний розподіл обов’язків серед коучів та менторів</w:t>
            </w:r>
          </w:p>
        </w:tc>
        <w:tc>
          <w:tcPr>
            <w:tcW w:w="6183" w:type="dxa"/>
            <w:vAlign w:val="center"/>
          </w:tcPr>
          <w:p>
            <w:pPr>
              <w:widowControl w:val="0"/>
              <w:numPr>
                <w:ilvl w:val="0"/>
                <w:numId w:val="2"/>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Чітко розподілити ролі та функції між відповідальними на підприємстві особами.</w:t>
            </w:r>
          </w:p>
          <w:p>
            <w:pPr>
              <w:widowControl w:val="0"/>
              <w:numPr>
                <w:ilvl w:val="0"/>
                <w:numId w:val="2"/>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Врахувати досвід, компетенції та рівень завантаженості кожного з працівників.</w:t>
            </w:r>
          </w:p>
          <w:p>
            <w:pPr>
              <w:widowControl w:val="0"/>
              <w:numPr>
                <w:ilvl w:val="0"/>
                <w:numId w:val="2"/>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 xml:space="preserve">Передбачити додаткову підтримку в обличчі керівників та </w:t>
            </w:r>
            <w:r>
              <w:rPr>
                <w:rFonts w:hint="default"/>
                <w:kern w:val="0"/>
                <w:sz w:val="28"/>
                <w:szCs w:val="28"/>
                <w:vertAlign w:val="baseline"/>
                <w:lang w:val="en-US" w:eastAsia="ru-RU"/>
              </w:rPr>
              <w:t>HR</w:t>
            </w:r>
            <w:r>
              <w:rPr>
                <w:rFonts w:hint="default"/>
                <w:kern w:val="0"/>
                <w:sz w:val="28"/>
                <w:szCs w:val="28"/>
                <w:vertAlign w:val="baseline"/>
                <w:lang w:val="uk-UA" w:eastAsia="ru-RU"/>
              </w:rPr>
              <w:t>-менеджерів.</w:t>
            </w:r>
          </w:p>
          <w:p>
            <w:pPr>
              <w:widowControl w:val="0"/>
              <w:numPr>
                <w:ilvl w:val="0"/>
                <w:numId w:val="2"/>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Моніторинг та оцінка новачків та їх коучів.</w:t>
            </w:r>
          </w:p>
          <w:p>
            <w:pPr>
              <w:widowControl w:val="0"/>
              <w:numPr>
                <w:ilvl w:val="0"/>
                <w:numId w:val="2"/>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Залучення додаткових коучів та менторів.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8"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Підвищення заробітної плати</w:t>
            </w:r>
          </w:p>
        </w:tc>
        <w:tc>
          <w:tcPr>
            <w:tcW w:w="6183" w:type="dxa"/>
            <w:vAlign w:val="center"/>
          </w:tcPr>
          <w:p>
            <w:pPr>
              <w:widowControl w:val="0"/>
              <w:numPr>
                <w:ilvl w:val="0"/>
                <w:numId w:val="3"/>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Зменшити витрати на благодійність.</w:t>
            </w:r>
          </w:p>
          <w:p>
            <w:pPr>
              <w:widowControl w:val="0"/>
              <w:numPr>
                <w:ilvl w:val="0"/>
                <w:numId w:val="3"/>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Підвищити рівень заробітної плати працівників відповідно до середньої зарплати на ринку фахівців в даній галузі.</w:t>
            </w:r>
          </w:p>
          <w:p>
            <w:pPr>
              <w:widowControl w:val="0"/>
              <w:numPr>
                <w:ilvl w:val="0"/>
                <w:numId w:val="3"/>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Ввести систему премій та надбавок за активне прийняття участі в процесі онбордингу нових співробітників.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8"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Чек-лист з відповідями на найпоширеніші запитання</w:t>
            </w:r>
          </w:p>
        </w:tc>
        <w:tc>
          <w:tcPr>
            <w:tcW w:w="6183" w:type="dxa"/>
            <w:vAlign w:val="center"/>
          </w:tcPr>
          <w:p>
            <w:pPr>
              <w:widowControl w:val="0"/>
              <w:numPr>
                <w:ilvl w:val="0"/>
                <w:numId w:val="4"/>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Проведення опитування серед нових працівників та їх коучів/менторів для виявлення найпоширеніших проблем та питань.</w:t>
            </w:r>
          </w:p>
          <w:p>
            <w:pPr>
              <w:widowControl w:val="0"/>
              <w:numPr>
                <w:ilvl w:val="0"/>
                <w:numId w:val="4"/>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Створення електронного чек-листу з відповідями на запитання.</w:t>
            </w:r>
          </w:p>
          <w:p>
            <w:pPr>
              <w:widowControl w:val="0"/>
              <w:numPr>
                <w:ilvl w:val="0"/>
                <w:numId w:val="4"/>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Поширення інформації серед нових працівників.</w:t>
            </w:r>
          </w:p>
        </w:tc>
      </w:tr>
    </w:tbl>
    <w:p>
      <w:pPr>
        <w:ind w:left="0" w:leftChars="0" w:firstLine="719" w:firstLineChars="257"/>
        <w:rPr>
          <w:rFonts w:hint="default"/>
          <w:sz w:val="28"/>
          <w:szCs w:val="28"/>
          <w:lang w:val="uk-UA"/>
        </w:rPr>
      </w:pPr>
      <w:r>
        <w:rPr>
          <w:sz w:val="28"/>
          <w:szCs w:val="28"/>
          <w:lang w:val="uk-UA"/>
        </w:rPr>
        <w:t>Продовження</w:t>
      </w:r>
      <w:r>
        <w:rPr>
          <w:rFonts w:hint="default"/>
          <w:sz w:val="28"/>
          <w:szCs w:val="28"/>
          <w:lang w:val="uk-UA"/>
        </w:rPr>
        <w:t xml:space="preserve"> таблиці 3.1</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8"/>
        <w:gridCol w:w="6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8"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Збільшення терміну проходження онбордингу</w:t>
            </w:r>
          </w:p>
        </w:tc>
        <w:tc>
          <w:tcPr>
            <w:tcW w:w="6183" w:type="dxa"/>
            <w:vAlign w:val="center"/>
          </w:tcPr>
          <w:p>
            <w:pPr>
              <w:widowControl w:val="0"/>
              <w:numPr>
                <w:ilvl w:val="0"/>
                <w:numId w:val="5"/>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Збільшити час проходження процесу адаптації на місць.</w:t>
            </w:r>
          </w:p>
          <w:p>
            <w:pPr>
              <w:widowControl w:val="0"/>
              <w:numPr>
                <w:ilvl w:val="0"/>
                <w:numId w:val="5"/>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Тестування результатів.</w:t>
            </w:r>
          </w:p>
          <w:p>
            <w:pPr>
              <w:widowControl w:val="0"/>
              <w:numPr>
                <w:ilvl w:val="0"/>
                <w:numId w:val="5"/>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Внесення корективів.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8"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Введення заходу привітання нових працівників</w:t>
            </w:r>
          </w:p>
        </w:tc>
        <w:tc>
          <w:tcPr>
            <w:tcW w:w="6183" w:type="dxa"/>
            <w:vAlign w:val="center"/>
          </w:tcPr>
          <w:p>
            <w:pPr>
              <w:widowControl w:val="0"/>
              <w:numPr>
                <w:ilvl w:val="0"/>
                <w:numId w:val="6"/>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Створення вітального листа на новому робочому місці.</w:t>
            </w:r>
          </w:p>
          <w:p>
            <w:pPr>
              <w:widowControl w:val="0"/>
              <w:numPr>
                <w:ilvl w:val="0"/>
                <w:numId w:val="6"/>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Подарунки від компанії (набір стикерів, кружки, блокноти тощо з логотипов компанії.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8"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Розроблення системи партнерства</w:t>
            </w:r>
          </w:p>
        </w:tc>
        <w:tc>
          <w:tcPr>
            <w:tcW w:w="6183" w:type="dxa"/>
            <w:vAlign w:val="center"/>
          </w:tcPr>
          <w:p>
            <w:pPr>
              <w:widowControl w:val="0"/>
              <w:numPr>
                <w:ilvl w:val="0"/>
                <w:numId w:val="7"/>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Закріплення за кожним новим співробітником досвідченого колеги.</w:t>
            </w:r>
          </w:p>
          <w:p>
            <w:pPr>
              <w:widowControl w:val="0"/>
              <w:numPr>
                <w:ilvl w:val="0"/>
                <w:numId w:val="7"/>
              </w:numPr>
              <w:spacing w:after="0" w:line="360" w:lineRule="auto"/>
              <w:jc w:val="both"/>
              <w:rPr>
                <w:rFonts w:hint="default"/>
                <w:kern w:val="0"/>
                <w:sz w:val="28"/>
                <w:szCs w:val="28"/>
                <w:vertAlign w:val="baseline"/>
                <w:lang w:val="uk-UA" w:eastAsia="ru-RU"/>
              </w:rPr>
            </w:pPr>
            <w:r>
              <w:rPr>
                <w:rFonts w:hint="default"/>
                <w:kern w:val="0"/>
                <w:sz w:val="28"/>
                <w:szCs w:val="28"/>
                <w:vertAlign w:val="baseline"/>
                <w:lang w:val="uk-UA" w:eastAsia="ru-RU"/>
              </w:rPr>
              <w:t>Створення системи бонусів для досвідчених напарників.</w:t>
            </w:r>
          </w:p>
        </w:tc>
      </w:tr>
    </w:tbl>
    <w:p>
      <w:pPr>
        <w:numPr>
          <w:ilvl w:val="0"/>
          <w:numId w:val="0"/>
        </w:numPr>
        <w:spacing w:after="0" w:line="360" w:lineRule="auto"/>
        <w:jc w:val="both"/>
        <w:rPr>
          <w:rFonts w:hint="default"/>
          <w:kern w:val="0"/>
          <w:sz w:val="28"/>
          <w:szCs w:val="28"/>
          <w:lang w:val="uk-UA" w:eastAsia="ru-RU"/>
        </w:rPr>
      </w:pP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Визначити ролі та функції кожного коуча та ментора:</w:t>
      </w:r>
      <w:r>
        <w:rPr>
          <w:rFonts w:hint="default"/>
          <w:kern w:val="0"/>
          <w:sz w:val="28"/>
          <w:szCs w:val="28"/>
          <w:lang w:val="uk-UA" w:eastAsia="ru-RU"/>
        </w:rPr>
        <w:t xml:space="preserve"> Коучі та ментори можуть виконувати різні ролі в процесі онбордингу, наприклад, коучі можуть проводити групові тренінги та вести відео-курси, тоді як ментори можуть працювати з окремими новачками, надаючи їм індивідуальну підтримку та допомогу.</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Врахувати досвід та компетенції:</w:t>
      </w:r>
      <w:r>
        <w:rPr>
          <w:rFonts w:hint="default"/>
          <w:kern w:val="0"/>
          <w:sz w:val="28"/>
          <w:szCs w:val="28"/>
          <w:lang w:val="uk-UA" w:eastAsia="ru-RU"/>
        </w:rPr>
        <w:t xml:space="preserve"> Кожен коуч та ментор має свій власний досвід та компетенції, які можуть бути корисними для новачків. Наприклад, якщо у когось є досвід у конкретній галузі, він може бути корисним ментором для новачків, які займаються тією ж галуззю.</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Розробити план навчання:</w:t>
      </w:r>
      <w:r>
        <w:rPr>
          <w:rFonts w:hint="default"/>
          <w:kern w:val="0"/>
          <w:sz w:val="28"/>
          <w:szCs w:val="28"/>
          <w:lang w:val="uk-UA" w:eastAsia="ru-RU"/>
        </w:rPr>
        <w:t xml:space="preserve"> Необхідно скласти план навчання, який буде включати в себе різні етапи та завдання, які потрібно виконати під час онбордингу. Кожен коуч та ментор має бути причетним до деяких етапів навчання, щоб забезпечити належний рівень навчання для новачків.</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Передбачити додаткову підтримку:</w:t>
      </w:r>
      <w:r>
        <w:rPr>
          <w:rFonts w:hint="default"/>
          <w:kern w:val="0"/>
          <w:sz w:val="28"/>
          <w:szCs w:val="28"/>
          <w:lang w:val="uk-UA" w:eastAsia="ru-RU"/>
        </w:rPr>
        <w:t xml:space="preserve"> Крім регулярних зустрічей та тренінгів, можна передбачити додаткову підтримку від інших експертів у підприємстві, таких як HR-фахівці, керівники підрозділів тощо. Це дозволить зменшити навантаження на коучів та менторів.</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Моніторинг та оцінка:</w:t>
      </w:r>
      <w:r>
        <w:rPr>
          <w:rFonts w:hint="default"/>
          <w:kern w:val="0"/>
          <w:sz w:val="28"/>
          <w:szCs w:val="28"/>
          <w:lang w:val="uk-UA" w:eastAsia="ru-RU"/>
        </w:rPr>
        <w:t xml:space="preserve"> Необхідно забезпечити моніторинг та оцінку роботи кожного коуча та ментора, щоб переконатися, що вони виконують свої обов'язки належним чином та не перевантажуються роботою. Можна проводити регулярні звіти або зустрічі, щоб обговорювати проблеми та змінювати розподіл обов'язків, якщо це необхідно.</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Розглянути можливість залучення додаткових коучів та менторів:</w:t>
      </w:r>
      <w:r>
        <w:rPr>
          <w:rFonts w:hint="default"/>
          <w:kern w:val="0"/>
          <w:sz w:val="28"/>
          <w:szCs w:val="28"/>
          <w:lang w:val="uk-UA" w:eastAsia="ru-RU"/>
        </w:rPr>
        <w:t xml:space="preserve"> Якщо кількість новачків зростає, може бути необхідно залучити додаткових коучів та менторів, щоб розподілити навантаження та забезпечити належний рівень навчання для кожного новачка.</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Зменшення витрат на благодійність:</w:t>
      </w:r>
      <w:r>
        <w:rPr>
          <w:rFonts w:hint="default"/>
          <w:kern w:val="0"/>
          <w:sz w:val="28"/>
          <w:szCs w:val="28"/>
          <w:lang w:val="en-US" w:eastAsia="ru-RU"/>
        </w:rPr>
        <w:t xml:space="preserve"> </w:t>
      </w:r>
      <w:r>
        <w:rPr>
          <w:rFonts w:hint="default"/>
          <w:kern w:val="0"/>
          <w:sz w:val="28"/>
          <w:szCs w:val="28"/>
          <w:lang w:val="uk-UA" w:eastAsia="ru-RU"/>
        </w:rPr>
        <w:t>Розглянути можливість зменшення обсягів благодійних внесків, але не повністю припиняти їх надання. Це дозволить заощадити кошти, але при цьому не позбавити компанію можливості підтримувати благодійні проекти.</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Проаналізувати різні благодійні проекти та визначити ті, що є найважливішими.</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Підвищення рівня заробітної плати працівників:</w:t>
      </w:r>
      <w:r>
        <w:rPr>
          <w:rFonts w:hint="default"/>
          <w:kern w:val="0"/>
          <w:sz w:val="28"/>
          <w:szCs w:val="28"/>
          <w:lang w:val="uk-UA" w:eastAsia="ru-RU"/>
        </w:rPr>
        <w:t xml:space="preserve"> Дослідити ринок праці та визначити середню зарплату на ринку для фахівців у даній галузі. Встановити рівень заробітної плати працівників на підприємстві на рівні або навіть вище середнього рівня зарплати на ринку. Це дозволить привернути талановитих працівників та забезпечити їх мотивацію для подальшого розвитку компанії. Можна розглянути різні варіанти підвищення заробітної плати, такі як річне підвищення на певний процент, премії за виконання поставлених завдань тощо.</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Введення системи премій та надбавок:</w:t>
      </w:r>
      <w:r>
        <w:rPr>
          <w:rFonts w:hint="default"/>
          <w:kern w:val="0"/>
          <w:sz w:val="28"/>
          <w:szCs w:val="28"/>
          <w:lang w:val="uk-UA" w:eastAsia="ru-RU"/>
        </w:rPr>
        <w:t xml:space="preserve"> Якщо підприємство вирішить вводити систему премій та надбавок, необхідно розробити ї таким чином, щоб стимулювати працівників брати активну участь у процесі онбордингу нових співробітників. Така система може включати різноманітні критерії, такі як швидке виконання плану онбордингу нового співробітника, проведення тренінгів для новачків, підготовка матеріалів для онбордингу та інші. Премії та надбавки можуть бути виплачені одноразово або регулярно в залежності від виконання встановлених критеріїв.</w:t>
      </w:r>
    </w:p>
    <w:p>
      <w:pPr>
        <w:numPr>
          <w:ilvl w:val="0"/>
          <w:numId w:val="0"/>
        </w:numPr>
        <w:spacing w:after="0" w:line="360" w:lineRule="auto"/>
        <w:ind w:left="0" w:leftChars="0" w:firstLine="479" w:firstLineChars="171"/>
        <w:jc w:val="both"/>
        <w:rPr>
          <w:rFonts w:hint="default"/>
          <w:kern w:val="0"/>
          <w:sz w:val="28"/>
          <w:szCs w:val="28"/>
          <w:vertAlign w:val="baseline"/>
          <w:lang w:val="uk-UA" w:eastAsia="ru-RU"/>
        </w:rPr>
      </w:pPr>
      <w:r>
        <w:rPr>
          <w:rFonts w:hint="default"/>
          <w:b/>
          <w:bCs/>
          <w:kern w:val="0"/>
          <w:sz w:val="28"/>
          <w:szCs w:val="28"/>
          <w:vertAlign w:val="baseline"/>
          <w:lang w:val="uk-UA" w:eastAsia="ru-RU"/>
        </w:rPr>
        <w:t>Чек-лист з відповідями на найпоширеніші запитаннями</w:t>
      </w:r>
      <w:r>
        <w:rPr>
          <w:rFonts w:hint="default"/>
          <w:kern w:val="0"/>
          <w:sz w:val="28"/>
          <w:szCs w:val="28"/>
          <w:vertAlign w:val="baseline"/>
          <w:lang w:val="uk-UA" w:eastAsia="ru-RU"/>
        </w:rPr>
        <w:t>, наприклад:</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Яка структура організації і які мої основні обов'язки?</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є правила та процедури на робочому місці, зокрема щодо безпеки, здоров'я, та конфіденційності?</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системи та програми використовуються в компанії та як з ними працювати?</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Який графік роботи та які перерви дозволені?</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 оцінюється мій робочий результат та які є можливості для розвитку?</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є корпоративні цінності та культура компанії?</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є можливості для комунікації та співпраці з колегами та керівництвом?</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є можливості для професійного розвитку та навчання в компанії?</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є бенефіти та привілеї, які надаються співробітникам?</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Що робити, якщо виникають проблеми на робочому місці, зокрема конфлікти з колегами або керівництвом?</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є основні етапи процесу онбордингу в компанії ТОВ "Епіцентр К"?</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засоби комунікації використовуються для спілкування з новими співробітниками?</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є основні принципи та цілі процесу навчання та розвитку у компанії?</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є вимоги до документації та звітності нових співробітників?</w:t>
      </w:r>
    </w:p>
    <w:p>
      <w:pPr>
        <w:numPr>
          <w:ilvl w:val="0"/>
          <w:numId w:val="8"/>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Які є стандарти якості роботи та як вони відображаються в процесі онбордингу?</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Збільшення терміну проходження онбордингу:</w:t>
      </w:r>
      <w:r>
        <w:rPr>
          <w:rFonts w:hint="default"/>
          <w:kern w:val="0"/>
          <w:sz w:val="28"/>
          <w:szCs w:val="28"/>
          <w:lang w:val="uk-UA" w:eastAsia="ru-RU"/>
        </w:rPr>
        <w:t xml:space="preserve"> Розробити більш детальний план онбордингу, щоб співробітник мав чітке розуміння про те, що очікується від нього протягом перших тижнів або місяців.</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Включити більше часу для запитань та відповідей, обговорень та зворотного зв'язку, щоб співробітник міг взаємодіяти зі своїм наставником та іншими колегами.</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Підтримувати розклад наставництва та зустрічі для оцінки прогресу та надання конструктивного зворотного зв'язку. Включити діагностичні інструменти, щоб оцінити рівень адаптації співробітника та його успіхів на кожному етапі процесу онбордингу (наприклад, кожного місяця або кожні два тижні).</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Відслідковування та аналізування даних, щоб виявити ті етапи процесу онбордингу, де співробітники мають найбільше проблем або потребують більшої допомоги. Особисто зустрічатись зі співробітниками, щоб з'ясувати їхні потреби та думки про процес онбордингу, і вносити корективи відповідно. Постійно оновлювати процес онбордингу, відповідно до змін в країні.</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Використання відгуків та пропозицій співробітників для вдосконалення процесу онбордингу та підвищення його ефективності.</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Привітання нових працівників:</w:t>
      </w:r>
      <w:r>
        <w:rPr>
          <w:rFonts w:hint="default"/>
          <w:kern w:val="0"/>
          <w:sz w:val="28"/>
          <w:szCs w:val="28"/>
          <w:lang w:val="uk-UA" w:eastAsia="ru-RU"/>
        </w:rPr>
        <w:t xml:space="preserve"> Є дуже важливою складовою процесу онбордингу, оскільки допомагає створити позитивне перше враження про підприємство та зробити процес адаптації більш комфортним для новачків. </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Найпростішим і ефективним способом привітати нового працівника є надсилання йому електронного листа з повідомленням про приєднання до команди. В листі можна включити такі елементи, як привітання від керівництва підприємства, короткий опис компанії, розклад офісних годин, контакти людей, які можуть допомогти з будь-якими питаннями.</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Один зі способів зблизити колег та створити затишну атмосферу в команді – це запропонувати новому працівнику приєднатися до команди під час обіду. Це допоможе новому працівнику більш органічно вписатися в команду та дізнатися про роботу підприємства з різних перспектив.</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Індивідуальна зустріч з наставником</w:t>
      </w:r>
      <w:r>
        <w:rPr>
          <w:rFonts w:hint="default"/>
          <w:kern w:val="0"/>
          <w:sz w:val="28"/>
          <w:szCs w:val="28"/>
          <w:lang w:val="uk-UA" w:eastAsia="ru-RU"/>
        </w:rPr>
        <w:t xml:space="preserve"> теж може бути дуже корисною для нового працівника, оскільки вона допоможе йому швидше зорієнтуватися в новому середовищі та дізнатися про особливості його роботи. Наставник може показати новачкові, які інструменти та системи використовуються на підприємстві, допомогти виявити пріоритетні завдання та пояснити процеси роботи.</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Приємним бонусом будуть невеликі символічні подарунки від компанії, привітальна листівка на робочому місці або міні-представлення нового співробітника іншому персоналу (5–10 хвилин). </w:t>
      </w:r>
    </w:p>
    <w:p>
      <w:pPr>
        <w:numPr>
          <w:ilvl w:val="0"/>
          <w:numId w:val="0"/>
        </w:numPr>
        <w:spacing w:after="0" w:line="360" w:lineRule="auto"/>
        <w:ind w:left="0" w:leftChars="0" w:firstLine="479" w:firstLineChars="171"/>
        <w:jc w:val="both"/>
        <w:rPr>
          <w:rFonts w:hint="default"/>
          <w:kern w:val="0"/>
          <w:sz w:val="28"/>
          <w:szCs w:val="28"/>
          <w:lang w:val="uk-UA" w:eastAsia="ru-RU"/>
        </w:rPr>
      </w:pPr>
      <w:r>
        <w:rPr>
          <w:rFonts w:hint="default"/>
          <w:b/>
          <w:bCs/>
          <w:kern w:val="0"/>
          <w:sz w:val="28"/>
          <w:szCs w:val="28"/>
          <w:lang w:val="uk-UA" w:eastAsia="ru-RU"/>
        </w:rPr>
        <w:t>Розроблення системи партнерства:</w:t>
      </w:r>
      <w:r>
        <w:rPr>
          <w:rFonts w:hint="default"/>
          <w:kern w:val="0"/>
          <w:sz w:val="28"/>
          <w:szCs w:val="28"/>
          <w:lang w:val="uk-UA" w:eastAsia="ru-RU"/>
        </w:rPr>
        <w:t xml:space="preserve"> Кожен новий співробітник буде закріплений за досвідченим колегою, який буде відповідати за знайомство новачка з компанією, допомогу у вирішенні завдань та інші аспекти роботи. Досвідчений колега також може допомогти новачку зорієнтуватися в офісі та на робочому місці, познайомити з колегами і допомогти у вирішенні питань, які виникають у процесі роботи.</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Для того, щоб підштовхнути досвідчених колег допомагати новачкам, можна ввести систему бонусів для досвідчених напарників. Бонус може бути наданий, якщо новачок успішно проходить свій онбординг та починає ефективно працювати в компанії. Прикладами таких бонусів можуть слугувати додаткові вихідні, надбавка до зарплати, надання безкоштовного доступу до одного з курсів підвищення кваліфікації тощо.</w:t>
      </w: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9" w:firstLineChars="171"/>
        <w:jc w:val="both"/>
        <w:rPr>
          <w:b/>
          <w:bCs/>
          <w:sz w:val="28"/>
          <w:szCs w:val="28"/>
        </w:rPr>
      </w:pPr>
      <w:r>
        <w:rPr>
          <w:b/>
          <w:bCs/>
          <w:sz w:val="28"/>
          <w:szCs w:val="28"/>
        </w:rPr>
        <w:t>3.2  Оцінка ефективності запропонованих заходів</w:t>
      </w:r>
    </w:p>
    <w:p>
      <w:pPr>
        <w:numPr>
          <w:ilvl w:val="0"/>
          <w:numId w:val="0"/>
        </w:numPr>
        <w:spacing w:after="0" w:line="360" w:lineRule="auto"/>
        <w:ind w:left="0" w:leftChars="0" w:firstLine="478" w:firstLineChars="171"/>
        <w:jc w:val="both"/>
        <w:rPr>
          <w:b w:val="0"/>
          <w:bCs w:val="0"/>
          <w:sz w:val="28"/>
          <w:szCs w:val="28"/>
        </w:rPr>
      </w:pPr>
    </w:p>
    <w:p>
      <w:pPr>
        <w:numPr>
          <w:ilvl w:val="0"/>
          <w:numId w:val="0"/>
        </w:numPr>
        <w:spacing w:after="0" w:line="360" w:lineRule="auto"/>
        <w:ind w:left="0" w:leftChars="0" w:firstLine="478" w:firstLineChars="171"/>
        <w:jc w:val="both"/>
        <w:rPr>
          <w:rFonts w:hint="default"/>
          <w:b w:val="0"/>
          <w:bCs w:val="0"/>
          <w:sz w:val="28"/>
          <w:szCs w:val="28"/>
          <w:lang w:val="uk-UA"/>
        </w:rPr>
      </w:pPr>
      <w:r>
        <w:rPr>
          <w:b w:val="0"/>
          <w:bCs w:val="0"/>
          <w:sz w:val="28"/>
          <w:szCs w:val="28"/>
          <w:lang w:val="uk-UA"/>
        </w:rPr>
        <w:t>Оцінка</w:t>
      </w:r>
      <w:r>
        <w:rPr>
          <w:rFonts w:hint="default"/>
          <w:b/>
          <w:bCs/>
          <w:sz w:val="28"/>
          <w:szCs w:val="28"/>
          <w:lang w:val="uk-UA"/>
        </w:rPr>
        <w:t xml:space="preserve"> </w:t>
      </w:r>
      <w:r>
        <w:rPr>
          <w:rFonts w:hint="default"/>
          <w:b w:val="0"/>
          <w:bCs w:val="0"/>
          <w:sz w:val="28"/>
          <w:szCs w:val="28"/>
          <w:lang w:val="uk-UA"/>
        </w:rPr>
        <w:t>ефективності розроблених заходів є одним з найважливіших чинників , який впливає на позитивне рішення їх впровадження в систему онбордингу. Тому слід оцінити ризики та переваги в зазначених змінах.</w:t>
      </w:r>
    </w:p>
    <w:p>
      <w:pPr>
        <w:numPr>
          <w:ilvl w:val="0"/>
          <w:numId w:val="0"/>
        </w:numPr>
        <w:spacing w:after="0" w:line="360" w:lineRule="auto"/>
        <w:ind w:left="0" w:leftChars="0" w:firstLine="478" w:firstLineChars="171"/>
        <w:jc w:val="both"/>
        <w:rPr>
          <w:rFonts w:hint="default"/>
          <w:b w:val="0"/>
          <w:bCs w:val="0"/>
          <w:sz w:val="28"/>
          <w:szCs w:val="28"/>
          <w:lang w:val="uk-UA"/>
        </w:rPr>
      </w:pPr>
      <w:r>
        <w:rPr>
          <w:rFonts w:hint="default"/>
          <w:b w:val="0"/>
          <w:bCs w:val="0"/>
          <w:sz w:val="28"/>
          <w:szCs w:val="28"/>
          <w:lang w:val="uk-UA"/>
        </w:rPr>
        <w:t>Ефективність застосування запропонованих заходів буде розраховуватися за наступною формулою:</w:t>
      </w:r>
    </w:p>
    <w:p>
      <w:pPr>
        <w:numPr>
          <w:ilvl w:val="0"/>
          <w:numId w:val="0"/>
        </w:numPr>
        <w:spacing w:after="0" w:line="360" w:lineRule="auto"/>
        <w:jc w:val="both"/>
        <w:rPr>
          <w:rFonts w:hint="default" w:hAnsi="Cambria Math"/>
          <w:bCs w:val="0"/>
          <w:i w:val="0"/>
          <w:sz w:val="28"/>
          <w:szCs w:val="28"/>
          <w:lang w:val="en-US"/>
        </w:rPr>
      </w:pPr>
      <m:oMathPara>
        <m:oMathParaPr>
          <m:jc m:val="right"/>
        </m:oMathParaPr>
        <m:oMath>
          <m:f>
            <m:fPr>
              <m:ctrlPr>
                <w:rPr>
                  <w:rFonts w:ascii="Cambria Math" w:hAnsi="Cambria Math"/>
                  <w:bCs w:val="0"/>
                  <w:i/>
                  <w:sz w:val="28"/>
                  <w:szCs w:val="28"/>
                  <w:lang w:val="uk-UA"/>
                </w:rPr>
              </m:ctrlPr>
            </m:fPr>
            <m:num>
              <m:r>
                <m:rPr/>
                <w:rPr>
                  <w:rFonts w:hint="default" w:ascii="Cambria Math" w:hAnsi="Cambria Math"/>
                  <w:sz w:val="28"/>
                  <w:szCs w:val="28"/>
                  <w:lang w:val="uk-UA"/>
                </w:rPr>
                <m:t>Дохід−Витрати</m:t>
              </m:r>
              <m:ctrlPr>
                <w:rPr>
                  <w:rFonts w:ascii="Cambria Math" w:hAnsi="Cambria Math"/>
                  <w:bCs w:val="0"/>
                  <w:i/>
                  <w:sz w:val="28"/>
                  <w:szCs w:val="28"/>
                  <w:lang w:val="uk-UA"/>
                </w:rPr>
              </m:ctrlPr>
            </m:num>
            <m:den>
              <m:r>
                <m:rPr/>
                <w:rPr>
                  <w:rFonts w:hint="default" w:ascii="Cambria Math" w:hAnsi="Cambria Math"/>
                  <w:sz w:val="28"/>
                  <w:szCs w:val="28"/>
                  <w:lang w:val="uk-UA"/>
                </w:rPr>
                <m:t>Витрати</m:t>
              </m:r>
              <m:ctrlPr>
                <w:rPr>
                  <w:rFonts w:ascii="Cambria Math" w:hAnsi="Cambria Math"/>
                  <w:bCs w:val="0"/>
                  <w:i/>
                  <w:sz w:val="28"/>
                  <w:szCs w:val="28"/>
                  <w:lang w:val="uk-UA"/>
                </w:rPr>
              </m:ctrlPr>
            </m:den>
          </m:f>
          <m:r>
            <m:rPr/>
            <w:rPr>
              <w:rFonts w:ascii="Cambria Math" w:hAnsi="Cambria Math"/>
              <w:sz w:val="28"/>
              <w:szCs w:val="28"/>
              <w:lang w:val="uk-UA"/>
            </w:rPr>
            <m:t>∙</m:t>
          </m:r>
          <m:r>
            <m:rPr/>
            <w:rPr>
              <w:rFonts w:hint="default" w:ascii="Cambria Math" w:hAnsi="Cambria Math"/>
              <w:sz w:val="28"/>
              <w:szCs w:val="28"/>
              <w:lang w:val="uk-UA"/>
            </w:rPr>
            <m:t>100%,</m:t>
          </m:r>
          <m:r>
            <m:rPr/>
            <w:rPr>
              <w:rFonts w:hint="default" w:ascii="Cambria Math" w:hAnsi="Cambria Math"/>
              <w:sz w:val="28"/>
              <w:szCs w:val="28"/>
              <w:lang w:val="en-US"/>
            </w:rPr>
            <m:t xml:space="preserve">                                          3.1</m:t>
          </m:r>
        </m:oMath>
      </m:oMathPara>
    </w:p>
    <w:p>
      <w:pPr>
        <w:numPr>
          <w:ilvl w:val="0"/>
          <w:numId w:val="0"/>
        </w:numPr>
        <w:spacing w:after="0" w:line="360" w:lineRule="auto"/>
        <w:ind w:left="0" w:leftChars="0" w:firstLine="478" w:firstLineChars="171"/>
        <w:jc w:val="both"/>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 xml:space="preserve">Оскільки на ТОВ “Епіцентр К”  є проблеми зі зворотнім зв’язком, можна зробити висновок, що відповідальні за процес онбордингу особи є занадто перевантаженими або недостатньо мотивованими. В разі першого випадку було запропоновано залучити додаткових співробітників, які б професійно займалися процесом коучингу/меторингу. </w:t>
      </w:r>
    </w:p>
    <w:p>
      <w:pPr>
        <w:numPr>
          <w:ilvl w:val="0"/>
          <w:numId w:val="0"/>
        </w:numPr>
        <w:spacing w:after="0" w:line="360" w:lineRule="auto"/>
        <w:ind w:left="0" w:leftChars="0" w:firstLine="478" w:firstLineChars="171"/>
        <w:jc w:val="both"/>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Таблиця 3.2 – Оцінка ефективності залучення додаткових співробітників</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7"/>
        <w:gridCol w:w="2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717" w:type="dxa"/>
            <w:vAlign w:val="center"/>
          </w:tcPr>
          <w:p>
            <w:pPr>
              <w:widowControl w:val="0"/>
              <w:numPr>
                <w:ilvl w:val="0"/>
                <w:numId w:val="0"/>
              </w:numPr>
              <w:spacing w:after="0" w:line="360" w:lineRule="auto"/>
              <w:jc w:val="center"/>
              <w:rPr>
                <w:rFonts w:hint="default" w:ascii="Times New Roman" w:hAnsi="Times New Roman" w:cs="Times New Roman"/>
                <w:b/>
                <w:bCs/>
                <w:i w:val="0"/>
                <w:sz w:val="28"/>
                <w:szCs w:val="28"/>
                <w:lang w:val="uk-UA"/>
              </w:rPr>
            </w:pPr>
            <w:r>
              <w:rPr>
                <w:rFonts w:hint="default" w:ascii="Times New Roman" w:hAnsi="Times New Roman" w:cs="Times New Roman"/>
                <w:b/>
                <w:bCs/>
                <w:i w:val="0"/>
                <w:sz w:val="28"/>
                <w:szCs w:val="28"/>
                <w:lang w:val="uk-UA"/>
              </w:rPr>
              <w:t>Назва показнику</w:t>
            </w:r>
          </w:p>
        </w:tc>
        <w:tc>
          <w:tcPr>
            <w:tcW w:w="2854" w:type="dxa"/>
            <w:vAlign w:val="center"/>
          </w:tcPr>
          <w:p>
            <w:pPr>
              <w:widowControl w:val="0"/>
              <w:numPr>
                <w:ilvl w:val="0"/>
                <w:numId w:val="0"/>
              </w:numPr>
              <w:spacing w:after="0" w:line="360" w:lineRule="auto"/>
              <w:jc w:val="center"/>
              <w:rPr>
                <w:rFonts w:hint="default" w:ascii="Times New Roman" w:hAnsi="Times New Roman" w:cs="Times New Roman"/>
                <w:b/>
                <w:bCs/>
                <w:i w:val="0"/>
                <w:sz w:val="28"/>
                <w:szCs w:val="28"/>
                <w:lang w:val="uk-UA"/>
              </w:rPr>
            </w:pPr>
            <w:r>
              <w:rPr>
                <w:rFonts w:hint="default" w:ascii="Times New Roman" w:hAnsi="Times New Roman" w:cs="Times New Roman"/>
                <w:b/>
                <w:bCs/>
                <w:i w:val="0"/>
                <w:sz w:val="28"/>
                <w:szCs w:val="28"/>
                <w:lang w:val="uk-UA"/>
              </w:rPr>
              <w:t>Основні дані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717"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Послуги 1 ментора/коуча в місяць</w:t>
            </w:r>
          </w:p>
        </w:tc>
        <w:tc>
          <w:tcPr>
            <w:tcW w:w="2854"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21 000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717"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Кількість підопічних на 1 ментора/коуча</w:t>
            </w:r>
          </w:p>
        </w:tc>
        <w:tc>
          <w:tcPr>
            <w:tcW w:w="2854"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10–15 осіб.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6717"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Середня кількість нових працівників в місяць</w:t>
            </w:r>
          </w:p>
        </w:tc>
        <w:tc>
          <w:tcPr>
            <w:tcW w:w="2854"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30 осіб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717"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Прогнозований дохід від 15 працівників</w:t>
            </w:r>
          </w:p>
        </w:tc>
        <w:tc>
          <w:tcPr>
            <w:tcW w:w="2854"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32 000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717"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Ефективність, %</w:t>
            </w:r>
          </w:p>
        </w:tc>
        <w:tc>
          <w:tcPr>
            <w:tcW w:w="2854"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52,4</w:t>
            </w:r>
            <w:r>
              <w:rPr>
                <w:rFonts w:hint="default" w:cs="Times New Roman"/>
                <w:bCs w:val="0"/>
                <w:i w:val="0"/>
                <w:sz w:val="28"/>
                <w:szCs w:val="28"/>
                <w:lang w:val="uk-UA"/>
              </w:rPr>
              <w:t xml:space="preserve"> </w:t>
            </w:r>
            <w:r>
              <w:rPr>
                <w:rFonts w:hint="default" w:ascii="Times New Roman" w:hAnsi="Times New Roman" w:cs="Times New Roman"/>
                <w:bCs w:val="0"/>
                <w:i w:val="0"/>
                <w:sz w:val="28"/>
                <w:szCs w:val="28"/>
                <w:lang w:val="uk-UA"/>
              </w:rPr>
              <w:t>%</w:t>
            </w:r>
          </w:p>
        </w:tc>
      </w:tr>
    </w:tbl>
    <w:p>
      <w:pPr>
        <w:numPr>
          <w:ilvl w:val="0"/>
          <w:numId w:val="0"/>
        </w:numPr>
        <w:spacing w:after="0" w:line="360" w:lineRule="auto"/>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Для підвищення мотивації персоналу було запропоновано підвищити заробітну плату або ввести систему бонусів за активну участь в процесі онбордингу. Відомо, що за останній рік війни в Україні, ТОВ “Епіцентр К” витратив на благодійні заходи більш ніж 300 млн. грн., враховуючи тільки грошові перекази на допомогу біженцям та військовим. Таким чином, можна скоротити внески в благодійність хоча б в 2 рази, щоб підтримувати матеріальне положення свої співробітників на належному рівні. Задля встановлення середньої заробітної плати на рівні з середнім значенням зарплатні фахівців в цій же сфері, необхідно підняти виплати на 22,75 %.</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Менш фінансово витратним шляхом є введення дієвої системи грошової мотивації в залежності від виконання плану по підвищенню прибутку підприємства, яка буде діяти кожного кварталу (таблиця 3.3.).</w:t>
      </w: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Таблиця 3.3 – Система винагород, заснована на виконанні плану по підвищенню прибутку для ТОВ “Епіцентр 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4"/>
        <w:gridCol w:w="6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84" w:type="dxa"/>
            <w:vAlign w:val="center"/>
          </w:tcPr>
          <w:p>
            <w:pPr>
              <w:widowControl w:val="0"/>
              <w:numPr>
                <w:ilvl w:val="0"/>
                <w:numId w:val="0"/>
              </w:numPr>
              <w:spacing w:after="0" w:line="360" w:lineRule="auto"/>
              <w:jc w:val="center"/>
              <w:rPr>
                <w:rFonts w:hint="default"/>
                <w:b/>
                <w:bCs/>
                <w:kern w:val="0"/>
                <w:sz w:val="28"/>
                <w:szCs w:val="28"/>
                <w:vertAlign w:val="baseline"/>
                <w:lang w:val="uk-UA" w:eastAsia="ru-RU"/>
              </w:rPr>
            </w:pPr>
            <w:r>
              <w:rPr>
                <w:rFonts w:hint="default"/>
                <w:b/>
                <w:bCs/>
                <w:kern w:val="0"/>
                <w:sz w:val="28"/>
                <w:szCs w:val="28"/>
                <w:vertAlign w:val="baseline"/>
                <w:lang w:val="uk-UA" w:eastAsia="ru-RU"/>
              </w:rPr>
              <w:t>Приріст прибутку, %</w:t>
            </w:r>
          </w:p>
        </w:tc>
        <w:tc>
          <w:tcPr>
            <w:tcW w:w="6587" w:type="dxa"/>
            <w:vAlign w:val="center"/>
          </w:tcPr>
          <w:p>
            <w:pPr>
              <w:widowControl w:val="0"/>
              <w:numPr>
                <w:ilvl w:val="0"/>
                <w:numId w:val="0"/>
              </w:numPr>
              <w:spacing w:after="0" w:line="360" w:lineRule="auto"/>
              <w:jc w:val="center"/>
              <w:rPr>
                <w:rFonts w:hint="default"/>
                <w:b/>
                <w:bCs/>
                <w:kern w:val="0"/>
                <w:sz w:val="28"/>
                <w:szCs w:val="28"/>
                <w:vertAlign w:val="baseline"/>
                <w:lang w:val="uk-UA" w:eastAsia="ru-RU"/>
              </w:rPr>
            </w:pPr>
            <w:r>
              <w:rPr>
                <w:rFonts w:hint="default"/>
                <w:b/>
                <w:bCs/>
                <w:kern w:val="0"/>
                <w:sz w:val="28"/>
                <w:szCs w:val="28"/>
                <w:vertAlign w:val="baseline"/>
                <w:lang w:val="uk-UA" w:eastAsia="ru-RU"/>
              </w:rPr>
              <w:t>Приріст окладу за кожний % приросту прибутку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4"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до 3</w:t>
            </w:r>
          </w:p>
        </w:tc>
        <w:tc>
          <w:tcPr>
            <w:tcW w:w="6587"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4"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від 3 до 5</w:t>
            </w:r>
          </w:p>
        </w:tc>
        <w:tc>
          <w:tcPr>
            <w:tcW w:w="6587"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4"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від 5 до 10</w:t>
            </w:r>
          </w:p>
        </w:tc>
        <w:tc>
          <w:tcPr>
            <w:tcW w:w="6587"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4"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більше 10</w:t>
            </w:r>
          </w:p>
        </w:tc>
        <w:tc>
          <w:tcPr>
            <w:tcW w:w="6587" w:type="dxa"/>
            <w:vAlign w:val="center"/>
          </w:tcPr>
          <w:p>
            <w:pPr>
              <w:widowControl w:val="0"/>
              <w:numPr>
                <w:ilvl w:val="0"/>
                <w:numId w:val="0"/>
              </w:numPr>
              <w:spacing w:after="0" w:line="360" w:lineRule="auto"/>
              <w:jc w:val="center"/>
              <w:rPr>
                <w:rFonts w:hint="default"/>
                <w:kern w:val="0"/>
                <w:sz w:val="28"/>
                <w:szCs w:val="28"/>
                <w:vertAlign w:val="baseline"/>
                <w:lang w:val="uk-UA" w:eastAsia="ru-RU"/>
              </w:rPr>
            </w:pPr>
            <w:r>
              <w:rPr>
                <w:rFonts w:hint="default"/>
                <w:kern w:val="0"/>
                <w:sz w:val="28"/>
                <w:szCs w:val="28"/>
                <w:vertAlign w:val="baseline"/>
                <w:lang w:val="uk-UA" w:eastAsia="ru-RU"/>
              </w:rPr>
              <w:t>25 %</w:t>
            </w:r>
          </w:p>
        </w:tc>
      </w:tr>
    </w:tbl>
    <w:p>
      <w:pPr>
        <w:numPr>
          <w:ilvl w:val="0"/>
          <w:numId w:val="0"/>
        </w:numPr>
        <w:spacing w:after="0" w:line="360" w:lineRule="auto"/>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При цьому через невиконання певних вимог та нормативів для співробітників необхідно розробити систему дисциплінарного стягнення. Документ оформляється у вигляді наказу або розпорядженням, працівник повинен розписатися про ознайомлення з цим документом. </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Створення чек-листу з відповідями на на найпоширеніші запитання передбачає використання платформи </w:t>
      </w:r>
      <w:r>
        <w:rPr>
          <w:rFonts w:hint="default"/>
          <w:kern w:val="0"/>
          <w:sz w:val="28"/>
          <w:szCs w:val="28"/>
          <w:lang w:val="en-US" w:eastAsia="ru-RU"/>
        </w:rPr>
        <w:t>Hurma System</w:t>
      </w:r>
      <w:r>
        <w:rPr>
          <w:rFonts w:hint="default"/>
          <w:kern w:val="0"/>
          <w:sz w:val="28"/>
          <w:szCs w:val="28"/>
          <w:lang w:val="uk-UA" w:eastAsia="ru-RU"/>
        </w:rPr>
        <w:t xml:space="preserve">, з якою вже співпрацюють ТОВ “Епіцентр К”. Відповідно, вартість цієї платформи враховуватися не буде. Буде прийнято, що за розробку опитування, чек-листа та його тестування </w:t>
      </w:r>
      <w:r>
        <w:rPr>
          <w:rFonts w:hint="default"/>
          <w:kern w:val="0"/>
          <w:sz w:val="28"/>
          <w:szCs w:val="28"/>
          <w:lang w:val="en-US" w:eastAsia="ru-RU"/>
        </w:rPr>
        <w:t>HR-</w:t>
      </w:r>
      <w:r>
        <w:rPr>
          <w:rFonts w:hint="default"/>
          <w:kern w:val="0"/>
          <w:sz w:val="28"/>
          <w:szCs w:val="28"/>
          <w:lang w:val="uk-UA" w:eastAsia="ru-RU"/>
        </w:rPr>
        <w:t>менеджер отримає надбавку до заробітної плати, тоді можна розрахувати ефективність запропонованого заходу (таблиця 3.4).</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Таблиця 3.4  – Ефективність створення чек-листу з відповідями на найпоширеніші запитання під час процесу онбордингу на підприємстві ТОВ “Епіцентр К”</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1"/>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7051" w:type="dxa"/>
            <w:vAlign w:val="center"/>
          </w:tcPr>
          <w:p>
            <w:pPr>
              <w:widowControl w:val="0"/>
              <w:numPr>
                <w:ilvl w:val="0"/>
                <w:numId w:val="0"/>
              </w:numPr>
              <w:spacing w:after="0" w:line="360" w:lineRule="auto"/>
              <w:jc w:val="center"/>
              <w:rPr>
                <w:rFonts w:hint="default" w:ascii="Times New Roman" w:hAnsi="Times New Roman" w:cs="Times New Roman"/>
                <w:b/>
                <w:bCs/>
                <w:i w:val="0"/>
                <w:sz w:val="28"/>
                <w:szCs w:val="28"/>
                <w:lang w:val="uk-UA"/>
              </w:rPr>
            </w:pPr>
            <w:r>
              <w:rPr>
                <w:rFonts w:hint="default" w:ascii="Times New Roman" w:hAnsi="Times New Roman" w:cs="Times New Roman"/>
                <w:b/>
                <w:bCs/>
                <w:i w:val="0"/>
                <w:sz w:val="28"/>
                <w:szCs w:val="28"/>
                <w:lang w:val="uk-UA"/>
              </w:rPr>
              <w:t>Назва показнику</w:t>
            </w:r>
          </w:p>
        </w:tc>
        <w:tc>
          <w:tcPr>
            <w:tcW w:w="2520" w:type="dxa"/>
            <w:vAlign w:val="center"/>
          </w:tcPr>
          <w:p>
            <w:pPr>
              <w:widowControl w:val="0"/>
              <w:numPr>
                <w:ilvl w:val="0"/>
                <w:numId w:val="0"/>
              </w:numPr>
              <w:spacing w:after="0" w:line="360" w:lineRule="auto"/>
              <w:jc w:val="center"/>
              <w:rPr>
                <w:rFonts w:hint="default" w:ascii="Times New Roman" w:hAnsi="Times New Roman" w:cs="Times New Roman"/>
                <w:b/>
                <w:bCs/>
                <w:i w:val="0"/>
                <w:sz w:val="28"/>
                <w:szCs w:val="28"/>
                <w:lang w:val="uk-UA"/>
              </w:rPr>
            </w:pPr>
            <w:r>
              <w:rPr>
                <w:rFonts w:hint="default" w:ascii="Times New Roman" w:hAnsi="Times New Roman" w:cs="Times New Roman"/>
                <w:b/>
                <w:bCs/>
                <w:i w:val="0"/>
                <w:sz w:val="28"/>
                <w:szCs w:val="28"/>
                <w:lang w:val="uk-UA"/>
              </w:rPr>
              <w:t>Основні дані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51"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Премія для розробника чек-листу</w:t>
            </w:r>
          </w:p>
        </w:tc>
        <w:tc>
          <w:tcPr>
            <w:tcW w:w="2520"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4 200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051"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Економія часу менторів/коучів/</w:t>
            </w:r>
            <w:r>
              <w:rPr>
                <w:rFonts w:hint="default" w:cs="Times New Roman"/>
                <w:bCs w:val="0"/>
                <w:i w:val="0"/>
                <w:sz w:val="28"/>
                <w:szCs w:val="28"/>
                <w:lang w:val="en-US"/>
              </w:rPr>
              <w:t>HR-</w:t>
            </w:r>
            <w:r>
              <w:rPr>
                <w:rFonts w:hint="default" w:cs="Times New Roman"/>
                <w:bCs w:val="0"/>
                <w:i w:val="0"/>
                <w:sz w:val="28"/>
                <w:szCs w:val="28"/>
                <w:lang w:val="uk-UA"/>
              </w:rPr>
              <w:t>менеджерів</w:t>
            </w:r>
          </w:p>
        </w:tc>
        <w:tc>
          <w:tcPr>
            <w:tcW w:w="2520"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2 год/добу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51"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Прогнозований дохід від 1 працівник</w:t>
            </w:r>
            <w:r>
              <w:rPr>
                <w:rFonts w:hint="default" w:cs="Times New Roman"/>
                <w:bCs w:val="0"/>
                <w:i w:val="0"/>
                <w:sz w:val="28"/>
                <w:szCs w:val="28"/>
                <w:lang w:val="uk-UA"/>
              </w:rPr>
              <w:t>а в перший місяць</w:t>
            </w:r>
          </w:p>
        </w:tc>
        <w:tc>
          <w:tcPr>
            <w:tcW w:w="2520"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300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1"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Прогнозований дохід від середньої кількості нових працівників в перший місяць</w:t>
            </w:r>
          </w:p>
        </w:tc>
        <w:tc>
          <w:tcPr>
            <w:tcW w:w="2520"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9 000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051"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Ефективність, %</w:t>
            </w:r>
          </w:p>
        </w:tc>
        <w:tc>
          <w:tcPr>
            <w:tcW w:w="2520"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 xml:space="preserve">114 </w:t>
            </w:r>
            <w:r>
              <w:rPr>
                <w:rFonts w:hint="default" w:ascii="Times New Roman" w:hAnsi="Times New Roman" w:cs="Times New Roman"/>
                <w:bCs w:val="0"/>
                <w:i w:val="0"/>
                <w:sz w:val="28"/>
                <w:szCs w:val="28"/>
                <w:lang w:val="uk-UA"/>
              </w:rPr>
              <w:t>%</w:t>
            </w:r>
          </w:p>
        </w:tc>
      </w:tr>
    </w:tbl>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Збільшення терміну проходження онбордингу має покращити знання адаптованих працівників та їх інтеграцію в робоче середовище. Збільшення часу на вивчення нового матеріалу дозволить знизити виникнення проблемних ситуацій та незадоволених клієнтів, адже в нового працівника буде достатньо кваліфікації для раціонального вирішення нагальних проблем (таблиця 3.5).</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Таблиця 3.5 – Ефективність збільшення часу проходження онбордингу на 1 місяць на підприємстві ТОВ “Епіцентр К”</w:t>
      </w:r>
    </w:p>
    <w:tbl>
      <w:tblPr>
        <w:tblStyle w:val="7"/>
        <w:tblW w:w="98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8"/>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8" w:type="dxa"/>
            <w:vAlign w:val="center"/>
          </w:tcPr>
          <w:p>
            <w:pPr>
              <w:widowControl w:val="0"/>
              <w:numPr>
                <w:ilvl w:val="0"/>
                <w:numId w:val="0"/>
              </w:numPr>
              <w:spacing w:after="0" w:line="360" w:lineRule="auto"/>
              <w:jc w:val="center"/>
              <w:rPr>
                <w:rFonts w:hint="default" w:ascii="Times New Roman" w:hAnsi="Times New Roman" w:cs="Times New Roman"/>
                <w:b/>
                <w:bCs/>
                <w:i w:val="0"/>
                <w:sz w:val="28"/>
                <w:szCs w:val="28"/>
                <w:lang w:val="uk-UA"/>
              </w:rPr>
            </w:pPr>
            <w:r>
              <w:rPr>
                <w:rFonts w:hint="default" w:ascii="Times New Roman" w:hAnsi="Times New Roman" w:cs="Times New Roman"/>
                <w:b/>
                <w:bCs/>
                <w:i w:val="0"/>
                <w:sz w:val="28"/>
                <w:szCs w:val="28"/>
                <w:lang w:val="uk-UA"/>
              </w:rPr>
              <w:t>Назва показнику</w:t>
            </w:r>
          </w:p>
        </w:tc>
        <w:tc>
          <w:tcPr>
            <w:tcW w:w="1686" w:type="dxa"/>
            <w:vAlign w:val="center"/>
          </w:tcPr>
          <w:p>
            <w:pPr>
              <w:widowControl w:val="0"/>
              <w:numPr>
                <w:ilvl w:val="0"/>
                <w:numId w:val="0"/>
              </w:numPr>
              <w:spacing w:after="0" w:line="360" w:lineRule="auto"/>
              <w:jc w:val="center"/>
              <w:rPr>
                <w:rFonts w:hint="default" w:ascii="Times New Roman" w:hAnsi="Times New Roman" w:cs="Times New Roman"/>
                <w:b/>
                <w:bCs/>
                <w:i w:val="0"/>
                <w:sz w:val="28"/>
                <w:szCs w:val="28"/>
                <w:lang w:val="uk-UA"/>
              </w:rPr>
            </w:pPr>
            <w:r>
              <w:rPr>
                <w:rFonts w:hint="default" w:ascii="Times New Roman" w:hAnsi="Times New Roman" w:cs="Times New Roman"/>
                <w:b/>
                <w:bCs/>
                <w:i w:val="0"/>
                <w:sz w:val="28"/>
                <w:szCs w:val="28"/>
                <w:lang w:val="uk-UA"/>
              </w:rPr>
              <w:t>Основні дані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138"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Витрати на 1 місяць онбордингу</w:t>
            </w:r>
          </w:p>
        </w:tc>
        <w:tc>
          <w:tcPr>
            <w:tcW w:w="1686"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26 500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38"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Прогнозований дохід від</w:t>
            </w:r>
            <w:r>
              <w:rPr>
                <w:rFonts w:hint="default" w:cs="Times New Roman"/>
                <w:bCs w:val="0"/>
                <w:i w:val="0"/>
                <w:sz w:val="28"/>
                <w:szCs w:val="28"/>
                <w:lang w:val="uk-UA"/>
              </w:rPr>
              <w:t xml:space="preserve"> працівника</w:t>
            </w:r>
            <w:r>
              <w:rPr>
                <w:rFonts w:hint="default" w:ascii="Times New Roman" w:hAnsi="Times New Roman" w:cs="Times New Roman"/>
                <w:bCs w:val="0"/>
                <w:i w:val="0"/>
                <w:sz w:val="28"/>
                <w:szCs w:val="28"/>
                <w:lang w:val="uk-UA"/>
              </w:rPr>
              <w:t xml:space="preserve"> </w:t>
            </w:r>
            <w:r>
              <w:rPr>
                <w:rFonts w:hint="default" w:cs="Times New Roman"/>
                <w:bCs w:val="0"/>
                <w:i w:val="0"/>
                <w:sz w:val="28"/>
                <w:szCs w:val="28"/>
                <w:lang w:val="uk-UA"/>
              </w:rPr>
              <w:t>протягом 4 місяця онбордингу</w:t>
            </w:r>
          </w:p>
        </w:tc>
        <w:tc>
          <w:tcPr>
            <w:tcW w:w="1686"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1 600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8138"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Прогнозований дохід від середньої кількості нових працівників на 4 місяць онбордингу</w:t>
            </w:r>
          </w:p>
        </w:tc>
        <w:tc>
          <w:tcPr>
            <w:tcW w:w="1686"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48 000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8138"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Ефективність, %</w:t>
            </w:r>
          </w:p>
        </w:tc>
        <w:tc>
          <w:tcPr>
            <w:tcW w:w="1686"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 xml:space="preserve">81,1 </w:t>
            </w:r>
            <w:r>
              <w:rPr>
                <w:rFonts w:hint="default" w:ascii="Times New Roman" w:hAnsi="Times New Roman" w:cs="Times New Roman"/>
                <w:bCs w:val="0"/>
                <w:i w:val="0"/>
                <w:sz w:val="28"/>
                <w:szCs w:val="28"/>
                <w:lang w:val="uk-UA"/>
              </w:rPr>
              <w:t>%</w:t>
            </w:r>
          </w:p>
        </w:tc>
      </w:tr>
    </w:tbl>
    <w:p>
      <w:pPr>
        <w:numPr>
          <w:ilvl w:val="0"/>
          <w:numId w:val="0"/>
        </w:numPr>
        <w:spacing w:after="0" w:line="360" w:lineRule="auto"/>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Система партнерства передбачає збільшення навантаження та появу нових обов’язків в більш досвідченого співробітника, до якого закріплюється новий працівник. Відповідно, необхідно якимось чином мотивувати “наставника”. Для мотивування можна використовувати такі засоби як надання додаткових вихідних або відпусток, преміальні виплати, надання безкоштовного доступу до курсів підвищення кваліфікації. Розглянемо ефективність останнього методу  в таблиці 3.6.</w:t>
      </w: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Таблиця 3.6 – Ефективність застосування мотивації наставників шляхом надання безкоштовного доступу до онлайн-курсу підвищення кваліфікації</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1"/>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7531" w:type="dxa"/>
            <w:vAlign w:val="center"/>
          </w:tcPr>
          <w:p>
            <w:pPr>
              <w:widowControl w:val="0"/>
              <w:numPr>
                <w:ilvl w:val="0"/>
                <w:numId w:val="0"/>
              </w:numPr>
              <w:spacing w:after="0" w:line="360" w:lineRule="auto"/>
              <w:jc w:val="center"/>
              <w:rPr>
                <w:rFonts w:hint="default" w:ascii="Times New Roman" w:hAnsi="Times New Roman" w:cs="Times New Roman"/>
                <w:b/>
                <w:bCs/>
                <w:i w:val="0"/>
                <w:sz w:val="28"/>
                <w:szCs w:val="28"/>
                <w:lang w:val="uk-UA"/>
              </w:rPr>
            </w:pPr>
            <w:r>
              <w:rPr>
                <w:rFonts w:hint="default" w:ascii="Times New Roman" w:hAnsi="Times New Roman" w:cs="Times New Roman"/>
                <w:b/>
                <w:bCs/>
                <w:i w:val="0"/>
                <w:sz w:val="28"/>
                <w:szCs w:val="28"/>
                <w:lang w:val="uk-UA"/>
              </w:rPr>
              <w:t>Назва показнику</w:t>
            </w:r>
          </w:p>
        </w:tc>
        <w:tc>
          <w:tcPr>
            <w:tcW w:w="2040" w:type="dxa"/>
            <w:vAlign w:val="center"/>
          </w:tcPr>
          <w:p>
            <w:pPr>
              <w:widowControl w:val="0"/>
              <w:numPr>
                <w:ilvl w:val="0"/>
                <w:numId w:val="0"/>
              </w:numPr>
              <w:spacing w:after="0" w:line="360" w:lineRule="auto"/>
              <w:jc w:val="center"/>
              <w:rPr>
                <w:rFonts w:hint="default" w:ascii="Times New Roman" w:hAnsi="Times New Roman" w:cs="Times New Roman"/>
                <w:b/>
                <w:bCs/>
                <w:i w:val="0"/>
                <w:sz w:val="28"/>
                <w:szCs w:val="28"/>
                <w:lang w:val="uk-UA"/>
              </w:rPr>
            </w:pPr>
            <w:r>
              <w:rPr>
                <w:rFonts w:hint="default" w:ascii="Times New Roman" w:hAnsi="Times New Roman" w:cs="Times New Roman"/>
                <w:b/>
                <w:bCs/>
                <w:i w:val="0"/>
                <w:sz w:val="28"/>
                <w:szCs w:val="28"/>
                <w:lang w:val="uk-UA"/>
              </w:rPr>
              <w:t>Основні дані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31"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Вартість навчання 1 працівника</w:t>
            </w:r>
          </w:p>
        </w:tc>
        <w:tc>
          <w:tcPr>
            <w:tcW w:w="2040"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1 700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531"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Кількість працівників, що пройдуть навчання</w:t>
            </w:r>
          </w:p>
        </w:tc>
        <w:tc>
          <w:tcPr>
            <w:tcW w:w="2040"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30 осіб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531"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Прогнозований дохід навчання 1 працівника</w:t>
            </w:r>
          </w:p>
        </w:tc>
        <w:tc>
          <w:tcPr>
            <w:tcW w:w="2040"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2 500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531"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ascii="Times New Roman" w:hAnsi="Times New Roman" w:cs="Times New Roman"/>
                <w:bCs w:val="0"/>
                <w:i w:val="0"/>
                <w:sz w:val="28"/>
                <w:szCs w:val="28"/>
                <w:lang w:val="uk-UA"/>
              </w:rPr>
              <w:t>Ефективність, %</w:t>
            </w:r>
          </w:p>
        </w:tc>
        <w:tc>
          <w:tcPr>
            <w:tcW w:w="2040" w:type="dxa"/>
            <w:vAlign w:val="center"/>
          </w:tcPr>
          <w:p>
            <w:pPr>
              <w:widowControl w:val="0"/>
              <w:numPr>
                <w:ilvl w:val="0"/>
                <w:numId w:val="0"/>
              </w:numPr>
              <w:spacing w:after="0" w:line="360" w:lineRule="auto"/>
              <w:jc w:val="center"/>
              <w:rPr>
                <w:rFonts w:hint="default" w:ascii="Times New Roman" w:hAnsi="Times New Roman" w:cs="Times New Roman"/>
                <w:bCs w:val="0"/>
                <w:i w:val="0"/>
                <w:sz w:val="28"/>
                <w:szCs w:val="28"/>
                <w:lang w:val="uk-UA"/>
              </w:rPr>
            </w:pPr>
            <w:r>
              <w:rPr>
                <w:rFonts w:hint="default" w:cs="Times New Roman"/>
                <w:bCs w:val="0"/>
                <w:i w:val="0"/>
                <w:sz w:val="28"/>
                <w:szCs w:val="28"/>
                <w:lang w:val="uk-UA"/>
              </w:rPr>
              <w:t xml:space="preserve">47 </w:t>
            </w:r>
            <w:r>
              <w:rPr>
                <w:rFonts w:hint="default" w:ascii="Times New Roman" w:hAnsi="Times New Roman" w:cs="Times New Roman"/>
                <w:bCs w:val="0"/>
                <w:i w:val="0"/>
                <w:sz w:val="28"/>
                <w:szCs w:val="28"/>
                <w:lang w:val="uk-UA"/>
              </w:rPr>
              <w:t>%</w:t>
            </w:r>
          </w:p>
        </w:tc>
      </w:tr>
    </w:tbl>
    <w:p>
      <w:pPr>
        <w:numPr>
          <w:ilvl w:val="0"/>
          <w:numId w:val="0"/>
        </w:numPr>
        <w:spacing w:after="0" w:line="360" w:lineRule="auto"/>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Отже, в результаті розрахунку ефективності запропонованих заходів, було виявлено, що розроблені заходи є доцільними, та вигідними в фінансовому напрямку. До того ж, всі запропоновані методи здатні підвищити працездатність нових співробітників, їх рівень мотивації, лояльності та задоволеності робочим місцем, а також зменшити плинність кадрів, що є дуже важливим критерієм. Адже в випадку неефективності системи онбордингу, підприємство на кожного звільненого нового працівника втрачає гроші в розмірі 1–2 місячних заробітних плат. Під час війни особливо важливо спрямовувати вектор уваги на працівників, створюючи для них стабільні та комфортні умови. Особливо важлива людська підтримка зі сторони керівництва та колег, адже адаптація на новому місці сама по собі вже є причиною сильного стресу, який додатково посилюється сьогоднішніми проблемами в Україні. </w:t>
      </w: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jc w:val="both"/>
        <w:rPr>
          <w:rFonts w:hint="default"/>
          <w:kern w:val="0"/>
          <w:sz w:val="28"/>
          <w:szCs w:val="28"/>
          <w:lang w:val="uk-UA" w:eastAsia="ru-RU"/>
        </w:rPr>
      </w:pPr>
    </w:p>
    <w:p>
      <w:pPr>
        <w:numPr>
          <w:ilvl w:val="0"/>
          <w:numId w:val="0"/>
        </w:numPr>
        <w:spacing w:after="0" w:line="360" w:lineRule="auto"/>
        <w:jc w:val="center"/>
        <w:rPr>
          <w:rFonts w:hint="default"/>
          <w:b/>
          <w:bCs/>
          <w:kern w:val="0"/>
          <w:sz w:val="28"/>
          <w:szCs w:val="28"/>
          <w:lang w:val="uk-UA" w:eastAsia="ru-RU"/>
        </w:rPr>
      </w:pPr>
      <w:r>
        <w:rPr>
          <w:rFonts w:hint="default"/>
          <w:b/>
          <w:bCs/>
          <w:kern w:val="0"/>
          <w:sz w:val="28"/>
          <w:szCs w:val="28"/>
          <w:lang w:val="uk-UA" w:eastAsia="ru-RU"/>
        </w:rPr>
        <w:t>ВИСНОВКИ</w:t>
      </w:r>
    </w:p>
    <w:p>
      <w:pPr>
        <w:numPr>
          <w:ilvl w:val="0"/>
          <w:numId w:val="0"/>
        </w:numPr>
        <w:spacing w:after="0" w:line="360" w:lineRule="auto"/>
        <w:jc w:val="center"/>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В даній курсовій роботі були досліджені напрями покращення системи онбордингу на підприємстві ТОВ “Епіцентр К” під час війни. </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Для цього в першому розділі було розглянуте поняття онбордингу, визначені головні форми адаптації нового персоналу, головні елементи системи адаптації та методи оцінки ефективності наявної системи. Був проведений літературний аналіз наукових та методичних посібників за останні 5–10 років для того, щоб сформувати різносторонній погляд на зазначену тему.</w:t>
      </w:r>
    </w:p>
    <w:p>
      <w:pPr>
        <w:spacing w:line="360" w:lineRule="auto"/>
        <w:ind w:left="18" w:leftChars="0" w:firstLine="702" w:firstLineChars="0"/>
        <w:jc w:val="both"/>
        <w:rPr>
          <w:rFonts w:hint="default"/>
          <w:kern w:val="0"/>
          <w:sz w:val="28"/>
          <w:szCs w:val="28"/>
          <w:lang w:val="uk-UA" w:eastAsia="ru-RU"/>
        </w:rPr>
      </w:pPr>
      <w:r>
        <w:rPr>
          <w:rFonts w:hint="default"/>
          <w:kern w:val="0"/>
          <w:sz w:val="28"/>
          <w:szCs w:val="28"/>
          <w:lang w:val="uk-UA" w:eastAsia="ru-RU"/>
        </w:rPr>
        <w:t>В другому розділі був проведений загальний аналіз наявної системи онбордингу персоналу ТОВ “Епіцентр К” та її результати застосування. Рівні прояву онбордингу персоналу на підприємстві ТОВ “Епіцентр К” включають в себе наявність спеціалістів, які займаються процесом адаптації персоналу, програму онбордингу, інформаційно-довідкову систему, систему наставництва та адаптаційні заходи (інструктаж, віртуальна екскурсія, навчання на онлайн патформі). За результатами оцінки було виявлено, що система є ефективною та комплексною. Але, одночасно з цим, на підприємстві занадто високі показники плинності кадрів через низьку заробітну плату, велику навантаженість на працівників під час проходження адаптації, поганий зворотній зв’язок та неетичне відношення до них з боку керівництва. Відповідно, працівники звільняються з місця роботи ще під час проходження адаптації через те, що не витримують навантаження та не відчувають себе цінними.</w:t>
      </w:r>
    </w:p>
    <w:p>
      <w:pPr>
        <w:numPr>
          <w:ilvl w:val="0"/>
          <w:numId w:val="0"/>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Спираючись на попередні дані, в третьому розділі були розроблені такі методи вдосконалення системи обордингу, як підвищення зарплатні до рівня середньої зарплатні спеціалістів в даній сфері за рахунок зменшення витрат на благодійні фонди; створення чек-листа з відповідями на найпоширеніші запитання нових працівників, що дозволяє в зручний для співробітника момент знайти необхідні відповіді навіть в умовах відключення світла або зв’язку; збільшення терміну процесу онбордингу, залучення професійних менторів та коучів до процесу онбордингу, введення привітальних заходів та розроблення системи партнерства.</w:t>
      </w:r>
    </w:p>
    <w:p>
      <w:pPr>
        <w:spacing w:line="360" w:lineRule="auto"/>
        <w:ind w:left="0" w:leftChars="0" w:firstLine="720" w:firstLineChars="0"/>
        <w:jc w:val="both"/>
        <w:rPr>
          <w:rFonts w:hint="default"/>
          <w:b w:val="0"/>
          <w:bCs w:val="0"/>
          <w:sz w:val="28"/>
          <w:szCs w:val="28"/>
          <w:lang w:val="uk-UA"/>
        </w:rPr>
      </w:pPr>
      <w:r>
        <w:rPr>
          <w:rFonts w:hint="default"/>
          <w:kern w:val="0"/>
          <w:sz w:val="28"/>
          <w:szCs w:val="28"/>
          <w:lang w:val="uk-UA" w:eastAsia="ru-RU"/>
        </w:rPr>
        <w:t>Дані заходи можуть бути використані безпосередньо на підприємстві ТОВ “Епіцентр К” з метою підвищення іміджу компанії та збільшення ефективності підприємства в умовах війни. При цьому в</w:t>
      </w:r>
      <w:r>
        <w:rPr>
          <w:rFonts w:hint="default"/>
          <w:b w:val="0"/>
          <w:bCs w:val="0"/>
          <w:sz w:val="28"/>
          <w:szCs w:val="28"/>
          <w:lang w:val="uk-UA"/>
        </w:rPr>
        <w:t>ажливо регулярно оцінювати ефективність нової системи онбордингу в умовах війни та вносити корективи, якщо це необхідно. Зважаючи на те, що кожна ситуація є унікальною, система онбордингу повинна бути гнучкою та адаптованою до конкретних потреб компанії в умовах війни.</w:t>
      </w: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ru-RU" w:eastAsia="ru-RU"/>
        </w:rPr>
      </w:pPr>
    </w:p>
    <w:p>
      <w:pPr>
        <w:numPr>
          <w:ilvl w:val="0"/>
          <w:numId w:val="0"/>
        </w:numPr>
        <w:spacing w:after="0" w:line="360" w:lineRule="auto"/>
        <w:jc w:val="both"/>
        <w:rPr>
          <w:rFonts w:hint="default"/>
          <w:kern w:val="0"/>
          <w:sz w:val="28"/>
          <w:szCs w:val="28"/>
          <w:lang w:val="uk-UA" w:eastAsia="ru-RU"/>
        </w:rPr>
      </w:pPr>
    </w:p>
    <w:p>
      <w:pPr>
        <w:spacing w:line="276" w:lineRule="auto"/>
        <w:jc w:val="center"/>
        <w:rPr>
          <w:b/>
          <w:bCs/>
          <w:color w:val="000000"/>
          <w:sz w:val="28"/>
          <w:szCs w:val="28"/>
        </w:rPr>
      </w:pPr>
      <w:r>
        <w:rPr>
          <w:b/>
          <w:bCs/>
          <w:color w:val="000000"/>
          <w:sz w:val="28"/>
          <w:szCs w:val="28"/>
        </w:rPr>
        <w:t>СПИСОК ВИКОРИСТАНИХ ДЖЕРЕЛ</w:t>
      </w:r>
    </w:p>
    <w:p>
      <w:pPr>
        <w:numPr>
          <w:numId w:val="0"/>
        </w:numPr>
        <w:spacing w:after="0" w:line="360" w:lineRule="auto"/>
        <w:jc w:val="both"/>
        <w:rPr>
          <w:rFonts w:hint="default"/>
          <w:kern w:val="0"/>
          <w:sz w:val="28"/>
          <w:szCs w:val="28"/>
          <w:lang w:val="uk-UA" w:eastAsia="ru-RU"/>
        </w:rPr>
      </w:pPr>
      <w:r>
        <w:rPr>
          <w:rFonts w:hint="default"/>
          <w:kern w:val="0"/>
          <w:sz w:val="28"/>
          <w:szCs w:val="28"/>
          <w:lang w:val="uk-UA" w:eastAsia="ru-RU"/>
        </w:rPr>
        <w:t xml:space="preserve">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Громко Л.С. Принципи управління персоналом в умовах антикризової діяльності підприємства: методологічний аспект. </w:t>
      </w:r>
      <w:r>
        <w:rPr>
          <w:rFonts w:hint="default"/>
          <w:i/>
          <w:iCs/>
          <w:kern w:val="0"/>
          <w:sz w:val="28"/>
          <w:szCs w:val="28"/>
          <w:lang w:val="uk-UA" w:eastAsia="ru-RU"/>
        </w:rPr>
        <w:t>  Економіка та управління підприємствами.</w:t>
      </w:r>
      <w:r>
        <w:rPr>
          <w:rFonts w:hint="default"/>
          <w:kern w:val="0"/>
          <w:sz w:val="28"/>
          <w:szCs w:val="28"/>
          <w:lang w:val="uk-UA" w:eastAsia="ru-RU"/>
        </w:rPr>
        <w:t xml:space="preserve"> 2018. № 36. С. 109–113.</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Зачко О. Б., Івануса А.</w:t>
      </w:r>
      <w:r>
        <w:rPr>
          <w:rFonts w:hint="default"/>
          <w:kern w:val="0"/>
          <w:sz w:val="28"/>
          <w:szCs w:val="28"/>
          <w:lang w:val="en-US" w:eastAsia="ru-RU"/>
        </w:rPr>
        <w:t xml:space="preserve"> </w:t>
      </w:r>
      <w:r>
        <w:rPr>
          <w:rFonts w:hint="default"/>
          <w:kern w:val="0"/>
          <w:sz w:val="28"/>
          <w:szCs w:val="28"/>
          <w:lang w:val="uk-UA" w:eastAsia="ru-RU"/>
        </w:rPr>
        <w:t>І., Кобилкін Д.</w:t>
      </w:r>
      <w:r>
        <w:rPr>
          <w:rFonts w:hint="default"/>
          <w:kern w:val="0"/>
          <w:sz w:val="28"/>
          <w:szCs w:val="28"/>
          <w:lang w:val="en-US" w:eastAsia="ru-RU"/>
        </w:rPr>
        <w:t xml:space="preserve"> </w:t>
      </w:r>
      <w:r>
        <w:rPr>
          <w:rFonts w:hint="default"/>
          <w:kern w:val="0"/>
          <w:sz w:val="28"/>
          <w:szCs w:val="28"/>
          <w:lang w:val="uk-UA" w:eastAsia="ru-RU"/>
        </w:rPr>
        <w:t xml:space="preserve">С. Управління проектами: теорія, практика, інформаційні технології. Львів: ЛДУ БЖД, 2019. 173 с.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en-US" w:eastAsia="zh-CN"/>
        </w:rPr>
        <w:t>Миронова О. М. Основні проблеми адаптації персоналу та методи їх вирішення на підприємствах.</w:t>
      </w:r>
      <w:r>
        <w:rPr>
          <w:rFonts w:hint="default"/>
          <w:kern w:val="0"/>
          <w:sz w:val="28"/>
          <w:szCs w:val="28"/>
          <w:lang w:val="ru-RU" w:eastAsia="zh-CN"/>
        </w:rPr>
        <w:t xml:space="preserve"> </w:t>
      </w:r>
      <w:r>
        <w:rPr>
          <w:rFonts w:hint="default"/>
          <w:i/>
          <w:iCs/>
          <w:kern w:val="0"/>
          <w:sz w:val="28"/>
          <w:szCs w:val="28"/>
          <w:lang w:val="en-US" w:eastAsia="zh-CN"/>
        </w:rPr>
        <w:t>Економіка та суспільство</w:t>
      </w:r>
      <w:r>
        <w:rPr>
          <w:rFonts w:hint="default"/>
          <w:kern w:val="0"/>
          <w:sz w:val="28"/>
          <w:szCs w:val="28"/>
          <w:lang w:val="ru-RU" w:eastAsia="zh-CN"/>
        </w:rPr>
        <w:t xml:space="preserve">. Мукачево, 2015. </w:t>
      </w:r>
      <w:r>
        <w:rPr>
          <w:rFonts w:hint="default"/>
          <w:kern w:val="0"/>
          <w:sz w:val="28"/>
          <w:szCs w:val="28"/>
          <w:lang w:val="en-US" w:eastAsia="zh-CN"/>
        </w:rPr>
        <w:t xml:space="preserve">URL : </w:t>
      </w:r>
      <w:r>
        <w:rPr>
          <w:rFonts w:hint="default"/>
          <w:kern w:val="0"/>
          <w:sz w:val="28"/>
          <w:szCs w:val="28"/>
          <w:lang w:val="en-US" w:eastAsia="zh-CN"/>
        </w:rPr>
        <w:fldChar w:fldCharType="begin"/>
      </w:r>
      <w:r>
        <w:rPr>
          <w:rFonts w:hint="default"/>
          <w:kern w:val="0"/>
          <w:sz w:val="28"/>
          <w:szCs w:val="28"/>
          <w:lang w:val="en-US" w:eastAsia="zh-CN"/>
        </w:rPr>
        <w:instrText xml:space="preserve"> HYPERLINK "http://economyandsociety.in.ua" </w:instrText>
      </w:r>
      <w:r>
        <w:rPr>
          <w:rFonts w:hint="default"/>
          <w:kern w:val="0"/>
          <w:sz w:val="28"/>
          <w:szCs w:val="28"/>
          <w:lang w:val="en-US" w:eastAsia="zh-CN"/>
        </w:rPr>
        <w:fldChar w:fldCharType="separate"/>
      </w:r>
      <w:r>
        <w:rPr>
          <w:rStyle w:val="5"/>
          <w:rFonts w:hint="default"/>
          <w:kern w:val="0"/>
          <w:sz w:val="28"/>
          <w:szCs w:val="28"/>
          <w:lang w:val="en-US" w:eastAsia="zh-CN"/>
        </w:rPr>
        <w:t>http://economyandsociety.in.ua</w:t>
      </w:r>
      <w:r>
        <w:rPr>
          <w:rFonts w:hint="default"/>
          <w:kern w:val="0"/>
          <w:sz w:val="28"/>
          <w:szCs w:val="28"/>
          <w:lang w:val="en-US" w:eastAsia="zh-CN"/>
        </w:rPr>
        <w:fldChar w:fldCharType="end"/>
      </w:r>
      <w:r>
        <w:rPr>
          <w:rFonts w:hint="default"/>
          <w:kern w:val="0"/>
          <w:sz w:val="28"/>
          <w:szCs w:val="28"/>
          <w:lang w:val="ru-RU" w:eastAsia="zh-CN"/>
        </w:rPr>
        <w:t>. (дата звернення 02.03.2023).</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en-US" w:eastAsia="zh-CN"/>
        </w:rPr>
        <w:t>Бикова А. Л.,</w:t>
      </w:r>
      <w:r>
        <w:rPr>
          <w:rFonts w:hint="default"/>
          <w:kern w:val="0"/>
          <w:sz w:val="28"/>
          <w:szCs w:val="28"/>
          <w:lang w:val="ru-RU" w:eastAsia="zh-CN"/>
        </w:rPr>
        <w:t xml:space="preserve"> </w:t>
      </w:r>
      <w:r>
        <w:rPr>
          <w:rFonts w:hint="default"/>
          <w:kern w:val="0"/>
          <w:sz w:val="28"/>
          <w:szCs w:val="28"/>
          <w:lang w:val="en-US" w:eastAsia="zh-CN"/>
        </w:rPr>
        <w:t>Паранько Д. Д. Складові ефективної адаптації персоналу. </w:t>
      </w:r>
      <w:r>
        <w:rPr>
          <w:rFonts w:hint="default"/>
          <w:i/>
          <w:iCs/>
          <w:kern w:val="0"/>
          <w:sz w:val="28"/>
          <w:szCs w:val="28"/>
          <w:lang w:val="en-US" w:eastAsia="zh-CN"/>
        </w:rPr>
        <w:t>Молодий вчений.</w:t>
      </w:r>
      <w:r>
        <w:rPr>
          <w:rFonts w:hint="default"/>
          <w:kern w:val="0"/>
          <w:sz w:val="28"/>
          <w:szCs w:val="28"/>
          <w:lang w:val="ru-RU" w:eastAsia="zh-CN"/>
        </w:rPr>
        <w:t xml:space="preserve"> </w:t>
      </w:r>
      <w:r>
        <w:rPr>
          <w:rFonts w:hint="default"/>
          <w:kern w:val="0"/>
          <w:sz w:val="28"/>
          <w:szCs w:val="28"/>
          <w:lang w:val="en-US" w:eastAsia="zh-CN"/>
        </w:rPr>
        <w:t xml:space="preserve">2016. </w:t>
      </w:r>
      <w:r>
        <w:rPr>
          <w:rFonts w:hint="default"/>
          <w:kern w:val="0"/>
          <w:sz w:val="28"/>
          <w:szCs w:val="28"/>
          <w:lang w:val="ru-RU" w:eastAsia="zh-CN"/>
        </w:rPr>
        <w:t xml:space="preserve"> </w:t>
      </w:r>
      <w:r>
        <w:rPr>
          <w:rFonts w:hint="default"/>
          <w:kern w:val="0"/>
          <w:sz w:val="28"/>
          <w:szCs w:val="28"/>
          <w:lang w:val="en-US" w:eastAsia="zh-CN"/>
        </w:rPr>
        <w:t>№ 12.</w:t>
      </w:r>
      <w:r>
        <w:rPr>
          <w:rFonts w:hint="default"/>
          <w:kern w:val="0"/>
          <w:sz w:val="28"/>
          <w:szCs w:val="28"/>
          <w:lang w:val="ru-RU" w:eastAsia="zh-CN"/>
        </w:rPr>
        <w:t xml:space="preserve"> </w:t>
      </w:r>
      <w:r>
        <w:rPr>
          <w:rFonts w:hint="default"/>
          <w:kern w:val="0"/>
          <w:sz w:val="28"/>
          <w:szCs w:val="28"/>
          <w:lang w:val="en-US" w:eastAsia="zh-CN"/>
        </w:rPr>
        <w:t>С. 640–646.</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en-US" w:eastAsia="zh-CN"/>
        </w:rPr>
        <w:t> Колеснікова В. В. Удосконалення системи управління процесом адаптації персоналу шляхом</w:t>
      </w:r>
      <w:r>
        <w:rPr>
          <w:rFonts w:hint="default"/>
          <w:kern w:val="0"/>
          <w:sz w:val="28"/>
          <w:szCs w:val="28"/>
          <w:lang w:val="ru-RU" w:eastAsia="zh-CN"/>
        </w:rPr>
        <w:t xml:space="preserve"> </w:t>
      </w:r>
      <w:r>
        <w:rPr>
          <w:rFonts w:hint="default"/>
          <w:kern w:val="0"/>
          <w:sz w:val="28"/>
          <w:szCs w:val="28"/>
          <w:lang w:val="en-US" w:eastAsia="zh-CN"/>
        </w:rPr>
        <w:t>застосування інноваційних підходів. </w:t>
      </w:r>
      <w:r>
        <w:rPr>
          <w:rFonts w:hint="default"/>
          <w:i/>
          <w:iCs/>
          <w:kern w:val="0"/>
          <w:sz w:val="28"/>
          <w:szCs w:val="28"/>
          <w:lang w:val="en-US" w:eastAsia="zh-CN"/>
        </w:rPr>
        <w:t>Теорія та практика державного управління.</w:t>
      </w:r>
      <w:r>
        <w:rPr>
          <w:rFonts w:hint="default"/>
          <w:kern w:val="0"/>
          <w:sz w:val="28"/>
          <w:szCs w:val="28"/>
          <w:lang w:val="en-US" w:eastAsia="zh-CN"/>
        </w:rPr>
        <w:t> 2018. Вип. 1. С. 168–175</w:t>
      </w:r>
      <w:r>
        <w:rPr>
          <w:rFonts w:hint="default"/>
          <w:kern w:val="0"/>
          <w:sz w:val="28"/>
          <w:szCs w:val="28"/>
          <w:lang w:val="ru-RU" w:eastAsia="zh-CN"/>
        </w:rPr>
        <w:t>.</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Балабанова Л. В. Управління персоналом</w:t>
      </w:r>
      <w:r>
        <w:rPr>
          <w:rFonts w:hint="default"/>
          <w:i/>
          <w:iCs/>
          <w:kern w:val="0"/>
          <w:sz w:val="28"/>
          <w:szCs w:val="28"/>
          <w:lang w:val="en-US" w:eastAsia="ru-RU"/>
        </w:rPr>
        <w:t xml:space="preserve"> </w:t>
      </w:r>
      <w:r>
        <w:rPr>
          <w:rFonts w:hint="default"/>
          <w:kern w:val="0"/>
          <w:sz w:val="28"/>
          <w:szCs w:val="28"/>
          <w:lang w:val="uk-UA" w:eastAsia="ru-RU"/>
        </w:rPr>
        <w:t>: підручник /</w:t>
      </w:r>
      <w:r>
        <w:rPr>
          <w:rFonts w:hint="default"/>
          <w:kern w:val="0"/>
          <w:sz w:val="28"/>
          <w:szCs w:val="28"/>
          <w:lang w:val="en-US" w:eastAsia="ru-RU"/>
        </w:rPr>
        <w:t xml:space="preserve"> за заг. ред.</w:t>
      </w:r>
      <w:r>
        <w:rPr>
          <w:rFonts w:hint="default"/>
          <w:kern w:val="0"/>
          <w:sz w:val="28"/>
          <w:szCs w:val="28"/>
          <w:lang w:val="uk-UA" w:eastAsia="ru-RU"/>
        </w:rPr>
        <w:t xml:space="preserve"> Л. В. Балабанова, О. В. Сардак. Київ</w:t>
      </w:r>
      <w:r>
        <w:rPr>
          <w:rFonts w:hint="default"/>
          <w:kern w:val="0"/>
          <w:sz w:val="28"/>
          <w:szCs w:val="28"/>
          <w:lang w:val="en-US" w:eastAsia="ru-RU"/>
        </w:rPr>
        <w:t xml:space="preserve"> : </w:t>
      </w:r>
      <w:r>
        <w:rPr>
          <w:rFonts w:hint="default"/>
          <w:i w:val="0"/>
          <w:iCs w:val="0"/>
          <w:kern w:val="0"/>
          <w:sz w:val="28"/>
          <w:szCs w:val="28"/>
          <w:lang w:val="uk-UA" w:eastAsia="ru-RU"/>
        </w:rPr>
        <w:t>Центр учбової літератури</w:t>
      </w:r>
      <w:r>
        <w:rPr>
          <w:rFonts w:hint="default"/>
          <w:i w:val="0"/>
          <w:iCs w:val="0"/>
          <w:kern w:val="0"/>
          <w:sz w:val="28"/>
          <w:szCs w:val="28"/>
          <w:lang w:val="en-US" w:eastAsia="ru-RU"/>
        </w:rPr>
        <w:t>,</w:t>
      </w:r>
      <w:r>
        <w:rPr>
          <w:rFonts w:hint="default"/>
          <w:kern w:val="0"/>
          <w:sz w:val="28"/>
          <w:szCs w:val="28"/>
          <w:lang w:val="uk-UA" w:eastAsia="ru-RU"/>
        </w:rPr>
        <w:t xml:space="preserve"> 2019. 468 с.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Дяків О. П., Островерхов В. М. Управління персоналом</w:t>
      </w:r>
      <w:r>
        <w:rPr>
          <w:rFonts w:hint="default"/>
          <w:kern w:val="0"/>
          <w:sz w:val="28"/>
          <w:szCs w:val="28"/>
          <w:lang w:val="en-US" w:eastAsia="ru-RU"/>
        </w:rPr>
        <w:t xml:space="preserve"> : </w:t>
      </w:r>
      <w:r>
        <w:rPr>
          <w:rFonts w:hint="default"/>
          <w:kern w:val="0"/>
          <w:sz w:val="28"/>
          <w:szCs w:val="28"/>
          <w:lang w:val="uk-UA" w:eastAsia="ru-RU"/>
        </w:rPr>
        <w:t>навчально-методичний посібник (видання друге, переробл. і доповнено). Тернопіль</w:t>
      </w:r>
      <w:r>
        <w:rPr>
          <w:rFonts w:hint="default"/>
          <w:kern w:val="0"/>
          <w:sz w:val="28"/>
          <w:szCs w:val="28"/>
          <w:lang w:val="en-US" w:eastAsia="ru-RU"/>
        </w:rPr>
        <w:t xml:space="preserve"> : </w:t>
      </w:r>
      <w:r>
        <w:rPr>
          <w:rFonts w:hint="default"/>
          <w:i w:val="0"/>
          <w:iCs w:val="0"/>
          <w:kern w:val="0"/>
          <w:sz w:val="28"/>
          <w:szCs w:val="28"/>
          <w:lang w:val="uk-UA" w:eastAsia="ru-RU"/>
        </w:rPr>
        <w:t>ТНЕУ</w:t>
      </w:r>
      <w:r>
        <w:rPr>
          <w:rFonts w:hint="default"/>
          <w:i w:val="0"/>
          <w:iCs w:val="0"/>
          <w:kern w:val="0"/>
          <w:sz w:val="28"/>
          <w:szCs w:val="28"/>
          <w:lang w:val="en-US" w:eastAsia="ru-RU"/>
        </w:rPr>
        <w:t>,</w:t>
      </w:r>
      <w:r>
        <w:rPr>
          <w:rFonts w:hint="default"/>
          <w:kern w:val="0"/>
          <w:sz w:val="28"/>
          <w:szCs w:val="28"/>
          <w:lang w:val="uk-UA" w:eastAsia="ru-RU"/>
        </w:rPr>
        <w:t xml:space="preserve"> 2018. 288 с.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Бей Г. В. Управління розвитком персоналу як метод забезпечення високого рівня залученості працівників. </w:t>
      </w:r>
      <w:r>
        <w:rPr>
          <w:rFonts w:hint="default"/>
          <w:i/>
          <w:iCs/>
          <w:kern w:val="0"/>
          <w:sz w:val="28"/>
          <w:szCs w:val="28"/>
          <w:lang w:val="uk-UA" w:eastAsia="ru-RU"/>
        </w:rPr>
        <w:t>Електронне наукове фахове видання з економічних наук «Modern Economics»</w:t>
      </w:r>
      <w:r>
        <w:rPr>
          <w:rFonts w:hint="default"/>
          <w:kern w:val="0"/>
          <w:sz w:val="28"/>
          <w:szCs w:val="28"/>
          <w:lang w:val="uk-UA" w:eastAsia="ru-RU"/>
        </w:rPr>
        <w:t xml:space="preserve">. 2018. Вип 8. С. 6–14.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Биба В. В. Світовий досвід мотивації працівників та можливості його адаптації до умов підприємств України. </w:t>
      </w:r>
      <w:r>
        <w:rPr>
          <w:rFonts w:hint="default"/>
          <w:i/>
          <w:iCs/>
          <w:kern w:val="0"/>
          <w:sz w:val="28"/>
          <w:szCs w:val="28"/>
          <w:lang w:val="uk-UA" w:eastAsia="ru-RU"/>
        </w:rPr>
        <w:t>Економіка та управління підприємствами.</w:t>
      </w:r>
      <w:r>
        <w:rPr>
          <w:rFonts w:hint="default"/>
          <w:kern w:val="0"/>
          <w:sz w:val="28"/>
          <w:szCs w:val="28"/>
          <w:lang w:val="uk-UA" w:eastAsia="ru-RU"/>
        </w:rPr>
        <w:t xml:space="preserve"> 2017. Вип. 10. С. 166–171.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Бортнік С. Стратегічне управління розвитком персоналу підприємства та сучасні підходи до оцінювання його рівня. </w:t>
      </w:r>
      <w:r>
        <w:rPr>
          <w:rFonts w:hint="default"/>
          <w:i/>
          <w:iCs/>
          <w:kern w:val="0"/>
          <w:sz w:val="28"/>
          <w:szCs w:val="28"/>
          <w:lang w:val="uk-UA" w:eastAsia="ru-RU"/>
        </w:rPr>
        <w:t>Економічний часопис Східноєвропейського національного університету імені Лесі Українки. Економіка та управління підприємствами.</w:t>
      </w:r>
      <w:r>
        <w:rPr>
          <w:rFonts w:hint="default"/>
          <w:kern w:val="0"/>
          <w:sz w:val="28"/>
          <w:szCs w:val="28"/>
          <w:lang w:val="uk-UA" w:eastAsia="ru-RU"/>
        </w:rPr>
        <w:t xml:space="preserve"> 2015. Вип. 2. С. 33–39</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Виноградський М. Д., Виноградська А. М., Шканова О. М. Управління персоналом. 2-ге видання</w:t>
      </w:r>
      <w:r>
        <w:rPr>
          <w:rFonts w:hint="default"/>
          <w:kern w:val="0"/>
          <w:sz w:val="28"/>
          <w:szCs w:val="28"/>
          <w:lang w:val="en-US" w:eastAsia="ru-RU"/>
        </w:rPr>
        <w:t xml:space="preserve"> :</w:t>
      </w:r>
      <w:r>
        <w:rPr>
          <w:rFonts w:hint="default"/>
          <w:kern w:val="0"/>
          <w:sz w:val="28"/>
          <w:szCs w:val="28"/>
          <w:lang w:val="uk-UA" w:eastAsia="ru-RU"/>
        </w:rPr>
        <w:t xml:space="preserve"> навчальний посібник. Київ</w:t>
      </w:r>
      <w:r>
        <w:rPr>
          <w:rFonts w:hint="default"/>
          <w:kern w:val="0"/>
          <w:sz w:val="28"/>
          <w:szCs w:val="28"/>
          <w:lang w:val="en-US" w:eastAsia="ru-RU"/>
        </w:rPr>
        <w:t xml:space="preserve"> : </w:t>
      </w:r>
      <w:r>
        <w:rPr>
          <w:rFonts w:hint="default"/>
          <w:b w:val="0"/>
          <w:bCs w:val="0"/>
          <w:i w:val="0"/>
          <w:iCs w:val="0"/>
          <w:kern w:val="0"/>
          <w:sz w:val="28"/>
          <w:szCs w:val="28"/>
          <w:lang w:val="uk-UA" w:eastAsia="ru-RU"/>
        </w:rPr>
        <w:t>Центр учбової літератури</w:t>
      </w:r>
      <w:r>
        <w:rPr>
          <w:rFonts w:hint="default"/>
          <w:kern w:val="0"/>
          <w:sz w:val="28"/>
          <w:szCs w:val="28"/>
          <w:lang w:val="uk-UA" w:eastAsia="ru-RU"/>
        </w:rPr>
        <w:t xml:space="preserve">, 2017. 502 с.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Ващенко Н. В. Адаптація принципів та методів управління персоналом у процесі управління підприємством. </w:t>
      </w:r>
      <w:r>
        <w:rPr>
          <w:rFonts w:hint="default"/>
          <w:i/>
          <w:iCs/>
          <w:kern w:val="0"/>
          <w:sz w:val="28"/>
          <w:szCs w:val="28"/>
          <w:lang w:val="uk-UA" w:eastAsia="ru-RU"/>
        </w:rPr>
        <w:t xml:space="preserve">Економічний часопис </w:t>
      </w:r>
      <w:r>
        <w:rPr>
          <w:rFonts w:hint="default"/>
          <w:kern w:val="0"/>
          <w:sz w:val="28"/>
          <w:szCs w:val="28"/>
          <w:lang w:val="uk-UA" w:eastAsia="ru-RU"/>
        </w:rPr>
        <w:t>–</w:t>
      </w:r>
      <w:r>
        <w:rPr>
          <w:rFonts w:hint="default"/>
          <w:i/>
          <w:iCs/>
          <w:kern w:val="0"/>
          <w:sz w:val="28"/>
          <w:szCs w:val="28"/>
          <w:lang w:val="uk-UA" w:eastAsia="ru-RU"/>
        </w:rPr>
        <w:t xml:space="preserve"> ХХІ.</w:t>
      </w:r>
      <w:r>
        <w:rPr>
          <w:rFonts w:hint="default"/>
          <w:kern w:val="0"/>
          <w:sz w:val="28"/>
          <w:szCs w:val="28"/>
          <w:lang w:val="uk-UA" w:eastAsia="ru-RU"/>
        </w:rPr>
        <w:t xml:space="preserve">  2014. №1. С. 98–101</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Петруня Ю. Є., Говоруха В. Б., Літовченко Б. В. та ін. Прийняття управлінських рішень</w:t>
      </w:r>
      <w:r>
        <w:rPr>
          <w:rFonts w:hint="default"/>
          <w:i/>
          <w:iCs/>
          <w:kern w:val="0"/>
          <w:sz w:val="28"/>
          <w:szCs w:val="28"/>
          <w:lang w:val="uk-UA" w:eastAsia="ru-RU"/>
        </w:rPr>
        <w:t xml:space="preserve"> : </w:t>
      </w:r>
      <w:r>
        <w:rPr>
          <w:rFonts w:hint="default"/>
          <w:kern w:val="0"/>
          <w:sz w:val="28"/>
          <w:szCs w:val="28"/>
          <w:lang w:val="uk-UA" w:eastAsia="ru-RU"/>
        </w:rPr>
        <w:t>навчальний посібник / за ред. Ю. Є. Петруні. 2-ге вид. Київ</w:t>
      </w:r>
      <w:r>
        <w:rPr>
          <w:rFonts w:hint="default"/>
          <w:kern w:val="0"/>
          <w:sz w:val="28"/>
          <w:szCs w:val="28"/>
          <w:lang w:val="en-US" w:eastAsia="ru-RU"/>
        </w:rPr>
        <w:t xml:space="preserve"> :</w:t>
      </w:r>
      <w:r>
        <w:rPr>
          <w:rFonts w:hint="default"/>
          <w:i/>
          <w:iCs/>
          <w:kern w:val="0"/>
          <w:sz w:val="28"/>
          <w:szCs w:val="28"/>
          <w:lang w:val="uk-UA" w:eastAsia="ru-RU"/>
        </w:rPr>
        <w:t xml:space="preserve"> </w:t>
      </w:r>
      <w:r>
        <w:rPr>
          <w:rFonts w:hint="default"/>
          <w:i w:val="0"/>
          <w:iCs w:val="0"/>
          <w:kern w:val="0"/>
          <w:sz w:val="28"/>
          <w:szCs w:val="28"/>
          <w:lang w:val="uk-UA" w:eastAsia="ru-RU"/>
        </w:rPr>
        <w:t>Центр учбової літератури</w:t>
      </w:r>
      <w:r>
        <w:rPr>
          <w:rFonts w:hint="default"/>
          <w:kern w:val="0"/>
          <w:sz w:val="28"/>
          <w:szCs w:val="28"/>
          <w:lang w:val="uk-UA" w:eastAsia="ru-RU"/>
        </w:rPr>
        <w:t>, 2017. 216 с.</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Селютін В. М., Яцун Л. М. Управління персоналом : навчальний посібник. Харків</w:t>
      </w:r>
      <w:r>
        <w:rPr>
          <w:rFonts w:hint="default"/>
          <w:kern w:val="0"/>
          <w:sz w:val="28"/>
          <w:szCs w:val="28"/>
          <w:lang w:val="en-US" w:eastAsia="ru-RU"/>
        </w:rPr>
        <w:t xml:space="preserve"> : </w:t>
      </w:r>
      <w:r>
        <w:rPr>
          <w:rFonts w:hint="default"/>
          <w:i w:val="0"/>
          <w:iCs w:val="0"/>
          <w:kern w:val="0"/>
          <w:sz w:val="28"/>
          <w:szCs w:val="28"/>
          <w:lang w:val="uk-UA" w:eastAsia="ru-RU"/>
        </w:rPr>
        <w:t>ХДУХТ</w:t>
      </w:r>
      <w:r>
        <w:rPr>
          <w:rFonts w:hint="default"/>
          <w:i w:val="0"/>
          <w:iCs w:val="0"/>
          <w:kern w:val="0"/>
          <w:sz w:val="28"/>
          <w:szCs w:val="28"/>
          <w:lang w:val="en-US" w:eastAsia="ru-RU"/>
        </w:rPr>
        <w:t>,</w:t>
      </w:r>
      <w:r>
        <w:rPr>
          <w:rFonts w:hint="default"/>
          <w:kern w:val="0"/>
          <w:sz w:val="28"/>
          <w:szCs w:val="28"/>
          <w:lang w:val="uk-UA" w:eastAsia="ru-RU"/>
        </w:rPr>
        <w:t xml:space="preserve"> 2018. 188 с.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Азарова А. О., Мороз О. О., Лесько О. Й., Романець І. В. Управління персоналом</w:t>
      </w:r>
      <w:r>
        <w:rPr>
          <w:rFonts w:hint="default"/>
          <w:kern w:val="0"/>
          <w:sz w:val="28"/>
          <w:szCs w:val="28"/>
          <w:lang w:val="en-US" w:eastAsia="ru-RU"/>
        </w:rPr>
        <w:t xml:space="preserve"> </w:t>
      </w:r>
      <w:r>
        <w:rPr>
          <w:rFonts w:hint="default"/>
          <w:kern w:val="0"/>
          <w:sz w:val="28"/>
          <w:szCs w:val="28"/>
          <w:lang w:val="uk-UA" w:eastAsia="ru-RU"/>
        </w:rPr>
        <w:t>: навчальний посібник. Вінниця</w:t>
      </w:r>
      <w:r>
        <w:rPr>
          <w:rFonts w:hint="default"/>
          <w:kern w:val="0"/>
          <w:sz w:val="28"/>
          <w:szCs w:val="28"/>
          <w:lang w:val="en-US" w:eastAsia="ru-RU"/>
        </w:rPr>
        <w:t xml:space="preserve"> : </w:t>
      </w:r>
      <w:r>
        <w:rPr>
          <w:rFonts w:hint="default"/>
          <w:i w:val="0"/>
          <w:iCs w:val="0"/>
          <w:kern w:val="0"/>
          <w:sz w:val="28"/>
          <w:szCs w:val="28"/>
          <w:lang w:val="uk-UA" w:eastAsia="ru-RU"/>
        </w:rPr>
        <w:t>ВНТУ</w:t>
      </w:r>
      <w:r>
        <w:rPr>
          <w:rFonts w:hint="default"/>
          <w:i/>
          <w:iCs/>
          <w:kern w:val="0"/>
          <w:sz w:val="28"/>
          <w:szCs w:val="28"/>
          <w:lang w:val="en-US" w:eastAsia="ru-RU"/>
        </w:rPr>
        <w:t>,</w:t>
      </w:r>
      <w:r>
        <w:rPr>
          <w:rFonts w:hint="default"/>
          <w:kern w:val="0"/>
          <w:sz w:val="28"/>
          <w:szCs w:val="28"/>
          <w:lang w:val="uk-UA" w:eastAsia="ru-RU"/>
        </w:rPr>
        <w:t xml:space="preserve"> 2014. 283 с.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Данюк</w:t>
      </w:r>
      <w:r>
        <w:rPr>
          <w:rFonts w:hint="default"/>
          <w:kern w:val="0"/>
          <w:sz w:val="28"/>
          <w:szCs w:val="28"/>
          <w:lang w:val="en-US" w:eastAsia="ru-RU"/>
        </w:rPr>
        <w:t xml:space="preserve"> </w:t>
      </w:r>
      <w:r>
        <w:rPr>
          <w:rFonts w:hint="default"/>
          <w:kern w:val="0"/>
          <w:sz w:val="28"/>
          <w:szCs w:val="28"/>
          <w:lang w:val="uk-UA" w:eastAsia="ru-RU"/>
        </w:rPr>
        <w:t>В.</w:t>
      </w:r>
      <w:r>
        <w:rPr>
          <w:rFonts w:hint="default"/>
          <w:kern w:val="0"/>
          <w:sz w:val="28"/>
          <w:szCs w:val="28"/>
          <w:lang w:val="en-US" w:eastAsia="ru-RU"/>
        </w:rPr>
        <w:t xml:space="preserve"> </w:t>
      </w:r>
      <w:r>
        <w:rPr>
          <w:rFonts w:hint="default"/>
          <w:kern w:val="0"/>
          <w:sz w:val="28"/>
          <w:szCs w:val="28"/>
          <w:lang w:val="uk-UA" w:eastAsia="ru-RU"/>
        </w:rPr>
        <w:t>М., Колот А. М., Суков Г.С. та ін. Управління персоналом : підручник / за заг. та наук. ред. к.е.н., проф. В.М. Данюка. Київ</w:t>
      </w:r>
      <w:r>
        <w:rPr>
          <w:rFonts w:hint="default"/>
          <w:kern w:val="0"/>
          <w:sz w:val="28"/>
          <w:szCs w:val="28"/>
          <w:lang w:val="en-US" w:eastAsia="ru-RU"/>
        </w:rPr>
        <w:t xml:space="preserve"> : </w:t>
      </w:r>
      <w:r>
        <w:rPr>
          <w:rFonts w:hint="default"/>
          <w:i w:val="0"/>
          <w:iCs w:val="0"/>
          <w:kern w:val="0"/>
          <w:sz w:val="28"/>
          <w:szCs w:val="28"/>
          <w:lang w:val="uk-UA" w:eastAsia="ru-RU"/>
        </w:rPr>
        <w:t>КНЕУ</w:t>
      </w:r>
      <w:r>
        <w:rPr>
          <w:rFonts w:hint="default"/>
          <w:i/>
          <w:iCs/>
          <w:kern w:val="0"/>
          <w:sz w:val="28"/>
          <w:szCs w:val="28"/>
          <w:lang w:val="en-US" w:eastAsia="ru-RU"/>
        </w:rPr>
        <w:t>,</w:t>
      </w:r>
      <w:r>
        <w:rPr>
          <w:rFonts w:hint="default"/>
          <w:kern w:val="0"/>
          <w:sz w:val="28"/>
          <w:szCs w:val="28"/>
          <w:lang w:val="uk-UA" w:eastAsia="ru-RU"/>
        </w:rPr>
        <w:t xml:space="preserve">   2013. 665 с.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Козирєва О. В., Овсієнко О. В. Організація праці менеджера : навчальний посібник. Харків</w:t>
      </w:r>
      <w:r>
        <w:rPr>
          <w:rFonts w:hint="default"/>
          <w:kern w:val="0"/>
          <w:sz w:val="28"/>
          <w:szCs w:val="28"/>
          <w:lang w:val="en-US" w:eastAsia="ru-RU"/>
        </w:rPr>
        <w:t xml:space="preserve"> : </w:t>
      </w:r>
      <w:r>
        <w:rPr>
          <w:rFonts w:hint="default"/>
          <w:i w:val="0"/>
          <w:iCs w:val="0"/>
          <w:kern w:val="0"/>
          <w:sz w:val="28"/>
          <w:szCs w:val="28"/>
          <w:lang w:val="uk-UA" w:eastAsia="ru-RU"/>
        </w:rPr>
        <w:t>Видавництво Іванченка І. С</w:t>
      </w:r>
      <w:r>
        <w:rPr>
          <w:rFonts w:hint="default"/>
          <w:i w:val="0"/>
          <w:iCs w:val="0"/>
          <w:kern w:val="0"/>
          <w:sz w:val="28"/>
          <w:szCs w:val="28"/>
          <w:lang w:val="en-US" w:eastAsia="ru-RU"/>
        </w:rPr>
        <w:t>.,</w:t>
      </w:r>
      <w:r>
        <w:rPr>
          <w:rFonts w:hint="default"/>
          <w:kern w:val="0"/>
          <w:sz w:val="28"/>
          <w:szCs w:val="28"/>
          <w:lang w:val="uk-UA" w:eastAsia="ru-RU"/>
        </w:rPr>
        <w:t xml:space="preserve"> 2019. 203 с.</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ascii="Times New Roman" w:hAnsi="Times New Roman" w:eastAsia="SimSun"/>
          <w:b w:val="0"/>
          <w:bCs w:val="0"/>
          <w:i w:val="0"/>
          <w:iCs w:val="0"/>
          <w:kern w:val="0"/>
          <w:sz w:val="28"/>
          <w:szCs w:val="28"/>
          <w:lang w:val="uk-UA" w:eastAsia="zh-CN"/>
        </w:rPr>
        <w:t xml:space="preserve">Офіційний сайт ТОВ «Епіцентр К». </w:t>
      </w:r>
      <w:r>
        <w:rPr>
          <w:rFonts w:hint="default" w:ascii="Times New Roman" w:hAnsi="Times New Roman" w:eastAsia="SimSun"/>
          <w:b w:val="0"/>
          <w:bCs w:val="0"/>
          <w:i w:val="0"/>
          <w:iCs w:val="0"/>
          <w:kern w:val="0"/>
          <w:sz w:val="28"/>
          <w:szCs w:val="28"/>
          <w:lang w:val="en-US" w:eastAsia="zh-CN"/>
        </w:rPr>
        <w:t xml:space="preserve">URL </w:t>
      </w:r>
      <w:r>
        <w:rPr>
          <w:rFonts w:hint="default" w:ascii="Times New Roman" w:hAnsi="Times New Roman" w:eastAsia="SimSun"/>
          <w:b w:val="0"/>
          <w:bCs w:val="0"/>
          <w:i w:val="0"/>
          <w:iCs w:val="0"/>
          <w:kern w:val="0"/>
          <w:sz w:val="28"/>
          <w:szCs w:val="28"/>
          <w:lang w:val="uk-UA" w:eastAsia="zh-CN"/>
        </w:rPr>
        <w:t xml:space="preserve">: </w:t>
      </w:r>
      <w:r>
        <w:rPr>
          <w:rFonts w:hint="default" w:ascii="Times New Roman" w:hAnsi="Times New Roman" w:eastAsia="SimSun"/>
          <w:b w:val="0"/>
          <w:bCs w:val="0"/>
          <w:i w:val="0"/>
          <w:iCs w:val="0"/>
          <w:kern w:val="0"/>
          <w:sz w:val="28"/>
          <w:szCs w:val="28"/>
          <w:lang w:val="uk-UA" w:eastAsia="zh-CN"/>
        </w:rPr>
        <w:fldChar w:fldCharType="begin"/>
      </w:r>
      <w:r>
        <w:rPr>
          <w:rFonts w:hint="default" w:ascii="Times New Roman" w:hAnsi="Times New Roman" w:eastAsia="SimSun"/>
          <w:b w:val="0"/>
          <w:bCs w:val="0"/>
          <w:i w:val="0"/>
          <w:iCs w:val="0"/>
          <w:kern w:val="0"/>
          <w:sz w:val="28"/>
          <w:szCs w:val="28"/>
          <w:lang w:val="uk-UA" w:eastAsia="zh-CN"/>
        </w:rPr>
        <w:instrText xml:space="preserve"> HYPERLINK "https://epicentrk.ua/" </w:instrText>
      </w:r>
      <w:r>
        <w:rPr>
          <w:rFonts w:hint="default" w:ascii="Times New Roman" w:hAnsi="Times New Roman" w:eastAsia="SimSun"/>
          <w:b w:val="0"/>
          <w:bCs w:val="0"/>
          <w:i w:val="0"/>
          <w:iCs w:val="0"/>
          <w:kern w:val="0"/>
          <w:sz w:val="28"/>
          <w:szCs w:val="28"/>
          <w:lang w:val="uk-UA" w:eastAsia="zh-CN"/>
        </w:rPr>
        <w:fldChar w:fldCharType="separate"/>
      </w:r>
      <w:r>
        <w:rPr>
          <w:rStyle w:val="5"/>
          <w:rFonts w:hint="default" w:ascii="Times New Roman" w:hAnsi="Times New Roman" w:eastAsia="SimSun"/>
          <w:b w:val="0"/>
          <w:bCs w:val="0"/>
          <w:i w:val="0"/>
          <w:iCs w:val="0"/>
          <w:kern w:val="0"/>
          <w:sz w:val="28"/>
          <w:szCs w:val="28"/>
          <w:lang w:val="uk-UA" w:eastAsia="zh-CN"/>
        </w:rPr>
        <w:t>https://epicentrk.ua/</w:t>
      </w:r>
      <w:r>
        <w:rPr>
          <w:rFonts w:hint="default" w:ascii="Times New Roman" w:hAnsi="Times New Roman" w:eastAsia="SimSun"/>
          <w:b w:val="0"/>
          <w:bCs w:val="0"/>
          <w:i w:val="0"/>
          <w:iCs w:val="0"/>
          <w:kern w:val="0"/>
          <w:sz w:val="28"/>
          <w:szCs w:val="28"/>
          <w:lang w:val="uk-UA" w:eastAsia="zh-CN"/>
        </w:rPr>
        <w:fldChar w:fldCharType="end"/>
      </w:r>
      <w:r>
        <w:rPr>
          <w:rFonts w:hint="default" w:ascii="Times New Roman" w:hAnsi="Times New Roman" w:eastAsia="SimSun"/>
          <w:b w:val="0"/>
          <w:bCs w:val="0"/>
          <w:i w:val="0"/>
          <w:iCs w:val="0"/>
          <w:kern w:val="0"/>
          <w:sz w:val="28"/>
          <w:szCs w:val="28"/>
          <w:lang w:val="en-US" w:eastAsia="zh-CN"/>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color w:val="000000"/>
          <w:sz w:val="28"/>
          <w:szCs w:val="24"/>
          <w:lang w:val="uk-UA"/>
        </w:rPr>
        <w:t xml:space="preserve">Офіційний сайт МінФін України. </w:t>
      </w:r>
      <w:r>
        <w:rPr>
          <w:rFonts w:hint="default" w:ascii="Times New Roman" w:hAnsi="Times New Roman" w:eastAsia="SimSun"/>
          <w:b w:val="0"/>
          <w:bCs w:val="0"/>
          <w:i w:val="0"/>
          <w:iCs w:val="0"/>
          <w:kern w:val="0"/>
          <w:sz w:val="28"/>
          <w:szCs w:val="28"/>
          <w:lang w:val="en-US" w:eastAsia="zh-CN"/>
        </w:rPr>
        <w:t xml:space="preserve">URL </w:t>
      </w:r>
      <w:r>
        <w:rPr>
          <w:rFonts w:hint="default" w:ascii="Times New Roman" w:hAnsi="Times New Roman" w:eastAsia="SimSun"/>
          <w:b w:val="0"/>
          <w:bCs w:val="0"/>
          <w:i w:val="0"/>
          <w:iCs w:val="0"/>
          <w:kern w:val="0"/>
          <w:sz w:val="28"/>
          <w:szCs w:val="28"/>
          <w:lang w:val="uk-UA" w:eastAsia="zh-CN"/>
        </w:rPr>
        <w:t>:</w:t>
      </w:r>
      <w:r>
        <w:rPr>
          <w:rFonts w:hint="default" w:eastAsia="SimSun"/>
          <w:b w:val="0"/>
          <w:bCs w:val="0"/>
          <w:i w:val="0"/>
          <w:iCs w:val="0"/>
          <w:kern w:val="0"/>
          <w:sz w:val="28"/>
          <w:szCs w:val="28"/>
          <w:lang w:val="uk-UA" w:eastAsia="zh-CN"/>
        </w:rPr>
        <w:t xml:space="preserve"> </w:t>
      </w:r>
      <w:r>
        <w:rPr>
          <w:rFonts w:hint="default" w:eastAsia="SimSun"/>
          <w:b w:val="0"/>
          <w:bCs w:val="0"/>
          <w:i w:val="0"/>
          <w:iCs w:val="0"/>
          <w:kern w:val="0"/>
          <w:sz w:val="28"/>
          <w:szCs w:val="28"/>
          <w:lang w:val="uk-UA" w:eastAsia="zh-CN"/>
        </w:rPr>
        <w:fldChar w:fldCharType="begin"/>
      </w:r>
      <w:r>
        <w:rPr>
          <w:rFonts w:hint="default" w:eastAsia="SimSun"/>
          <w:b w:val="0"/>
          <w:bCs w:val="0"/>
          <w:i w:val="0"/>
          <w:iCs w:val="0"/>
          <w:kern w:val="0"/>
          <w:sz w:val="28"/>
          <w:szCs w:val="28"/>
          <w:lang w:val="uk-UA" w:eastAsia="zh-CN"/>
        </w:rPr>
        <w:instrText xml:space="preserve"> HYPERLINK "https://index.minfin.com.ua/ua/labour/salary/average/" </w:instrText>
      </w:r>
      <w:r>
        <w:rPr>
          <w:rFonts w:hint="default" w:eastAsia="SimSun"/>
          <w:b w:val="0"/>
          <w:bCs w:val="0"/>
          <w:i w:val="0"/>
          <w:iCs w:val="0"/>
          <w:kern w:val="0"/>
          <w:sz w:val="28"/>
          <w:szCs w:val="28"/>
          <w:lang w:val="uk-UA" w:eastAsia="zh-CN"/>
        </w:rPr>
        <w:fldChar w:fldCharType="separate"/>
      </w:r>
      <w:r>
        <w:rPr>
          <w:rStyle w:val="5"/>
          <w:rFonts w:hint="default" w:eastAsia="SimSun"/>
          <w:b w:val="0"/>
          <w:bCs w:val="0"/>
          <w:i w:val="0"/>
          <w:iCs w:val="0"/>
          <w:kern w:val="0"/>
          <w:sz w:val="28"/>
          <w:szCs w:val="28"/>
          <w:lang w:val="uk-UA" w:eastAsia="zh-CN"/>
        </w:rPr>
        <w:t>https://index.minfin.com.ua/ua/labour/salary/average/</w:t>
      </w:r>
      <w:r>
        <w:rPr>
          <w:rFonts w:hint="default" w:eastAsia="SimSun"/>
          <w:b w:val="0"/>
          <w:bCs w:val="0"/>
          <w:i w:val="0"/>
          <w:iCs w:val="0"/>
          <w:kern w:val="0"/>
          <w:sz w:val="28"/>
          <w:szCs w:val="28"/>
          <w:lang w:val="uk-UA" w:eastAsia="zh-CN"/>
        </w:rPr>
        <w:fldChar w:fldCharType="end"/>
      </w:r>
      <w:r>
        <w:rPr>
          <w:rFonts w:hint="default" w:eastAsia="SimSun"/>
          <w:b w:val="0"/>
          <w:bCs w:val="0"/>
          <w:i w:val="0"/>
          <w:iCs w:val="0"/>
          <w:kern w:val="0"/>
          <w:sz w:val="28"/>
          <w:szCs w:val="28"/>
          <w:lang w:val="uk-UA" w:eastAsia="zh-CN"/>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Zachko O., Kobylkin D. Management of educational projects in securityoriented systems by means of the virtual situational center. </w:t>
      </w:r>
      <w:r>
        <w:rPr>
          <w:rFonts w:hint="default"/>
          <w:i/>
          <w:iCs/>
          <w:kern w:val="0"/>
          <w:sz w:val="28"/>
          <w:szCs w:val="28"/>
          <w:lang w:val="uk-UA" w:eastAsia="ru-RU"/>
        </w:rPr>
        <w:t xml:space="preserve">Information Technologies and Learning Tools. </w:t>
      </w:r>
      <w:r>
        <w:rPr>
          <w:rFonts w:hint="default"/>
          <w:kern w:val="0"/>
          <w:sz w:val="28"/>
          <w:szCs w:val="28"/>
          <w:lang w:val="uk-UA" w:eastAsia="ru-RU"/>
        </w:rPr>
        <w:t>2018. № 65, pp. 12–24.</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Kovalchuk Oleh, Zachko Oleh, Kobylkin Dmytro and Hiroshi Tanaka. IT development of HR system in the field of human safety. </w:t>
      </w:r>
      <w:r>
        <w:rPr>
          <w:rFonts w:hint="default"/>
          <w:i/>
          <w:iCs/>
          <w:kern w:val="0"/>
          <w:sz w:val="28"/>
          <w:szCs w:val="28"/>
          <w:lang w:val="uk-UA" w:eastAsia="ru-RU"/>
        </w:rPr>
        <w:t>ITPM,</w:t>
      </w:r>
      <w:r>
        <w:rPr>
          <w:rFonts w:hint="default"/>
          <w:kern w:val="0"/>
          <w:sz w:val="28"/>
          <w:szCs w:val="28"/>
          <w:lang w:val="uk-UA" w:eastAsia="ru-RU"/>
        </w:rPr>
        <w:t xml:space="preserve"> 2021. P. 314–323.</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Zachko O., Kovalchuk O., Kobylkin D., Yashchuk V. Information technologies of HR management in safety-oriented systems. </w:t>
      </w:r>
      <w:r>
        <w:rPr>
          <w:rFonts w:hint="default"/>
          <w:i/>
          <w:iCs/>
          <w:kern w:val="0"/>
          <w:sz w:val="28"/>
          <w:szCs w:val="28"/>
          <w:lang w:val="uk-UA" w:eastAsia="ru-RU"/>
        </w:rPr>
        <w:t>Materials of 2021 IEEE 16th International Scientific and Technical Conference on Computer Sciences and Information Technologies.</w:t>
      </w:r>
      <w:r>
        <w:rPr>
          <w:rFonts w:hint="default"/>
          <w:i/>
          <w:iCs/>
          <w:kern w:val="0"/>
          <w:sz w:val="28"/>
          <w:szCs w:val="28"/>
          <w:lang w:val="en-US" w:eastAsia="ru-RU"/>
        </w:rPr>
        <w:t xml:space="preserve"> </w:t>
      </w:r>
      <w:r>
        <w:rPr>
          <w:rFonts w:hint="default"/>
          <w:i w:val="0"/>
          <w:iCs w:val="0"/>
          <w:kern w:val="0"/>
          <w:sz w:val="28"/>
          <w:szCs w:val="28"/>
          <w:lang w:val="en-US" w:eastAsia="ru-RU"/>
        </w:rPr>
        <w:t>Lviv,</w:t>
      </w:r>
      <w:r>
        <w:rPr>
          <w:rFonts w:hint="default"/>
          <w:i/>
          <w:iCs/>
          <w:kern w:val="0"/>
          <w:sz w:val="28"/>
          <w:szCs w:val="28"/>
          <w:lang w:val="en-US" w:eastAsia="ru-RU"/>
        </w:rPr>
        <w:t xml:space="preserve"> </w:t>
      </w:r>
      <w:r>
        <w:rPr>
          <w:rFonts w:hint="default"/>
          <w:i w:val="0"/>
          <w:iCs w:val="0"/>
          <w:kern w:val="0"/>
          <w:sz w:val="28"/>
          <w:szCs w:val="28"/>
          <w:lang w:val="en-US" w:eastAsia="ru-RU"/>
        </w:rPr>
        <w:t>2021.</w:t>
      </w:r>
      <w:r>
        <w:rPr>
          <w:rFonts w:hint="default"/>
          <w:i/>
          <w:iCs/>
          <w:kern w:val="0"/>
          <w:sz w:val="28"/>
          <w:szCs w:val="28"/>
          <w:lang w:val="uk-UA" w:eastAsia="ru-RU"/>
        </w:rPr>
        <w:t xml:space="preserve"> </w:t>
      </w:r>
      <w:r>
        <w:rPr>
          <w:rFonts w:hint="default"/>
          <w:i/>
          <w:iCs/>
          <w:kern w:val="0"/>
          <w:sz w:val="28"/>
          <w:szCs w:val="28"/>
          <w:lang w:val="en-US" w:eastAsia="ru-RU"/>
        </w:rPr>
        <w:t xml:space="preserve">URL : </w:t>
      </w:r>
      <w:r>
        <w:rPr>
          <w:rFonts w:hint="default"/>
          <w:i/>
          <w:iCs/>
          <w:kern w:val="0"/>
          <w:sz w:val="28"/>
          <w:szCs w:val="28"/>
          <w:lang w:val="en-US" w:eastAsia="ru-RU"/>
        </w:rPr>
        <w:fldChar w:fldCharType="begin"/>
      </w:r>
      <w:r>
        <w:rPr>
          <w:rFonts w:hint="default"/>
          <w:i/>
          <w:iCs/>
          <w:kern w:val="0"/>
          <w:sz w:val="28"/>
          <w:szCs w:val="28"/>
          <w:lang w:val="en-US" w:eastAsia="ru-RU"/>
        </w:rPr>
        <w:instrText xml:space="preserve"> HYPERLINK "https://sci.ldubgd.edu.ua/bitstream/123456789/11201/1/IWPM%202021%20Zachko%2C%20Kovalchuk%2C%20Kobylkin%2C%20Yashchuk%20EN.pdf" </w:instrText>
      </w:r>
      <w:r>
        <w:rPr>
          <w:rFonts w:hint="default"/>
          <w:i/>
          <w:iCs/>
          <w:kern w:val="0"/>
          <w:sz w:val="28"/>
          <w:szCs w:val="28"/>
          <w:lang w:val="en-US" w:eastAsia="ru-RU"/>
        </w:rPr>
        <w:fldChar w:fldCharType="separate"/>
      </w:r>
      <w:r>
        <w:rPr>
          <w:rStyle w:val="5"/>
          <w:rFonts w:hint="default"/>
          <w:i/>
          <w:iCs/>
          <w:kern w:val="0"/>
          <w:sz w:val="28"/>
          <w:szCs w:val="28"/>
          <w:lang w:val="en-US" w:eastAsia="ru-RU"/>
        </w:rPr>
        <w:t>https://sci.ldubgd.edu.ua/bitstream/123456789/11201/1/IWPM%202021%20Zachko%2C%20Kovalchuk%2C%20Kobylkin%2C%20Yashchuk%20EN.pdf</w:t>
      </w:r>
      <w:r>
        <w:rPr>
          <w:rFonts w:hint="default"/>
          <w:i/>
          <w:iCs/>
          <w:kern w:val="0"/>
          <w:sz w:val="28"/>
          <w:szCs w:val="28"/>
          <w:lang w:val="en-US" w:eastAsia="ru-RU"/>
        </w:rPr>
        <w:fldChar w:fldCharType="end"/>
      </w:r>
      <w:r>
        <w:rPr>
          <w:rFonts w:hint="default"/>
          <w:i/>
          <w:iCs/>
          <w:kern w:val="0"/>
          <w:sz w:val="28"/>
          <w:szCs w:val="28"/>
          <w:lang w:val="en-US" w:eastAsia="ru-RU"/>
        </w:rPr>
        <w:t xml:space="preserve">. </w:t>
      </w:r>
      <w:r>
        <w:rPr>
          <w:rFonts w:hint="default"/>
          <w:kern w:val="0"/>
          <w:sz w:val="28"/>
          <w:szCs w:val="28"/>
          <w:lang w:val="ru-RU" w:eastAsia="zh-CN"/>
        </w:rPr>
        <w:t>(дата звернення 02.03.2023).</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Zachko O., Kobylkin D., Kovalchuk O. Models of project teams’ formation in a safety-oriented system. </w:t>
      </w:r>
      <w:r>
        <w:rPr>
          <w:rFonts w:hint="default"/>
          <w:i/>
          <w:iCs/>
          <w:kern w:val="0"/>
          <w:sz w:val="28"/>
          <w:szCs w:val="28"/>
          <w:lang w:val="uk-UA" w:eastAsia="ru-RU"/>
        </w:rPr>
        <w:t>Innovative Technologies and Scientific Solutions for Industries.</w:t>
      </w:r>
      <w:r>
        <w:rPr>
          <w:rFonts w:hint="default"/>
          <w:kern w:val="0"/>
          <w:sz w:val="28"/>
          <w:szCs w:val="28"/>
          <w:lang w:val="uk-UA" w:eastAsia="ru-RU"/>
        </w:rPr>
        <w:t xml:space="preserve"> 2019. № 4 (10). </w:t>
      </w:r>
      <w:r>
        <w:rPr>
          <w:rFonts w:hint="default"/>
          <w:kern w:val="0"/>
          <w:sz w:val="28"/>
          <w:szCs w:val="28"/>
          <w:lang w:val="en-US" w:eastAsia="ru-RU"/>
        </w:rPr>
        <w:t>p</w:t>
      </w:r>
      <w:r>
        <w:rPr>
          <w:rFonts w:hint="default"/>
          <w:kern w:val="0"/>
          <w:sz w:val="28"/>
          <w:szCs w:val="28"/>
          <w:lang w:val="uk-UA" w:eastAsia="ru-RU"/>
        </w:rPr>
        <w:t xml:space="preserve">p. 85–91. </w:t>
      </w:r>
    </w:p>
    <w:p>
      <w:pPr>
        <w:numPr>
          <w:ilvl w:val="0"/>
          <w:numId w:val="9"/>
        </w:numPr>
        <w:spacing w:after="0" w:line="360" w:lineRule="auto"/>
        <w:ind w:left="0" w:leftChars="0" w:firstLine="478" w:firstLineChars="171"/>
        <w:jc w:val="both"/>
        <w:rPr>
          <w:rFonts w:hint="default"/>
          <w:kern w:val="0"/>
          <w:sz w:val="28"/>
          <w:szCs w:val="28"/>
          <w:lang w:val="uk-UA" w:eastAsia="ru-RU"/>
        </w:rPr>
      </w:pPr>
      <w:r>
        <w:rPr>
          <w:rFonts w:hint="default"/>
          <w:kern w:val="0"/>
          <w:sz w:val="28"/>
          <w:szCs w:val="28"/>
          <w:lang w:val="uk-UA" w:eastAsia="ru-RU"/>
        </w:rPr>
        <w:t xml:space="preserve"> Zachko O., Kobylkin D., Kovalchuk O., Markov V. Model for forming an information system of project teams in a security </w:t>
      </w:r>
      <w:r>
        <w:rPr>
          <w:rFonts w:hint="default"/>
          <w:kern w:val="0"/>
          <w:sz w:val="28"/>
          <w:szCs w:val="28"/>
          <w:lang w:val="en-US" w:eastAsia="ru-RU"/>
        </w:rPr>
        <w:t>–</w:t>
      </w:r>
      <w:r>
        <w:rPr>
          <w:rFonts w:hint="default"/>
          <w:kern w:val="0"/>
          <w:sz w:val="28"/>
          <w:szCs w:val="28"/>
          <w:lang w:val="uk-UA" w:eastAsia="ru-RU"/>
        </w:rPr>
        <w:t xml:space="preserve"> oriented system</w:t>
      </w:r>
      <w:r>
        <w:rPr>
          <w:rFonts w:hint="default"/>
          <w:kern w:val="0"/>
          <w:sz w:val="28"/>
          <w:szCs w:val="28"/>
          <w:lang w:val="en-US" w:eastAsia="ru-RU"/>
        </w:rPr>
        <w:t xml:space="preserve">. </w:t>
      </w:r>
      <w:r>
        <w:rPr>
          <w:rFonts w:hint="default"/>
          <w:i/>
          <w:iCs/>
          <w:kern w:val="0"/>
          <w:sz w:val="28"/>
          <w:szCs w:val="28"/>
          <w:lang w:val="uk-UA" w:eastAsia="ru-RU"/>
        </w:rPr>
        <w:t>Innovative Technologies and Scientific Solutions for Industries</w:t>
      </w:r>
      <w:r>
        <w:rPr>
          <w:rFonts w:hint="default"/>
          <w:i/>
          <w:iCs/>
          <w:kern w:val="0"/>
          <w:sz w:val="28"/>
          <w:szCs w:val="28"/>
          <w:lang w:val="en-US" w:eastAsia="ru-RU"/>
        </w:rPr>
        <w:t xml:space="preserve">. </w:t>
      </w:r>
      <w:r>
        <w:rPr>
          <w:rFonts w:hint="default"/>
          <w:kern w:val="0"/>
          <w:sz w:val="28"/>
          <w:szCs w:val="28"/>
          <w:lang w:val="uk-UA" w:eastAsia="ru-RU"/>
        </w:rPr>
        <w:t>2020</w:t>
      </w:r>
      <w:r>
        <w:rPr>
          <w:rFonts w:hint="default"/>
          <w:kern w:val="0"/>
          <w:sz w:val="28"/>
          <w:szCs w:val="28"/>
          <w:lang w:val="en-US" w:eastAsia="ru-RU"/>
        </w:rPr>
        <w:t xml:space="preserve">. </w:t>
      </w:r>
      <w:r>
        <w:rPr>
          <w:rFonts w:hint="default"/>
          <w:kern w:val="0"/>
          <w:sz w:val="28"/>
          <w:szCs w:val="28"/>
          <w:lang w:val="uk-UA" w:eastAsia="ru-RU"/>
        </w:rPr>
        <w:t xml:space="preserve">№. 2 (12), </w:t>
      </w:r>
      <w:r>
        <w:rPr>
          <w:rFonts w:hint="default"/>
          <w:kern w:val="0"/>
          <w:sz w:val="28"/>
          <w:szCs w:val="28"/>
          <w:lang w:val="en-US" w:eastAsia="ru-RU"/>
        </w:rPr>
        <w:t>p</w:t>
      </w:r>
      <w:r>
        <w:rPr>
          <w:rFonts w:hint="default"/>
          <w:kern w:val="0"/>
          <w:sz w:val="28"/>
          <w:szCs w:val="28"/>
          <w:lang w:val="uk-UA" w:eastAsia="ru-RU"/>
        </w:rPr>
        <w:t>p. 49–56</w:t>
      </w:r>
      <w:r>
        <w:rPr>
          <w:rFonts w:hint="default"/>
          <w:kern w:val="0"/>
          <w:sz w:val="28"/>
          <w:szCs w:val="28"/>
          <w:lang w:val="en-US" w:eastAsia="ru-RU"/>
        </w:rPr>
        <w:t>.</w:t>
      </w:r>
    </w:p>
    <w:p>
      <w:pPr>
        <w:numPr>
          <w:numId w:val="0"/>
        </w:numPr>
        <w:spacing w:after="0" w:line="360" w:lineRule="auto"/>
        <w:ind w:leftChars="171"/>
        <w:jc w:val="both"/>
        <w:rPr>
          <w:rFonts w:hint="default"/>
          <w:kern w:val="0"/>
          <w:sz w:val="28"/>
          <w:szCs w:val="28"/>
          <w:lang w:val="uk-UA" w:eastAsia="ru-RU"/>
        </w:rPr>
      </w:pPr>
    </w:p>
    <w:p>
      <w:pPr>
        <w:numPr>
          <w:ilvl w:val="0"/>
          <w:numId w:val="0"/>
        </w:numPr>
        <w:spacing w:after="0" w:line="360" w:lineRule="auto"/>
        <w:ind w:left="0" w:leftChars="0" w:firstLine="478" w:firstLineChars="171"/>
        <w:jc w:val="both"/>
        <w:rPr>
          <w:rFonts w:hint="default"/>
          <w:kern w:val="0"/>
          <w:sz w:val="28"/>
          <w:szCs w:val="28"/>
          <w:lang w:val="uk-UA" w:eastAsia="ru-RU"/>
        </w:rPr>
      </w:pPr>
    </w:p>
    <w:p>
      <w:pPr>
        <w:numPr>
          <w:ilvl w:val="0"/>
          <w:numId w:val="0"/>
        </w:numPr>
        <w:spacing w:after="0" w:line="360" w:lineRule="auto"/>
        <w:ind w:left="0" w:leftChars="0" w:firstLine="719" w:firstLineChars="257"/>
        <w:jc w:val="both"/>
        <w:rPr>
          <w:rFonts w:hint="default" w:cs="Times New Roman"/>
          <w:kern w:val="0"/>
          <w:sz w:val="28"/>
          <w:szCs w:val="28"/>
          <w:lang w:val="uk-UA" w:eastAsia="ru-RU" w:bidi="ar-SA"/>
        </w:rPr>
      </w:pPr>
    </w:p>
    <w:sectPr>
      <w:pgSz w:w="11906" w:h="16838"/>
      <w:pgMar w:top="1134" w:right="1134"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Times">
    <w:altName w:val="Times New Roman"/>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S Mincho">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EC3A3"/>
    <w:multiLevelType w:val="singleLevel"/>
    <w:tmpl w:val="855EC3A3"/>
    <w:lvl w:ilvl="0" w:tentative="0">
      <w:start w:val="1"/>
      <w:numFmt w:val="decimal"/>
      <w:suff w:val="space"/>
      <w:lvlText w:val="%1."/>
      <w:lvlJc w:val="left"/>
    </w:lvl>
  </w:abstractNum>
  <w:abstractNum w:abstractNumId="1">
    <w:nsid w:val="9189391F"/>
    <w:multiLevelType w:val="singleLevel"/>
    <w:tmpl w:val="9189391F"/>
    <w:lvl w:ilvl="0" w:tentative="0">
      <w:start w:val="1"/>
      <w:numFmt w:val="decimal"/>
      <w:suff w:val="space"/>
      <w:lvlText w:val="%1."/>
      <w:lvlJc w:val="left"/>
    </w:lvl>
  </w:abstractNum>
  <w:abstractNum w:abstractNumId="2">
    <w:nsid w:val="96CC1685"/>
    <w:multiLevelType w:val="singleLevel"/>
    <w:tmpl w:val="96CC1685"/>
    <w:lvl w:ilvl="0" w:tentative="0">
      <w:start w:val="1"/>
      <w:numFmt w:val="decimal"/>
      <w:suff w:val="space"/>
      <w:lvlText w:val="%1."/>
      <w:lvlJc w:val="left"/>
    </w:lvl>
  </w:abstractNum>
  <w:abstractNum w:abstractNumId="3">
    <w:nsid w:val="9B2E9744"/>
    <w:multiLevelType w:val="singleLevel"/>
    <w:tmpl w:val="9B2E9744"/>
    <w:lvl w:ilvl="0" w:tentative="0">
      <w:start w:val="1"/>
      <w:numFmt w:val="decimal"/>
      <w:suff w:val="space"/>
      <w:lvlText w:val="%1."/>
      <w:lvlJc w:val="left"/>
    </w:lvl>
  </w:abstractNum>
  <w:abstractNum w:abstractNumId="4">
    <w:nsid w:val="DC756F6E"/>
    <w:multiLevelType w:val="singleLevel"/>
    <w:tmpl w:val="DC756F6E"/>
    <w:lvl w:ilvl="0" w:tentative="0">
      <w:start w:val="1"/>
      <w:numFmt w:val="decimal"/>
      <w:suff w:val="space"/>
      <w:lvlText w:val="%1."/>
      <w:lvlJc w:val="left"/>
    </w:lvl>
  </w:abstractNum>
  <w:abstractNum w:abstractNumId="5">
    <w:nsid w:val="5C79FC8F"/>
    <w:multiLevelType w:val="singleLevel"/>
    <w:tmpl w:val="5C79FC8F"/>
    <w:lvl w:ilvl="0" w:tentative="0">
      <w:start w:val="1"/>
      <w:numFmt w:val="decimal"/>
      <w:suff w:val="space"/>
      <w:lvlText w:val="%1."/>
      <w:lvlJc w:val="left"/>
    </w:lvl>
  </w:abstractNum>
  <w:abstractNum w:abstractNumId="6">
    <w:nsid w:val="6B506DBD"/>
    <w:multiLevelType w:val="singleLevel"/>
    <w:tmpl w:val="6B506DBD"/>
    <w:lvl w:ilvl="0" w:tentative="0">
      <w:start w:val="1"/>
      <w:numFmt w:val="decimal"/>
      <w:suff w:val="space"/>
      <w:lvlText w:val="%1."/>
      <w:lvlJc w:val="left"/>
    </w:lvl>
  </w:abstractNum>
  <w:abstractNum w:abstractNumId="7">
    <w:nsid w:val="75A66104"/>
    <w:multiLevelType w:val="multilevel"/>
    <w:tmpl w:val="75A66104"/>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8">
    <w:nsid w:val="78F667D6"/>
    <w:multiLevelType w:val="singleLevel"/>
    <w:tmpl w:val="78F667D6"/>
    <w:lvl w:ilvl="0" w:tentative="0">
      <w:start w:val="1"/>
      <w:numFmt w:val="decimal"/>
      <w:suff w:val="space"/>
      <w:lvlText w:val="%1."/>
      <w:lvlJc w:val="left"/>
    </w:lvl>
  </w:abstractNum>
  <w:num w:numId="1">
    <w:abstractNumId w:val="7"/>
  </w:num>
  <w:num w:numId="2">
    <w:abstractNumId w:val="6"/>
  </w:num>
  <w:num w:numId="3">
    <w:abstractNumId w:val="3"/>
  </w:num>
  <w:num w:numId="4">
    <w:abstractNumId w:val="5"/>
  </w:num>
  <w:num w:numId="5">
    <w:abstractNumId w:val="8"/>
  </w:num>
  <w:num w:numId="6">
    <w:abstractNumId w:val="4"/>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788A"/>
    <w:rsid w:val="00436117"/>
    <w:rsid w:val="00452551"/>
    <w:rsid w:val="006110E2"/>
    <w:rsid w:val="00680DC1"/>
    <w:rsid w:val="008A3696"/>
    <w:rsid w:val="00B46FB6"/>
    <w:rsid w:val="1FF55ED0"/>
    <w:rsid w:val="217435E8"/>
    <w:rsid w:val="218D3844"/>
    <w:rsid w:val="3DF3091B"/>
    <w:rsid w:val="3FEB38D0"/>
    <w:rsid w:val="6B9A560F"/>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uk-UA" w:eastAsia="ru-RU" w:bidi="ar-SA"/>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semiHidden/>
    <w:unhideWhenUsed/>
    <w:uiPriority w:val="99"/>
    <w:rPr>
      <w:color w:val="0000FF"/>
      <w:u w:val="single"/>
    </w:rPr>
  </w:style>
  <w:style w:type="paragraph" w:styleId="6">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7">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unhideWhenUsed/>
    <w:qFormat/>
    <w:uiPriority w:val="99"/>
    <w:pPr>
      <w:widowControl w:val="0"/>
      <w:autoSpaceDE w:val="0"/>
      <w:autoSpaceDN w:val="0"/>
      <w:adjustRightInd w:val="0"/>
      <w:spacing w:beforeLines="0" w:afterLines="0"/>
    </w:pPr>
    <w:rPr>
      <w:rFonts w:hint="default" w:ascii="Times New Roman" w:hAnsi="Times New Roman" w:eastAsia="Times New Roman"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690</Words>
  <Characters>394</Characters>
  <Lines>3</Lines>
  <Paragraphs>2</Paragraphs>
  <TotalTime>1</TotalTime>
  <ScaleCrop>false</ScaleCrop>
  <LinksUpToDate>false</LinksUpToDate>
  <CharactersWithSpaces>1082</CharactersWithSpaces>
  <Application>WPS Office_11.2.0.11214_F1E327BC-269C-435d-A152-05C5408002CA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2023-02-23T19:46:00Z</dcterms:created>
  <dc:creator>h h</dc:creator>
  <cp:lastModifiedBy>lizas</cp:lastModifiedBy>
  <dcterms:modified xsi:type="dcterms:W3CDTF">2023-03-15T13:48:00Z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1049-11.2.0.11214</vt:lpwstr>
  </property>
  <property fmtid="{D5CDD505-2E9C-101B-9397-08002B2CF9AE}" pid="3" name="ICV">
    <vt:lpwstr>071EE735BB8E46FA892FB3F01BA9D4DA</vt:lpwstr>
  </property>
</Properties>
</file>