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14:paraId="501817AE" wp14:noSpellErr="1" wp14:textId="694D9B4D">
      <w:bookmarkStart w:name="_GoBack" w:id="0"/>
      <w:bookmarkEnd w:id="0"/>
      <w:r w:rsidRPr="14B35B12" w:rsidR="14B35B12">
        <w:rPr>
          <w:rStyle w:val="Heading1Char"/>
        </w:rPr>
        <w:t>Охранное освещение</w:t>
      </w:r>
    </w:p>
    <w:p w:rsidR="14B35B12" w:rsidP="279939EE" w:rsidRDefault="14B35B12" w14:paraId="45AE4477" w14:noSpellErr="1" w14:textId="7B1D0225">
      <w:pPr>
        <w:pStyle w:val="Normal"/>
        <w:rPr>
          <w:rFonts w:ascii="Calibri" w:hAnsi="Calibri" w:eastAsia="Calibri" w:cs="Calibri"/>
          <w:noProof w:val="0"/>
          <w:sz w:val="22"/>
          <w:szCs w:val="22"/>
          <w:lang w:val="ru-RU"/>
        </w:rPr>
      </w:pPr>
      <w:r w:rsidRPr="279939EE" w:rsidR="279939EE">
        <w:rPr>
          <w:rFonts w:ascii="Calibri" w:hAnsi="Calibri" w:eastAsia="Calibri" w:cs="Calibri"/>
          <w:noProof w:val="0"/>
          <w:sz w:val="22"/>
          <w:szCs w:val="22"/>
          <w:lang w:val="ru-RU"/>
        </w:rPr>
        <w:t xml:space="preserve">Роль охранного освещения, помимо обеспечения на охраняемой территории - обычно в зоне периметра - освещенности, необходимой для корректной записи и просто четкой картинки с видеокамер, также имеет еще одну функцию. Правильно настроенным освещением можно добиться большей безопасности из-за психологического фактора. К примеру, грабитель, увидев зажженный свет, решит, что </w:t>
      </w:r>
      <w:r w:rsidRPr="279939EE" w:rsidR="279939EE">
        <w:rPr>
          <w:rFonts w:ascii="Calibri" w:hAnsi="Calibri" w:eastAsia="Calibri" w:cs="Calibri"/>
          <w:noProof w:val="0"/>
          <w:sz w:val="22"/>
          <w:szCs w:val="22"/>
          <w:lang w:val="ru-RU"/>
        </w:rPr>
        <w:t xml:space="preserve">на участке </w:t>
      </w:r>
      <w:r w:rsidRPr="279939EE" w:rsidR="279939EE">
        <w:rPr>
          <w:rFonts w:ascii="Calibri" w:hAnsi="Calibri" w:eastAsia="Calibri" w:cs="Calibri"/>
          <w:noProof w:val="0"/>
          <w:sz w:val="22"/>
          <w:szCs w:val="22"/>
          <w:lang w:val="ru-RU"/>
        </w:rPr>
        <w:t xml:space="preserve">кто-то есть и ему не следует сейчас туда врываться. На самом деле в помещении никого не будет, но преступник не может этого знать наверняка. </w:t>
      </w:r>
      <w:r w:rsidRPr="279939EE" w:rsidR="279939EE">
        <w:rPr>
          <w:rFonts w:ascii="Calibri" w:hAnsi="Calibri" w:eastAsia="Calibri" w:cs="Calibri"/>
          <w:noProof w:val="0"/>
          <w:sz w:val="22"/>
          <w:szCs w:val="22"/>
          <w:lang w:val="ru-RU"/>
        </w:rPr>
        <w:t>Право</w:t>
      </w:r>
      <w:r w:rsidRPr="279939EE" w:rsidR="279939EE">
        <w:rPr>
          <w:rFonts w:ascii="Calibri" w:hAnsi="Calibri" w:eastAsia="Calibri" w:cs="Calibri"/>
          <w:noProof w:val="0"/>
          <w:sz w:val="22"/>
          <w:szCs w:val="22"/>
          <w:lang w:val="ru-RU"/>
        </w:rPr>
        <w:t>н</w:t>
      </w:r>
      <w:r w:rsidRPr="279939EE" w:rsidR="279939EE">
        <w:rPr>
          <w:rFonts w:ascii="Calibri" w:hAnsi="Calibri" w:eastAsia="Calibri" w:cs="Calibri"/>
          <w:noProof w:val="0"/>
          <w:sz w:val="22"/>
          <w:szCs w:val="22"/>
          <w:lang w:val="ru-RU"/>
        </w:rPr>
        <w:t>арушители н</w:t>
      </w:r>
      <w:r w:rsidRPr="279939EE" w:rsidR="279939EE">
        <w:rPr>
          <w:rFonts w:ascii="Calibri" w:hAnsi="Calibri" w:eastAsia="Calibri" w:cs="Calibri"/>
          <w:noProof w:val="0"/>
          <w:sz w:val="22"/>
          <w:szCs w:val="22"/>
          <w:lang w:val="ru-RU"/>
        </w:rPr>
        <w:t xml:space="preserve">е вторгнутся на вашу территорию из-за боязни быть замеченными либо задержанными. Кроме того, грабитель увидит столь серьезную подготовку, поймет, что люди по максимуму пытаются защитить себя от нежелательных последствий, и не станет связываться с такой продуманной защитой. Даже в том случае, когда из всего охранного оборудования у вас установлено только освещение, преступник в большинстве случаях пройдет мимо, так как ему неизвестны все подробности системы вашей безопасности. </w:t>
      </w:r>
    </w:p>
    <w:p w:rsidR="14B35B12" w:rsidP="14B35B12" w:rsidRDefault="14B35B12" w14:noSpellErr="1" w14:paraId="7595D81B" w14:textId="57570111">
      <w:pPr>
        <w:pStyle w:val="Normal"/>
      </w:pPr>
      <w:r>
        <w:drawing>
          <wp:inline wp14:editId="1A3BAAC9" wp14:anchorId="736139CA">
            <wp:extent cx="4572000" cy="3048000"/>
            <wp:effectExtent l="0" t="0" r="0" b="0"/>
            <wp:docPr id="1252626255" name="picture" title=""/>
            <wp:cNvGraphicFramePr>
              <a:graphicFrameLocks noChangeAspect="1"/>
            </wp:cNvGraphicFramePr>
            <a:graphic>
              <a:graphicData uri="http://schemas.openxmlformats.org/drawingml/2006/picture">
                <pic:pic>
                  <pic:nvPicPr>
                    <pic:cNvPr id="0" name="picture"/>
                    <pic:cNvPicPr/>
                  </pic:nvPicPr>
                  <pic:blipFill>
                    <a:blip r:embed="Rf0c3200816ab4e7e">
                      <a:extLst>
                        <a:ext xmlns:a="http://schemas.openxmlformats.org/drawingml/2006/main" uri="{28A0092B-C50C-407E-A947-70E740481C1C}">
                          <a14:useLocalDpi val="0"/>
                        </a:ext>
                      </a:extLst>
                    </a:blip>
                    <a:stretch>
                      <a:fillRect/>
                    </a:stretch>
                  </pic:blipFill>
                  <pic:spPr>
                    <a:xfrm>
                      <a:off x="0" y="0"/>
                      <a:ext cx="4572000" cy="3048000"/>
                    </a:xfrm>
                    <a:prstGeom prst="rect">
                      <a:avLst/>
                    </a:prstGeom>
                  </pic:spPr>
                </pic:pic>
              </a:graphicData>
            </a:graphic>
          </wp:inline>
        </w:drawing>
      </w:r>
    </w:p>
    <w:p w:rsidR="14B35B12" w:rsidP="14B35B12" w:rsidRDefault="14B35B12" w14:noSpellErr="1" w14:paraId="6C412906" w14:textId="4F685A8D">
      <w:pPr>
        <w:pStyle w:val="Normal"/>
        <w:rPr>
          <w:rFonts w:ascii="Calibri" w:hAnsi="Calibri" w:eastAsia="Calibri" w:cs="Calibri"/>
          <w:noProof w:val="0"/>
          <w:sz w:val="22"/>
          <w:szCs w:val="22"/>
          <w:lang w:val="ru-RU"/>
        </w:rPr>
      </w:pPr>
      <w:r w:rsidRPr="14B35B12" w:rsidR="14B35B12">
        <w:rPr>
          <w:rStyle w:val="Heading2Char"/>
          <w:noProof w:val="0"/>
          <w:lang w:val="ru-RU"/>
        </w:rPr>
        <w:t>Требования</w:t>
      </w:r>
    </w:p>
    <w:p w:rsidR="14B35B12" w:rsidP="279939EE" w:rsidRDefault="14B35B12" w14:paraId="5097C78C" w14:noSpellErr="1" w14:textId="1134DA8C">
      <w:pPr>
        <w:pStyle w:val="Normal"/>
        <w:rPr>
          <w:noProof w:val="0"/>
          <w:lang w:val="ru-RU"/>
        </w:rPr>
      </w:pPr>
      <w:r w:rsidRPr="279939EE" w:rsidR="279939EE">
        <w:rPr>
          <w:noProof w:val="0"/>
          <w:lang w:val="ru-RU"/>
        </w:rPr>
        <w:t xml:space="preserve">Не так давно охранные светильники выполняли только визуальную, осветительную функцию. Раньше сторож или часовой пользовались световыми источниками, чтобы ясно рассмотреть охраняемую территорию, осветить местность. Теперь у таких светильников появилось новое предназначение, более сложное. Часто освещение устанавливается в тандеме с видеокамерами, которые транслируют запись на мониторы охранников. Из-за этого развития технологий светильникам нужно учитывать не только то, что нужно осветить территорию, но и то, что необходимо подстроить освещение под особенности применяемой камеры видеонаблюдения. Направление потока света зависит от места расположения охранного пункта. Если пункт находится внутри охраняемого периметра, то свет направляется за его пределы. В этом случае охранники остаются незамеченными, в то время как вся окружающая местность освещена и контролируема. Если же охранная точка расположена вне территории, нуждающейся в дозоре, свет направлен конкретно на сам охраняемый объект. Охранное пространство ярко освещено, и если </w:t>
      </w:r>
      <w:r w:rsidRPr="279939EE" w:rsidR="279939EE">
        <w:rPr>
          <w:noProof w:val="0"/>
          <w:lang w:val="ru-RU"/>
        </w:rPr>
        <w:t>посторонний человек</w:t>
      </w:r>
      <w:r w:rsidRPr="279939EE" w:rsidR="279939EE">
        <w:rPr>
          <w:noProof w:val="0"/>
          <w:lang w:val="ru-RU"/>
        </w:rPr>
        <w:t xml:space="preserve"> попытается пересечь его границы без соответствующего разрешения, то сторожа заметят попытку проникновения и предотвратят ее. При любом расположении точек охраны грамотно установленная система освещения обнаружит потенциального преступника с расстояния 200 метров и не выпустит его из постоянного наблюдения. </w:t>
      </w:r>
    </w:p>
    <w:p w:rsidR="14B35B12" w:rsidP="14B35B12" w:rsidRDefault="14B35B12" w14:noSpellErr="1" w14:paraId="48787BEA" w14:textId="23B96984">
      <w:pPr>
        <w:pStyle w:val="Normal"/>
        <w:rPr>
          <w:noProof w:val="0"/>
          <w:lang w:val="ru-RU"/>
        </w:rPr>
      </w:pPr>
      <w:r w:rsidRPr="14B35B12" w:rsidR="14B35B12">
        <w:rPr>
          <w:rStyle w:val="Heading2Char"/>
          <w:noProof w:val="0"/>
          <w:lang w:val="ru-RU"/>
        </w:rPr>
        <w:t xml:space="preserve">Нормы </w:t>
      </w:r>
    </w:p>
    <w:p w:rsidR="14B35B12" w:rsidP="14B35B12" w:rsidRDefault="14B35B12" w14:noSpellErr="1" w14:paraId="37CEAC34" w14:textId="27327088">
      <w:pPr>
        <w:pStyle w:val="Normal"/>
        <w:rPr>
          <w:noProof w:val="0"/>
          <w:lang w:val="ru-RU"/>
        </w:rPr>
      </w:pPr>
      <w:r w:rsidRPr="14B35B12" w:rsidR="14B35B12">
        <w:rPr>
          <w:noProof w:val="0"/>
          <w:lang w:val="ru-RU"/>
        </w:rPr>
        <w:t xml:space="preserve">Проектирование охранного освещения, </w:t>
      </w:r>
      <w:r w:rsidRPr="14B35B12" w:rsidR="14B35B12">
        <w:rPr>
          <w:noProof w:val="0"/>
          <w:lang w:val="ru-RU"/>
        </w:rPr>
        <w:t>соот</w:t>
      </w:r>
      <w:r w:rsidRPr="14B35B12" w:rsidR="14B35B12">
        <w:rPr>
          <w:noProof w:val="0"/>
          <w:lang w:val="ru-RU"/>
        </w:rPr>
        <w:t xml:space="preserve">ветствующее </w:t>
      </w:r>
      <w:r w:rsidRPr="14B35B12" w:rsidR="14B35B12">
        <w:rPr>
          <w:rFonts w:ascii="Calibri" w:hAnsi="Calibri" w:eastAsia="Calibri" w:cs="Calibri"/>
          <w:noProof w:val="0"/>
          <w:color w:val="373652"/>
          <w:sz w:val="24"/>
          <w:szCs w:val="24"/>
          <w:lang w:val="ru-RU"/>
        </w:rPr>
        <w:t>п.3.4.10</w:t>
      </w:r>
      <w:r w:rsidRPr="14B35B12" w:rsidR="14B35B12">
        <w:rPr>
          <w:rFonts w:ascii="Calibri" w:hAnsi="Calibri" w:eastAsia="Calibri" w:cs="Calibri"/>
          <w:noProof w:val="0"/>
          <w:color w:val="373652"/>
          <w:sz w:val="24"/>
          <w:szCs w:val="24"/>
          <w:lang w:val="ru-RU"/>
        </w:rPr>
        <w:t xml:space="preserve"> РД 78.145 – 93</w:t>
      </w:r>
      <w:r w:rsidRPr="14B35B12" w:rsidR="14B35B12">
        <w:rPr>
          <w:noProof w:val="0"/>
          <w:lang w:val="ru-RU"/>
        </w:rPr>
        <w:t>,</w:t>
      </w:r>
      <w:r w:rsidRPr="14B35B12" w:rsidR="14B35B12">
        <w:rPr>
          <w:noProof w:val="0"/>
          <w:lang w:val="ru-RU"/>
        </w:rPr>
        <w:t xml:space="preserve"> осуществляется отдельным разделом проектной документации</w:t>
      </w:r>
      <w:r w:rsidRPr="14B35B12" w:rsidR="14B35B12">
        <w:rPr>
          <w:noProof w:val="0"/>
          <w:lang w:val="ru-RU"/>
        </w:rPr>
        <w:t xml:space="preserve">. Особенная группа щита освещения используется для подключения охранного освещения к сети. </w:t>
      </w:r>
      <w:r w:rsidRPr="14B35B12" w:rsidR="14B35B12">
        <w:rPr>
          <w:noProof w:val="0"/>
          <w:lang w:val="ru-RU"/>
        </w:rPr>
        <w:t>Этот</w:t>
      </w:r>
      <w:r w:rsidRPr="14B35B12" w:rsidR="14B35B12">
        <w:rPr>
          <w:noProof w:val="0"/>
          <w:lang w:val="ru-RU"/>
        </w:rPr>
        <w:t xml:space="preserve"> щит может располагаться как в помещении охранников, так и на контрольно-пропускном пункте — КПП. Следует учесть, что возможен монтаж щита и ко внешней стене КПП. </w:t>
      </w:r>
    </w:p>
    <w:p w:rsidR="14B35B12" w:rsidP="14B35B12" w:rsidRDefault="14B35B12" w14:noSpellErr="1" w14:paraId="3E1C71E3" w14:textId="4200301E">
      <w:pPr>
        <w:pStyle w:val="Normal"/>
      </w:pPr>
      <w:r>
        <w:drawing>
          <wp:inline wp14:editId="76F7374E" wp14:anchorId="2DFC7AF3">
            <wp:extent cx="4572000" cy="3533775"/>
            <wp:effectExtent l="0" t="0" r="0" b="0"/>
            <wp:docPr id="829564912" name="picture" title=""/>
            <wp:cNvGraphicFramePr>
              <a:graphicFrameLocks noChangeAspect="1"/>
            </wp:cNvGraphicFramePr>
            <a:graphic>
              <a:graphicData uri="http://schemas.openxmlformats.org/drawingml/2006/picture">
                <pic:pic>
                  <pic:nvPicPr>
                    <pic:cNvPr id="0" name="picture"/>
                    <pic:cNvPicPr/>
                  </pic:nvPicPr>
                  <pic:blipFill>
                    <a:blip r:embed="R2d94f5e36dca4fb0">
                      <a:extLst>
                        <a:ext xmlns:a="http://schemas.openxmlformats.org/drawingml/2006/main" uri="{28A0092B-C50C-407E-A947-70E740481C1C}">
                          <a14:useLocalDpi val="0"/>
                        </a:ext>
                      </a:extLst>
                    </a:blip>
                    <a:stretch>
                      <a:fillRect/>
                    </a:stretch>
                  </pic:blipFill>
                  <pic:spPr>
                    <a:xfrm>
                      <a:off x="0" y="0"/>
                      <a:ext cx="4572000" cy="3533775"/>
                    </a:xfrm>
                    <a:prstGeom prst="rect">
                      <a:avLst/>
                    </a:prstGeom>
                  </pic:spPr>
                </pic:pic>
              </a:graphicData>
            </a:graphic>
          </wp:inline>
        </w:drawing>
      </w:r>
    </w:p>
    <w:p w:rsidR="14B35B12" w:rsidP="279939EE" w:rsidRDefault="14B35B12" w14:paraId="4CAD431F" w14:noSpellErr="1" w14:textId="3AD12188">
      <w:pPr>
        <w:pStyle w:val="Normal"/>
        <w:rPr>
          <w:noProof w:val="0"/>
          <w:lang w:val="ru-RU"/>
        </w:rPr>
      </w:pPr>
      <w:r w:rsidRPr="279939EE" w:rsidR="279939EE">
        <w:rPr>
          <w:noProof w:val="0"/>
          <w:lang w:val="ru-RU"/>
        </w:rPr>
        <w:t>Кроме щита, конструкция должна содержать и аварийн</w:t>
      </w:r>
      <w:r w:rsidRPr="279939EE" w:rsidR="279939EE">
        <w:rPr>
          <w:noProof w:val="0"/>
          <w:lang w:val="ru-RU"/>
        </w:rPr>
        <w:t>ое</w:t>
      </w:r>
      <w:r w:rsidRPr="279939EE" w:rsidR="279939EE">
        <w:rPr>
          <w:noProof w:val="0"/>
          <w:lang w:val="ru-RU"/>
        </w:rPr>
        <w:t xml:space="preserve"> освещение. Аварийка, просто говоря, автоматически включается от датчиков, если те улавливают сигнал тревоги. Включение может осуществлять система сбора и последующей обработки данных. Во время чрезвычайных ситуаций показывается участок, </w:t>
      </w:r>
      <w:r w:rsidRPr="279939EE" w:rsidR="279939EE">
        <w:rPr>
          <w:noProof w:val="0"/>
          <w:lang w:val="ru-RU"/>
        </w:rPr>
        <w:t xml:space="preserve">с </w:t>
      </w:r>
      <w:r w:rsidRPr="279939EE" w:rsidR="279939EE">
        <w:rPr>
          <w:noProof w:val="0"/>
          <w:lang w:val="ru-RU"/>
        </w:rPr>
        <w:t xml:space="preserve">которого поступил сигнал бедствия. В качестве аварийного осветителя используется прожектор на 10-50лк. </w:t>
      </w:r>
    </w:p>
    <w:p w:rsidR="14B35B12" w:rsidP="279939EE" w:rsidRDefault="14B35B12" w14:paraId="067BD9C6" w14:textId="7E287017">
      <w:pPr>
        <w:pStyle w:val="Normal"/>
        <w:rPr>
          <w:rFonts w:ascii="Calibri" w:hAnsi="Calibri" w:eastAsia="Calibri" w:cs="Calibri"/>
          <w:noProof w:val="0"/>
          <w:sz w:val="22"/>
          <w:szCs w:val="22"/>
          <w:lang w:val="ru-RU"/>
        </w:rPr>
      </w:pPr>
      <w:r w:rsidRPr="279939EE" w:rsidR="279939EE">
        <w:rPr>
          <w:rFonts w:ascii="Calibri" w:hAnsi="Calibri" w:eastAsia="Calibri" w:cs="Calibri"/>
          <w:noProof w:val="0"/>
          <w:sz w:val="22"/>
          <w:szCs w:val="22"/>
          <w:lang w:val="ru-RU"/>
        </w:rPr>
        <w:t xml:space="preserve">Если говорить о самой системе освещения, то, согласно установленным нормам, ночью она должна светить с мощностью 2-5 люкс. Такая степень освещенности применяется и для функционирования видеокамер за пределами охраняемого участка, и для незамедлительных технических работ, таких как поиск или ликвидация повреждений. Если не брать конкретный временной промежуток, то минимальный уровень освещения должен равняться 0.5 </w:t>
      </w:r>
      <w:proofErr w:type="spellStart"/>
      <w:r w:rsidRPr="279939EE" w:rsidR="279939EE">
        <w:rPr>
          <w:rFonts w:ascii="Calibri" w:hAnsi="Calibri" w:eastAsia="Calibri" w:cs="Calibri"/>
          <w:noProof w:val="0"/>
          <w:sz w:val="22"/>
          <w:szCs w:val="22"/>
          <w:lang w:val="ru-RU"/>
        </w:rPr>
        <w:t>лк</w:t>
      </w:r>
      <w:proofErr w:type="spellEnd"/>
      <w:r w:rsidRPr="279939EE" w:rsidR="279939EE">
        <w:rPr>
          <w:rFonts w:ascii="Calibri" w:hAnsi="Calibri" w:eastAsia="Calibri" w:cs="Calibri"/>
          <w:noProof w:val="0"/>
          <w:sz w:val="22"/>
          <w:szCs w:val="22"/>
          <w:lang w:val="ru-RU"/>
        </w:rPr>
        <w:t xml:space="preserve">, что записано в </w:t>
      </w:r>
      <w:r w:rsidRPr="279939EE" w:rsidR="279939EE">
        <w:rPr>
          <w:rFonts w:ascii="Calibri" w:hAnsi="Calibri" w:eastAsia="Calibri" w:cs="Calibri"/>
          <w:noProof w:val="0"/>
          <w:color w:val="373652"/>
          <w:sz w:val="24"/>
          <w:szCs w:val="24"/>
          <w:lang w:val="ru-RU"/>
        </w:rPr>
        <w:t>п.7.79 СНиП 23 – 05 – 95</w:t>
      </w:r>
      <w:r w:rsidRPr="279939EE" w:rsidR="279939EE">
        <w:rPr>
          <w:rFonts w:ascii="Calibri" w:hAnsi="Calibri" w:eastAsia="Calibri" w:cs="Calibri"/>
          <w:noProof w:val="0"/>
          <w:sz w:val="22"/>
          <w:szCs w:val="22"/>
          <w:lang w:val="ru-RU"/>
        </w:rPr>
        <w:t xml:space="preserve">. Степень освещенности больше 0.5 единиц использовать разрешается, однако в рамках установленных нормативов, меньше </w:t>
      </w:r>
      <w:r w:rsidRPr="279939EE" w:rsidR="279939EE">
        <w:rPr>
          <w:rFonts w:ascii="Calibri" w:hAnsi="Calibri" w:eastAsia="Calibri" w:cs="Calibri"/>
          <w:noProof w:val="0"/>
          <w:sz w:val="22"/>
          <w:szCs w:val="22"/>
          <w:lang w:val="ru-RU"/>
        </w:rPr>
        <w:t>же люкс применять нельзя</w:t>
      </w:r>
      <w:r w:rsidRPr="279939EE" w:rsidR="279939EE">
        <w:rPr>
          <w:rFonts w:ascii="Calibri" w:hAnsi="Calibri" w:eastAsia="Calibri" w:cs="Calibri"/>
          <w:noProof w:val="0"/>
          <w:sz w:val="22"/>
          <w:szCs w:val="22"/>
          <w:lang w:val="ru-RU"/>
        </w:rPr>
        <w:t xml:space="preserve">. Светотехники рекомендуют следить за тем, чтобы полоса от 5 до 12 метров в пределах охраняемой территории была равномерно освещена. Добиться этого можно установкой светильников таким образом, чтобы потоки светы соединялись друг с другом, образуя тем самым сплошную </w:t>
      </w:r>
      <w:r w:rsidRPr="279939EE" w:rsidR="279939EE">
        <w:rPr>
          <w:rFonts w:ascii="Calibri" w:hAnsi="Calibri" w:eastAsia="Calibri" w:cs="Calibri"/>
          <w:noProof w:val="0"/>
          <w:sz w:val="22"/>
          <w:szCs w:val="22"/>
          <w:lang w:val="ru-RU"/>
        </w:rPr>
        <w:t>линию</w:t>
      </w:r>
      <w:r w:rsidRPr="279939EE" w:rsidR="279939EE">
        <w:rPr>
          <w:rFonts w:ascii="Calibri" w:hAnsi="Calibri" w:eastAsia="Calibri" w:cs="Calibri"/>
          <w:noProof w:val="0"/>
          <w:sz w:val="22"/>
          <w:szCs w:val="22"/>
          <w:lang w:val="ru-RU"/>
        </w:rPr>
        <w:t xml:space="preserve">. </w:t>
      </w:r>
    </w:p>
    <w:p w:rsidR="14B35B12" w:rsidP="14B35B12" w:rsidRDefault="14B35B12" w14:noSpellErr="1" w14:paraId="713D16A5" w14:textId="26EB239A">
      <w:pPr>
        <w:pStyle w:val="Normal"/>
        <w:rPr>
          <w:rFonts w:ascii="Calibri" w:hAnsi="Calibri" w:eastAsia="Calibri" w:cs="Calibri"/>
          <w:noProof w:val="0"/>
          <w:sz w:val="22"/>
          <w:szCs w:val="22"/>
          <w:lang w:val="ru-RU"/>
        </w:rPr>
      </w:pPr>
      <w:r w:rsidRPr="14B35B12" w:rsidR="14B35B12">
        <w:rPr>
          <w:rFonts w:ascii="Calibri" w:hAnsi="Calibri" w:eastAsia="Calibri" w:cs="Calibri"/>
          <w:noProof w:val="0"/>
          <w:sz w:val="22"/>
          <w:szCs w:val="22"/>
          <w:lang w:val="ru-RU"/>
        </w:rPr>
        <w:t>В том случае, когда осветители размещаются на ограждениях, согласно нормативам, они должны монтироваться не выше уровня тех ограждений, на которых они располагаются. Товар можно выбрать, который подойдет каждому:</w:t>
      </w:r>
    </w:p>
    <w:p w:rsidR="14B35B12" w:rsidP="14B35B12" w:rsidRDefault="14B35B12" w14:noSpellErr="1" w14:paraId="19DC7604" w14:textId="20228003">
      <w:pPr>
        <w:pStyle w:val="ListParagraph"/>
        <w:numPr>
          <w:ilvl w:val="0"/>
          <w:numId w:val="2"/>
        </w:numPr>
        <w:rPr>
          <w:noProof w:val="0"/>
          <w:sz w:val="22"/>
          <w:szCs w:val="22"/>
          <w:lang w:val="ru-RU"/>
        </w:rPr>
      </w:pPr>
      <w:r w:rsidRPr="14B35B12" w:rsidR="14B35B12">
        <w:rPr>
          <w:rFonts w:ascii="Calibri" w:hAnsi="Calibri" w:eastAsia="Calibri" w:cs="Calibri"/>
          <w:noProof w:val="0"/>
          <w:sz w:val="22"/>
          <w:szCs w:val="22"/>
          <w:lang w:val="ru-RU"/>
        </w:rPr>
        <w:t>подъемные светильники;</w:t>
      </w:r>
    </w:p>
    <w:p w:rsidR="14B35B12" w:rsidP="14B35B12" w:rsidRDefault="14B35B12" w14:noSpellErr="1" w14:paraId="5175DA75" w14:textId="55C3297C">
      <w:pPr>
        <w:pStyle w:val="ListParagraph"/>
        <w:numPr>
          <w:ilvl w:val="0"/>
          <w:numId w:val="2"/>
        </w:numPr>
        <w:rPr>
          <w:noProof w:val="0"/>
          <w:sz w:val="22"/>
          <w:szCs w:val="22"/>
          <w:lang w:val="ru-RU"/>
        </w:rPr>
      </w:pPr>
      <w:r w:rsidRPr="14B35B12" w:rsidR="14B35B12">
        <w:rPr>
          <w:rFonts w:ascii="Calibri" w:hAnsi="Calibri" w:eastAsia="Calibri" w:cs="Calibri"/>
          <w:noProof w:val="0"/>
          <w:sz w:val="22"/>
          <w:szCs w:val="22"/>
          <w:lang w:val="ru-RU"/>
        </w:rPr>
        <w:t>консольные осветители;</w:t>
      </w:r>
    </w:p>
    <w:p w:rsidR="14B35B12" w:rsidP="14B35B12" w:rsidRDefault="14B35B12" w14:noSpellErr="1" w14:paraId="30A9A23F" w14:textId="3DB87951">
      <w:pPr>
        <w:pStyle w:val="ListParagraph"/>
        <w:numPr>
          <w:ilvl w:val="0"/>
          <w:numId w:val="2"/>
        </w:numPr>
        <w:rPr>
          <w:noProof w:val="0"/>
          <w:sz w:val="22"/>
          <w:szCs w:val="22"/>
          <w:lang w:val="ru-RU"/>
        </w:rPr>
      </w:pPr>
      <w:r w:rsidRPr="14B35B12" w:rsidR="14B35B12">
        <w:rPr>
          <w:rFonts w:ascii="Calibri" w:hAnsi="Calibri" w:eastAsia="Calibri" w:cs="Calibri"/>
          <w:noProof w:val="0"/>
          <w:sz w:val="22"/>
          <w:szCs w:val="22"/>
          <w:lang w:val="ru-RU"/>
        </w:rPr>
        <w:t>прожектора;</w:t>
      </w:r>
    </w:p>
    <w:p w:rsidR="14B35B12" w:rsidP="279939EE" w:rsidRDefault="14B35B12" w14:paraId="4A16F7D5" w14:noSpellErr="1" w14:textId="5CE096B0">
      <w:pPr>
        <w:pStyle w:val="ListParagraph"/>
        <w:numPr>
          <w:ilvl w:val="0"/>
          <w:numId w:val="2"/>
        </w:numPr>
        <w:rPr>
          <w:noProof w:val="0"/>
          <w:sz w:val="22"/>
          <w:szCs w:val="22"/>
          <w:lang w:val="ru-RU"/>
        </w:rPr>
      </w:pPr>
      <w:r w:rsidRPr="279939EE" w:rsidR="279939EE">
        <w:rPr>
          <w:rFonts w:ascii="Calibri" w:hAnsi="Calibri" w:eastAsia="Calibri" w:cs="Calibri"/>
          <w:noProof w:val="0"/>
          <w:sz w:val="22"/>
          <w:szCs w:val="22"/>
          <w:lang w:val="ru-RU"/>
        </w:rPr>
        <w:t>л</w:t>
      </w:r>
      <w:r w:rsidRPr="279939EE" w:rsidR="279939EE">
        <w:rPr>
          <w:rFonts w:ascii="Calibri" w:hAnsi="Calibri" w:eastAsia="Calibri" w:cs="Calibri"/>
          <w:noProof w:val="0"/>
          <w:sz w:val="22"/>
          <w:szCs w:val="22"/>
          <w:lang w:val="ru-RU"/>
        </w:rPr>
        <w:t>ампы.</w:t>
      </w:r>
    </w:p>
    <w:p w:rsidR="279939EE" w:rsidP="279939EE" w:rsidRDefault="279939EE" w14:noSpellErr="1" w14:paraId="6CD67F60" w14:textId="56A7D538">
      <w:pPr>
        <w:pStyle w:val="Normal"/>
        <w:ind w:left="0"/>
        <w:rPr>
          <w:rFonts w:ascii="Calibri" w:hAnsi="Calibri" w:eastAsia="Calibri" w:cs="Calibri"/>
          <w:noProof w:val="0"/>
          <w:sz w:val="22"/>
          <w:szCs w:val="22"/>
          <w:lang w:val="ru-RU"/>
        </w:rPr>
      </w:pPr>
      <w:r w:rsidRPr="279939EE" w:rsidR="279939EE">
        <w:rPr>
          <w:rStyle w:val="Heading2Char"/>
          <w:noProof w:val="0"/>
          <w:lang w:val="ru-RU"/>
        </w:rPr>
        <w:t>Виды устройств и управления</w:t>
      </w:r>
    </w:p>
    <w:p w:rsidR="14B35B12" w:rsidP="14B35B12" w:rsidRDefault="14B35B12" w14:noSpellErr="1" w14:paraId="77FAB3E9" w14:textId="7D2BDBCB">
      <w:pPr>
        <w:pStyle w:val="Normal"/>
        <w:rPr>
          <w:rFonts w:ascii="Calibri" w:hAnsi="Calibri" w:eastAsia="Calibri" w:cs="Calibri"/>
          <w:noProof w:val="0"/>
          <w:sz w:val="22"/>
          <w:szCs w:val="22"/>
          <w:lang w:val="ru-RU"/>
        </w:rPr>
      </w:pPr>
      <w:r w:rsidRPr="14B35B12" w:rsidR="14B35B12">
        <w:rPr>
          <w:rFonts w:ascii="Calibri" w:hAnsi="Calibri" w:eastAsia="Calibri" w:cs="Calibri"/>
          <w:noProof w:val="0"/>
          <w:sz w:val="22"/>
          <w:szCs w:val="22"/>
          <w:lang w:val="ru-RU"/>
        </w:rPr>
        <w:t>Существуют разные типы исполнения источников охранного освещения:</w:t>
      </w:r>
    </w:p>
    <w:p w:rsidR="14B35B12" w:rsidP="14B35B12" w:rsidRDefault="14B35B12" w14:noSpellErr="1" w14:paraId="1C14FB12" w14:textId="7C43CCF0">
      <w:pPr>
        <w:pStyle w:val="ListParagraph"/>
        <w:numPr>
          <w:ilvl w:val="0"/>
          <w:numId w:val="3"/>
        </w:numPr>
        <w:rPr>
          <w:noProof w:val="0"/>
          <w:sz w:val="22"/>
          <w:szCs w:val="22"/>
          <w:lang w:val="ru-RU"/>
        </w:rPr>
      </w:pPr>
      <w:r w:rsidRPr="14B35B12" w:rsidR="14B35B12">
        <w:rPr>
          <w:rFonts w:ascii="Calibri" w:hAnsi="Calibri" w:eastAsia="Calibri" w:cs="Calibri"/>
          <w:noProof w:val="0"/>
          <w:sz w:val="22"/>
          <w:szCs w:val="22"/>
          <w:lang w:val="ru-RU"/>
        </w:rPr>
        <w:t>галогенные</w:t>
      </w:r>
      <w:r w:rsidRPr="14B35B12" w:rsidR="14B35B12">
        <w:rPr>
          <w:rFonts w:ascii="Calibri" w:hAnsi="Calibri" w:eastAsia="Calibri" w:cs="Calibri"/>
          <w:noProof w:val="0"/>
          <w:sz w:val="22"/>
          <w:szCs w:val="22"/>
          <w:lang w:val="ru-RU"/>
        </w:rPr>
        <w:t>;</w:t>
      </w:r>
    </w:p>
    <w:p w:rsidR="14B35B12" w:rsidP="14B35B12" w:rsidRDefault="14B35B12" w14:paraId="5B8EA6EC" w14:textId="0063E203">
      <w:pPr>
        <w:pStyle w:val="ListParagraph"/>
        <w:numPr>
          <w:ilvl w:val="0"/>
          <w:numId w:val="3"/>
        </w:numPr>
        <w:rPr>
          <w:noProof w:val="0"/>
          <w:sz w:val="22"/>
          <w:szCs w:val="22"/>
          <w:lang w:val="ru-RU"/>
        </w:rPr>
      </w:pPr>
      <w:proofErr w:type="spellStart"/>
      <w:r w:rsidRPr="14B35B12" w:rsidR="14B35B12">
        <w:rPr>
          <w:rFonts w:ascii="Calibri" w:hAnsi="Calibri" w:eastAsia="Calibri" w:cs="Calibri"/>
          <w:noProof w:val="0"/>
          <w:sz w:val="22"/>
          <w:szCs w:val="22"/>
          <w:lang w:val="ru-RU"/>
        </w:rPr>
        <w:t>металлогалогенные</w:t>
      </w:r>
      <w:proofErr w:type="spellEnd"/>
      <w:r w:rsidRPr="14B35B12" w:rsidR="14B35B12">
        <w:rPr>
          <w:rFonts w:ascii="Calibri" w:hAnsi="Calibri" w:eastAsia="Calibri" w:cs="Calibri"/>
          <w:noProof w:val="0"/>
          <w:sz w:val="22"/>
          <w:szCs w:val="22"/>
          <w:lang w:val="ru-RU"/>
        </w:rPr>
        <w:t>;</w:t>
      </w:r>
    </w:p>
    <w:p w:rsidR="14B35B12" w:rsidP="14B35B12" w:rsidRDefault="14B35B12" w14:noSpellErr="1" w14:paraId="3ABF818D" w14:textId="3E2B5ED4">
      <w:pPr>
        <w:pStyle w:val="ListParagraph"/>
        <w:numPr>
          <w:ilvl w:val="0"/>
          <w:numId w:val="3"/>
        </w:numPr>
        <w:rPr>
          <w:noProof w:val="0"/>
          <w:sz w:val="22"/>
          <w:szCs w:val="22"/>
          <w:lang w:val="ru-RU"/>
        </w:rPr>
      </w:pPr>
      <w:r w:rsidRPr="14B35B12" w:rsidR="14B35B12">
        <w:rPr>
          <w:rFonts w:ascii="Calibri" w:hAnsi="Calibri" w:eastAsia="Calibri" w:cs="Calibri"/>
          <w:noProof w:val="0"/>
          <w:sz w:val="22"/>
          <w:szCs w:val="22"/>
          <w:lang w:val="ru-RU"/>
        </w:rPr>
        <w:t>натриевые;</w:t>
      </w:r>
    </w:p>
    <w:p w:rsidR="14B35B12" w:rsidP="14B35B12" w:rsidRDefault="14B35B12" w14:noSpellErr="1" w14:paraId="1BE225B6" w14:textId="02596358">
      <w:pPr>
        <w:pStyle w:val="ListParagraph"/>
        <w:numPr>
          <w:ilvl w:val="0"/>
          <w:numId w:val="3"/>
        </w:numPr>
        <w:rPr>
          <w:noProof w:val="0"/>
          <w:sz w:val="22"/>
          <w:szCs w:val="22"/>
          <w:lang w:val="ru-RU"/>
        </w:rPr>
      </w:pPr>
      <w:r w:rsidRPr="14B35B12" w:rsidR="14B35B12">
        <w:rPr>
          <w:rFonts w:ascii="Calibri" w:hAnsi="Calibri" w:eastAsia="Calibri" w:cs="Calibri"/>
          <w:noProof w:val="0"/>
          <w:sz w:val="22"/>
          <w:szCs w:val="22"/>
          <w:lang w:val="ru-RU"/>
        </w:rPr>
        <w:t>светодиодные;</w:t>
      </w:r>
    </w:p>
    <w:p w:rsidR="14B35B12" w:rsidP="14B35B12" w:rsidRDefault="14B35B12" w14:noSpellErr="1" w14:paraId="068E9700" w14:textId="2E6197AE">
      <w:pPr>
        <w:pStyle w:val="ListParagraph"/>
        <w:numPr>
          <w:ilvl w:val="0"/>
          <w:numId w:val="3"/>
        </w:numPr>
        <w:rPr>
          <w:noProof w:val="0"/>
          <w:sz w:val="22"/>
          <w:szCs w:val="22"/>
          <w:lang w:val="ru-RU"/>
        </w:rPr>
      </w:pPr>
      <w:r w:rsidRPr="14B35B12" w:rsidR="14B35B12">
        <w:rPr>
          <w:rFonts w:ascii="Calibri" w:hAnsi="Calibri" w:eastAsia="Calibri" w:cs="Calibri"/>
          <w:noProof w:val="0"/>
          <w:sz w:val="22"/>
          <w:szCs w:val="22"/>
          <w:lang w:val="ru-RU"/>
        </w:rPr>
        <w:t>инфракрасные.</w:t>
      </w:r>
    </w:p>
    <w:p w:rsidR="14B35B12" w:rsidP="279939EE" w:rsidRDefault="14B35B12" w14:paraId="69F6E026" w14:textId="3EF44F70" w14:noSpellErr="1">
      <w:pPr>
        <w:pStyle w:val="Normal"/>
        <w:rPr>
          <w:rFonts w:ascii="Calibri" w:hAnsi="Calibri" w:eastAsia="Calibri" w:cs="Calibri"/>
          <w:noProof w:val="0"/>
          <w:color w:val="373652"/>
          <w:sz w:val="24"/>
          <w:szCs w:val="24"/>
          <w:lang w:val="ru-RU"/>
        </w:rPr>
      </w:pPr>
      <w:r w:rsidRPr="279939EE" w:rsidR="279939EE">
        <w:rPr>
          <w:rFonts w:ascii="Calibri" w:hAnsi="Calibri" w:eastAsia="Calibri" w:cs="Calibri"/>
          <w:noProof w:val="0"/>
          <w:sz w:val="22"/>
          <w:szCs w:val="22"/>
          <w:lang w:val="ru-RU"/>
        </w:rPr>
        <w:t xml:space="preserve">Рынок осветительных устройств предлагает специальные светильники, которые включаются автоматически, если датчики замечают какое-либо движение в пределах охраняемой территории. </w:t>
      </w:r>
      <w:r w:rsidRPr="279939EE" w:rsidR="279939EE">
        <w:rPr>
          <w:rFonts w:ascii="Calibri" w:hAnsi="Calibri" w:eastAsia="Calibri" w:cs="Calibri"/>
          <w:noProof w:val="0"/>
          <w:sz w:val="22"/>
          <w:szCs w:val="22"/>
          <w:lang w:val="ru-RU"/>
        </w:rPr>
        <w:t>Сог</w:t>
      </w:r>
      <w:r w:rsidRPr="279939EE" w:rsidR="279939EE">
        <w:rPr>
          <w:rFonts w:ascii="Calibri" w:hAnsi="Calibri" w:eastAsia="Calibri" w:cs="Calibri"/>
          <w:noProof w:val="0"/>
          <w:color w:val="auto"/>
          <w:sz w:val="22"/>
          <w:szCs w:val="22"/>
          <w:lang w:val="ru-RU"/>
        </w:rPr>
        <w:t>ласн</w:t>
      </w:r>
      <w:r w:rsidRPr="279939EE" w:rsidR="279939EE">
        <w:rPr>
          <w:rFonts w:ascii="Calibri" w:hAnsi="Calibri" w:eastAsia="Calibri" w:cs="Calibri"/>
          <w:noProof w:val="0"/>
          <w:color w:val="auto"/>
          <w:sz w:val="22"/>
          <w:szCs w:val="22"/>
          <w:lang w:val="ru-RU"/>
        </w:rPr>
        <w:t>о п</w:t>
      </w:r>
      <w:r w:rsidRPr="279939EE" w:rsidR="279939EE">
        <w:rPr>
          <w:rFonts w:ascii="Calibri" w:hAnsi="Calibri" w:eastAsia="Calibri" w:cs="Calibri"/>
          <w:noProof w:val="0"/>
          <w:color w:val="auto"/>
          <w:sz w:val="22"/>
          <w:szCs w:val="22"/>
          <w:lang w:val="ru-RU"/>
        </w:rPr>
        <w:t>ункту</w:t>
      </w:r>
      <w:r w:rsidRPr="279939EE" w:rsidR="279939EE">
        <w:rPr>
          <w:rFonts w:ascii="Calibri" w:hAnsi="Calibri" w:eastAsia="Calibri" w:cs="Calibri"/>
          <w:noProof w:val="0"/>
          <w:color w:val="auto"/>
          <w:sz w:val="22"/>
          <w:szCs w:val="22"/>
          <w:lang w:val="ru-RU"/>
        </w:rPr>
        <w:t xml:space="preserve"> 7.79 СНиП 23-05-95 </w:t>
      </w:r>
      <w:r w:rsidRPr="279939EE" w:rsidR="279939EE">
        <w:rPr>
          <w:rFonts w:ascii="Calibri" w:hAnsi="Calibri" w:eastAsia="Calibri" w:cs="Calibri"/>
          <w:noProof w:val="0"/>
          <w:color w:val="auto"/>
          <w:sz w:val="22"/>
          <w:szCs w:val="22"/>
          <w:lang w:val="ru-RU"/>
        </w:rPr>
        <w:t>лучше использовать лампы накаливания для обеспечения безопасности, однако это не указание, а всего лишь рекомендация. Можно использовать и другие виды ламп, перечисленные выше.</w:t>
      </w:r>
      <w:r w:rsidRPr="279939EE" w:rsidR="279939EE">
        <w:rPr>
          <w:rFonts w:ascii="Calibri" w:hAnsi="Calibri" w:eastAsia="Calibri" w:cs="Calibri"/>
          <w:noProof w:val="0"/>
          <w:color w:val="373652"/>
          <w:sz w:val="22"/>
          <w:szCs w:val="22"/>
          <w:lang w:val="ru-RU"/>
        </w:rPr>
        <w:t xml:space="preserve"> </w:t>
      </w:r>
    </w:p>
    <w:p w:rsidR="14B35B12" w:rsidP="14B35B12" w:rsidRDefault="14B35B12" w14:paraId="04F2089A" w14:textId="329EBBA0" w14:noSpellErr="1">
      <w:pPr>
        <w:pStyle w:val="Heading2"/>
      </w:pPr>
      <w:r>
        <w:drawing>
          <wp:inline wp14:editId="37D57A9A" wp14:anchorId="1616357F">
            <wp:extent cx="3810000" cy="1590675"/>
            <wp:effectExtent l="0" t="0" r="0" b="0"/>
            <wp:docPr id="1765589513" name="picture" title=""/>
            <wp:cNvGraphicFramePr>
              <a:graphicFrameLocks noChangeAspect="1"/>
            </wp:cNvGraphicFramePr>
            <a:graphic>
              <a:graphicData uri="http://schemas.openxmlformats.org/drawingml/2006/picture">
                <pic:pic>
                  <pic:nvPicPr>
                    <pic:cNvPr id="0" name="picture"/>
                    <pic:cNvPicPr/>
                  </pic:nvPicPr>
                  <pic:blipFill>
                    <a:blip r:embed="Rda21a6eec2964150">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810000" cy="1590675"/>
                    </a:xfrm>
                    <a:prstGeom prst="rect">
                      <a:avLst/>
                    </a:prstGeom>
                  </pic:spPr>
                </pic:pic>
              </a:graphicData>
            </a:graphic>
          </wp:inline>
        </w:drawing>
      </w:r>
    </w:p>
    <w:p w:rsidR="279939EE" w:rsidP="279939EE" w:rsidRDefault="279939EE" w14:noSpellErr="1" w14:paraId="6A8CEC34" w14:textId="3F411AD7">
      <w:pPr>
        <w:pStyle w:val="Normal"/>
      </w:pPr>
      <w:r w:rsidR="279939EE">
        <w:rPr/>
        <w:t>Есть устройства, систему управления которых можно запрограммировать удобным для вас способом. Чего можно добиться регулированием программы контроля:</w:t>
      </w:r>
    </w:p>
    <w:p w:rsidR="279939EE" w:rsidP="279939EE" w:rsidRDefault="279939EE" w14:noSpellErr="1" w14:paraId="46372107" w14:textId="01B45740">
      <w:pPr>
        <w:pStyle w:val="ListParagraph"/>
        <w:numPr>
          <w:ilvl w:val="0"/>
          <w:numId w:val="5"/>
        </w:numPr>
        <w:rPr>
          <w:sz w:val="22"/>
          <w:szCs w:val="22"/>
        </w:rPr>
      </w:pPr>
      <w:r w:rsidR="279939EE">
        <w:rPr/>
        <w:t>включения и выключения осветительных аппаратов в определенное время;</w:t>
      </w:r>
    </w:p>
    <w:p w:rsidR="279939EE" w:rsidP="279939EE" w:rsidRDefault="279939EE" w14:noSpellErr="1" w14:paraId="18D788A1" w14:textId="2FC159B6">
      <w:pPr>
        <w:pStyle w:val="ListParagraph"/>
        <w:numPr>
          <w:ilvl w:val="0"/>
          <w:numId w:val="5"/>
        </w:numPr>
        <w:rPr>
          <w:sz w:val="22"/>
          <w:szCs w:val="22"/>
        </w:rPr>
      </w:pPr>
      <w:r w:rsidR="279939EE">
        <w:rPr/>
        <w:t>возможности создания и изменения графика работы охранного освещения с помощью удобных конструкторов;</w:t>
      </w:r>
    </w:p>
    <w:p w:rsidR="279939EE" w:rsidP="279939EE" w:rsidRDefault="279939EE" w14:noSpellErr="1" w14:paraId="404ADC33" w14:textId="0B3CC7E2">
      <w:pPr>
        <w:pStyle w:val="ListParagraph"/>
        <w:numPr>
          <w:ilvl w:val="0"/>
          <w:numId w:val="5"/>
        </w:numPr>
        <w:rPr>
          <w:sz w:val="22"/>
          <w:szCs w:val="22"/>
        </w:rPr>
      </w:pPr>
      <w:r w:rsidR="279939EE">
        <w:rPr/>
        <w:t>установки необходимого уровня освещенности, что позволяет сэкономить на электроэнергии из-за чрезмерного свечения;</w:t>
      </w:r>
    </w:p>
    <w:p w:rsidR="279939EE" w:rsidP="279939EE" w:rsidRDefault="279939EE" w14:noSpellErr="1" w14:paraId="2DF5E46D" w14:textId="36B8221F">
      <w:pPr>
        <w:pStyle w:val="ListParagraph"/>
        <w:numPr>
          <w:ilvl w:val="0"/>
          <w:numId w:val="5"/>
        </w:numPr>
        <w:rPr>
          <w:sz w:val="22"/>
          <w:szCs w:val="22"/>
        </w:rPr>
      </w:pPr>
      <w:r w:rsidR="279939EE">
        <w:rPr/>
        <w:t>функционирования отдельных осветительных линий по установленному расписанию;</w:t>
      </w:r>
    </w:p>
    <w:p w:rsidR="279939EE" w:rsidP="279939EE" w:rsidRDefault="279939EE" w14:noSpellErr="1" w14:paraId="435709BE" w14:textId="7E08508F">
      <w:pPr>
        <w:pStyle w:val="ListParagraph"/>
        <w:numPr>
          <w:ilvl w:val="0"/>
          <w:numId w:val="5"/>
        </w:numPr>
        <w:rPr>
          <w:sz w:val="22"/>
          <w:szCs w:val="22"/>
        </w:rPr>
      </w:pPr>
      <w:r w:rsidR="279939EE">
        <w:rPr/>
        <w:t>в</w:t>
      </w:r>
      <w:r w:rsidR="279939EE">
        <w:rPr/>
        <w:t xml:space="preserve">озможности включать дополнительное </w:t>
      </w:r>
      <w:r w:rsidR="279939EE">
        <w:rPr/>
        <w:t>освещение охраны дистанционно, если возникает неожиданная чрезвычайная ситуация;</w:t>
      </w:r>
    </w:p>
    <w:p w:rsidR="279939EE" w:rsidP="279939EE" w:rsidRDefault="279939EE" w14:noSpellErr="1" w14:paraId="4F48C223" w14:textId="59F7C062">
      <w:pPr>
        <w:pStyle w:val="ListParagraph"/>
        <w:numPr>
          <w:ilvl w:val="0"/>
          <w:numId w:val="5"/>
        </w:numPr>
        <w:rPr>
          <w:sz w:val="22"/>
          <w:szCs w:val="22"/>
        </w:rPr>
      </w:pPr>
      <w:r w:rsidR="279939EE">
        <w:rPr/>
        <w:t>контролирования расхода энергии каждой группы осветителей.</w:t>
      </w:r>
    </w:p>
    <w:p w:rsidR="14B35B12" w:rsidP="14B35B12" w:rsidRDefault="14B35B12" w14:noSpellErr="1" w14:paraId="2F28F4AC" w14:textId="09D8CD9A">
      <w:pPr>
        <w:pStyle w:val="Heading2"/>
        <w:bidi w:val="0"/>
        <w:spacing w:before="40" w:beforeAutospacing="off" w:after="0" w:afterAutospacing="off" w:line="259" w:lineRule="auto"/>
        <w:ind w:left="0" w:right="0"/>
        <w:jc w:val="left"/>
      </w:pPr>
      <w:r w:rsidR="14B35B12">
        <w:rPr/>
        <w:t>Расчет для обустройства осветительной системы</w:t>
      </w:r>
    </w:p>
    <w:p w:rsidR="14B35B12" w:rsidP="14B35B12" w:rsidRDefault="14B35B12" w14:noSpellErr="1" w14:paraId="3B1FDBAF" w14:textId="6127E8F7">
      <w:pPr>
        <w:pStyle w:val="Normal"/>
        <w:bidi w:val="0"/>
      </w:pPr>
      <w:r w:rsidR="14B35B12">
        <w:rPr/>
        <w:t xml:space="preserve">Светотехнический расчет проводят для </w:t>
      </w:r>
      <w:r w:rsidR="14B35B12">
        <w:rPr/>
        <w:t>каждо</w:t>
      </w:r>
      <w:r w:rsidR="14B35B12">
        <w:rPr/>
        <w:t xml:space="preserve">го участка для того, чтобы определиться с необходимым числом осветительных аппаратов, промежутками между такими приборами и направлением светового потока. </w:t>
      </w:r>
    </w:p>
    <w:p w:rsidR="14B35B12" w:rsidP="14B35B12" w:rsidRDefault="14B35B12" w14:noSpellErr="1" w14:paraId="165D217A" w14:textId="4D5F7F7F">
      <w:pPr>
        <w:pStyle w:val="Normal"/>
        <w:bidi w:val="0"/>
      </w:pPr>
      <w:r w:rsidR="14B35B12">
        <w:rPr/>
        <w:t>Факторы, которые нужно знать для ра</w:t>
      </w:r>
      <w:r w:rsidR="14B35B12">
        <w:rPr/>
        <w:t>с</w:t>
      </w:r>
      <w:r w:rsidR="14B35B12">
        <w:rPr/>
        <w:t>ч</w:t>
      </w:r>
      <w:r w:rsidR="14B35B12">
        <w:rPr/>
        <w:t>е</w:t>
      </w:r>
      <w:r w:rsidR="14B35B12">
        <w:rPr/>
        <w:t>т</w:t>
      </w:r>
      <w:r w:rsidR="14B35B12">
        <w:rPr/>
        <w:t>а</w:t>
      </w:r>
      <w:r w:rsidR="14B35B12">
        <w:rPr/>
        <w:t xml:space="preserve"> </w:t>
      </w:r>
      <w:r w:rsidR="14B35B12">
        <w:rPr/>
        <w:t>о</w:t>
      </w:r>
      <w:r w:rsidR="14B35B12">
        <w:rPr/>
        <w:t>с</w:t>
      </w:r>
      <w:r w:rsidR="14B35B12">
        <w:rPr/>
        <w:t>в</w:t>
      </w:r>
      <w:r w:rsidR="14B35B12">
        <w:rPr/>
        <w:t>е</w:t>
      </w:r>
      <w:r w:rsidR="14B35B12">
        <w:rPr/>
        <w:t>щ</w:t>
      </w:r>
      <w:r w:rsidR="14B35B12">
        <w:rPr/>
        <w:t>е</w:t>
      </w:r>
      <w:r w:rsidR="14B35B12">
        <w:rPr/>
        <w:t>н</w:t>
      </w:r>
      <w:r w:rsidR="14B35B12">
        <w:rPr/>
        <w:t>н</w:t>
      </w:r>
      <w:r w:rsidR="14B35B12">
        <w:rPr/>
        <w:t>о</w:t>
      </w:r>
      <w:r w:rsidR="14B35B12">
        <w:rPr/>
        <w:t>с</w:t>
      </w:r>
      <w:r w:rsidR="14B35B12">
        <w:rPr/>
        <w:t>т</w:t>
      </w:r>
      <w:r w:rsidR="14B35B12">
        <w:rPr/>
        <w:t>и</w:t>
      </w:r>
      <w:r w:rsidR="14B35B12">
        <w:rPr/>
        <w:t>:</w:t>
      </w:r>
    </w:p>
    <w:p w:rsidR="14B35B12" w:rsidP="279939EE" w:rsidRDefault="14B35B12" w14:paraId="40F8289D" w14:noSpellErr="1" w14:textId="7AC09921">
      <w:pPr>
        <w:pStyle w:val="ListParagraph"/>
        <w:numPr>
          <w:ilvl w:val="0"/>
          <w:numId w:val="4"/>
        </w:numPr>
        <w:bidi w:val="0"/>
        <w:rPr>
          <w:sz w:val="22"/>
          <w:szCs w:val="22"/>
        </w:rPr>
      </w:pPr>
      <w:r w:rsidR="279939EE">
        <w:rPr/>
        <w:t>световая отдача источников;</w:t>
      </w:r>
    </w:p>
    <w:p w:rsidR="14B35B12" w:rsidP="14B35B12" w:rsidRDefault="14B35B12" w14:noSpellErr="1" w14:paraId="17B041E4" w14:textId="240E9137">
      <w:pPr>
        <w:pStyle w:val="ListParagraph"/>
        <w:numPr>
          <w:ilvl w:val="0"/>
          <w:numId w:val="4"/>
        </w:numPr>
        <w:bidi w:val="0"/>
        <w:rPr>
          <w:sz w:val="22"/>
          <w:szCs w:val="22"/>
        </w:rPr>
      </w:pPr>
      <w:r w:rsidR="14B35B12">
        <w:rPr/>
        <w:t>промежутки между всеми устройствами и освещаемой территорией;</w:t>
      </w:r>
    </w:p>
    <w:p w:rsidR="14B35B12" w:rsidP="14B35B12" w:rsidRDefault="14B35B12" w14:noSpellErr="1" w14:paraId="41585620" w14:textId="541E5D16">
      <w:pPr>
        <w:pStyle w:val="ListParagraph"/>
        <w:numPr>
          <w:ilvl w:val="0"/>
          <w:numId w:val="4"/>
        </w:numPr>
        <w:bidi w:val="0"/>
        <w:rPr>
          <w:sz w:val="22"/>
          <w:szCs w:val="22"/>
        </w:rPr>
      </w:pPr>
      <w:r w:rsidR="14B35B12">
        <w:rPr/>
        <w:t>угол падения света.</w:t>
      </w:r>
    </w:p>
    <w:p w:rsidR="14B35B12" w:rsidP="14B35B12" w:rsidRDefault="14B35B12" w14:noSpellErr="1" w14:paraId="6179D22D" w14:textId="42624CE2">
      <w:pPr>
        <w:pStyle w:val="Normal"/>
        <w:bidi w:val="0"/>
      </w:pPr>
      <w:r w:rsidR="14B35B12">
        <w:rPr/>
        <w:t>В нашем случае изделия для освещения представляются в качестве точечных источников, а вторичными</w:t>
      </w:r>
      <w:r w:rsidR="14B35B12">
        <w:rPr/>
        <w:t xml:space="preserve"> распределенными источниками являются освещенные стенки. </w:t>
      </w:r>
    </w:p>
    <w:p w:rsidR="14B35B12" w:rsidP="14B35B12" w:rsidRDefault="14B35B12" w14:paraId="206373E9" w14:textId="2C71AB62">
      <w:pPr>
        <w:pStyle w:val="Normal"/>
        <w:bidi w:val="0"/>
      </w:pPr>
      <w:r w:rsidR="14B35B12">
        <w:rPr/>
        <w:t>Рассчитывают освещенность в угле обзора каждой видеокамеры только для осветителей, находящихся между освещаемой зоной и источником свечения. Осветительные устройства, находящиеся далеко от записывающего устройства, неважны, ими можно п</w:t>
      </w:r>
      <w:r w:rsidR="14B35B12">
        <w:rPr/>
        <w:t xml:space="preserve">ренебречь, так как камера практически не воспринимает свет, излучаемый </w:t>
      </w:r>
      <w:proofErr w:type="spellStart"/>
      <w:r w:rsidR="14B35B12">
        <w:rPr/>
        <w:t>далекостоящими</w:t>
      </w:r>
      <w:proofErr w:type="spellEnd"/>
      <w:r w:rsidR="14B35B12">
        <w:rPr/>
        <w:t xml:space="preserve"> светильниками. Уровень освещенности определяется в двух плоскостях: горизонтальной и вертикальной. </w:t>
      </w:r>
    </w:p>
    <w:p w:rsidR="279939EE" w:rsidP="279939EE" w:rsidRDefault="279939EE" w14:noSpellErr="1" w14:paraId="777068D5" w14:textId="595647DE">
      <w:pPr>
        <w:pStyle w:val="Normal"/>
      </w:pPr>
      <w:r w:rsidR="279939EE">
        <w:rPr/>
        <w:t>Рассчитывая освещение, учитывайте также и уровень контраста объекта и заднего плана. Чем больше нарушитель будет отличаться от фона охраняемой территории, тем проще его будет обнаружить, поэтому система освещения должна максимально эффективно настраиваться. Не забывайте и о чувствительности камер: при неправильной расстановке света, видеокамера может не заметить приближающегося преступника. Помимо расчета степени освещения, подбор светильников проводится и по спектральным параметрам. При этом добиваются совпадения максимальных значений параметров ПЗС-матриц установленных камер слежения и осветителя на конкретной длине волны.</w:t>
      </w:r>
    </w:p>
    <w:p w:rsidR="14B35B12" w:rsidP="14B35B12" w:rsidRDefault="14B35B12" w14:noSpellErr="1" w14:paraId="5FA51BDC" w14:textId="2E491AE4">
      <w:pPr>
        <w:pStyle w:val="Normal"/>
      </w:pPr>
      <w:r w:rsidRPr="14B35B12" w:rsidR="14B35B12">
        <w:rPr>
          <w:rStyle w:val="Heading2Char"/>
        </w:rPr>
        <w:t>Автоматизированные системы управления</w:t>
      </w:r>
    </w:p>
    <w:p w:rsidR="14B35B12" w:rsidP="14B35B12" w:rsidRDefault="14B35B12" w14:noSpellErr="1" w14:paraId="6CADA3A0" w14:textId="54FAD621">
      <w:pPr>
        <w:pStyle w:val="Normal"/>
      </w:pPr>
      <w:r w:rsidR="14B35B12">
        <w:rPr/>
        <w:t xml:space="preserve">Оптимальная степень автономности работы и защищенности от внешнего вмешательства — параметры, обеспечиваемые правильным расчетом охранного освещения, внутреннего и </w:t>
      </w:r>
      <w:r w:rsidR="14B35B12">
        <w:rPr/>
        <w:t xml:space="preserve">наружного. Эта степень достигается путем автоматизации системы освещения. Часто для этой цели применяют датчики, сканирующие местность на движение, датчики освещенности и другие приспособления. </w:t>
      </w:r>
    </w:p>
    <w:p w:rsidR="14B35B12" w:rsidP="14B35B12" w:rsidRDefault="14B35B12" w14:noSpellErr="1" w14:paraId="60804541" w14:textId="70FAFEED">
      <w:pPr>
        <w:pStyle w:val="Normal"/>
      </w:pPr>
      <w:r w:rsidR="14B35B12">
        <w:rPr/>
        <w:t>Датчик освещенности выглядит так:</w:t>
      </w:r>
    </w:p>
    <w:p w:rsidR="14B35B12" w:rsidP="14B35B12" w:rsidRDefault="14B35B12" w14:noSpellErr="1" w14:paraId="4B436372" w14:textId="06B61231">
      <w:pPr>
        <w:pStyle w:val="Normal"/>
      </w:pPr>
      <w:r>
        <w:drawing>
          <wp:inline wp14:editId="74306B8B" wp14:anchorId="3EF85F28">
            <wp:extent cx="3810000" cy="3810000"/>
            <wp:effectExtent l="0" t="0" r="0" b="0"/>
            <wp:docPr id="1978851135" name="picture" title=""/>
            <wp:cNvGraphicFramePr>
              <a:graphicFrameLocks noChangeAspect="1"/>
            </wp:cNvGraphicFramePr>
            <a:graphic>
              <a:graphicData uri="http://schemas.openxmlformats.org/drawingml/2006/picture">
                <pic:pic>
                  <pic:nvPicPr>
                    <pic:cNvPr id="0" name="picture"/>
                    <pic:cNvPicPr/>
                  </pic:nvPicPr>
                  <pic:blipFill>
                    <a:blip r:embed="R61cabecca78041ee">
                      <a:extLst>
                        <a:ext xmlns:a="http://schemas.openxmlformats.org/drawingml/2006/main" uri="{28A0092B-C50C-407E-A947-70E740481C1C}">
                          <a14:useLocalDpi val="0"/>
                        </a:ext>
                      </a:extLst>
                    </a:blip>
                    <a:stretch>
                      <a:fillRect/>
                    </a:stretch>
                  </pic:blipFill>
                  <pic:spPr>
                    <a:xfrm>
                      <a:off x="0" y="0"/>
                      <a:ext cx="3810000" cy="3810000"/>
                    </a:xfrm>
                    <a:prstGeom prst="rect">
                      <a:avLst/>
                    </a:prstGeom>
                  </pic:spPr>
                </pic:pic>
              </a:graphicData>
            </a:graphic>
          </wp:inline>
        </w:drawing>
      </w:r>
    </w:p>
    <w:p w:rsidR="14B35B12" w:rsidP="14B35B12" w:rsidRDefault="14B35B12" w14:noSpellErr="1" w14:paraId="753A7983" w14:textId="502D5613">
      <w:pPr>
        <w:pStyle w:val="Normal"/>
      </w:pPr>
      <w:r w:rsidR="14B35B12">
        <w:rPr/>
        <w:t xml:space="preserve">Такое устройство эффективно для простого освещения периметра, так как его использование позволяет уменьшить ваше участие в процессе регулирования светильников. </w:t>
      </w:r>
    </w:p>
    <w:p w:rsidR="14B35B12" w:rsidP="14B35B12" w:rsidRDefault="14B35B12" w14:noSpellErr="1" w14:paraId="3F640986" w14:textId="479497E7">
      <w:pPr>
        <w:pStyle w:val="Normal"/>
      </w:pPr>
      <w:r w:rsidR="14B35B12">
        <w:rPr/>
        <w:t>Датчик движения выглядит так:</w:t>
      </w:r>
    </w:p>
    <w:p w:rsidR="14B35B12" w:rsidP="14B35B12" w:rsidRDefault="14B35B12" w14:noSpellErr="1" w14:paraId="7D3465DB" w14:textId="1FDEDFF8">
      <w:pPr>
        <w:pStyle w:val="Normal"/>
      </w:pPr>
      <w:r>
        <w:drawing>
          <wp:inline wp14:editId="0427633D" wp14:anchorId="4E84823F">
            <wp:extent cx="4572000" cy="4572000"/>
            <wp:effectExtent l="0" t="0" r="0" b="0"/>
            <wp:docPr id="743219180" name="picture" title=""/>
            <wp:cNvGraphicFramePr>
              <a:graphicFrameLocks noChangeAspect="1"/>
            </wp:cNvGraphicFramePr>
            <a:graphic>
              <a:graphicData uri="http://schemas.openxmlformats.org/drawingml/2006/picture">
                <pic:pic>
                  <pic:nvPicPr>
                    <pic:cNvPr id="0" name="picture"/>
                    <pic:cNvPicPr/>
                  </pic:nvPicPr>
                  <pic:blipFill>
                    <a:blip r:embed="R90b1698c0d70440b">
                      <a:extLst>
                        <a:ext xmlns:a="http://schemas.openxmlformats.org/drawingml/2006/main" uri="{28A0092B-C50C-407E-A947-70E740481C1C}">
                          <a14:useLocalDpi val="0"/>
                        </a:ext>
                      </a:extLst>
                    </a:blip>
                    <a:stretch>
                      <a:fillRect/>
                    </a:stretch>
                  </pic:blipFill>
                  <pic:spPr>
                    <a:xfrm>
                      <a:off x="0" y="0"/>
                      <a:ext cx="4572000" cy="4572000"/>
                    </a:xfrm>
                    <a:prstGeom prst="rect">
                      <a:avLst/>
                    </a:prstGeom>
                  </pic:spPr>
                </pic:pic>
              </a:graphicData>
            </a:graphic>
          </wp:inline>
        </w:drawing>
      </w:r>
    </w:p>
    <w:p w:rsidR="14B35B12" w:rsidP="14B35B12" w:rsidRDefault="14B35B12" w14:noSpellErr="1" w14:paraId="3501285E" w14:textId="6B22C0CE">
      <w:pPr>
        <w:pStyle w:val="Normal"/>
      </w:pPr>
      <w:r w:rsidR="14B35B12">
        <w:rPr/>
        <w:t xml:space="preserve">Такие виды датчиков устанавливаются при более сложных конструкциях освещения. Часто они монтируются по всему периметру и подключаются по принципу «или». Если срабатывает хоть один датчик движения, зажигаются все осветительные приборы, сигнализирующие о появлении нежелательных гостей. Не исключены ошибки, непроизвольные срабатывания или реагирование на посторонние предметы. </w:t>
      </w:r>
    </w:p>
    <w:p w:rsidR="14B35B12" w:rsidP="14B35B12" w:rsidRDefault="14B35B12" w14:noSpellErr="1" w14:paraId="1FB1939F" w14:textId="521BDD78">
      <w:pPr>
        <w:pStyle w:val="Normal"/>
      </w:pPr>
      <w:r>
        <w:drawing>
          <wp:inline wp14:editId="4247275D" wp14:anchorId="6FEB3A85">
            <wp:extent cx="4572000" cy="2286000"/>
            <wp:effectExtent l="0" t="0" r="0" b="0"/>
            <wp:docPr id="811254692" name="picture" title=""/>
            <wp:cNvGraphicFramePr>
              <a:graphicFrameLocks noChangeAspect="1"/>
            </wp:cNvGraphicFramePr>
            <a:graphic>
              <a:graphicData uri="http://schemas.openxmlformats.org/drawingml/2006/picture">
                <pic:pic>
                  <pic:nvPicPr>
                    <pic:cNvPr id="0" name="picture"/>
                    <pic:cNvPicPr/>
                  </pic:nvPicPr>
                  <pic:blipFill>
                    <a:blip r:embed="R8376ddf80bfd4807">
                      <a:extLst>
                        <a:ext xmlns:a="http://schemas.openxmlformats.org/drawingml/2006/main" uri="{28A0092B-C50C-407E-A947-70E740481C1C}">
                          <a14:useLocalDpi val="0"/>
                        </a:ext>
                      </a:extLst>
                    </a:blip>
                    <a:stretch>
                      <a:fillRect/>
                    </a:stretch>
                  </pic:blipFill>
                  <pic:spPr>
                    <a:xfrm>
                      <a:off x="0" y="0"/>
                      <a:ext cx="4572000" cy="2286000"/>
                    </a:xfrm>
                    <a:prstGeom prst="rect">
                      <a:avLst/>
                    </a:prstGeom>
                  </pic:spPr>
                </pic:pic>
              </a:graphicData>
            </a:graphic>
          </wp:inline>
        </w:drawing>
      </w:r>
    </w:p>
    <w:p w:rsidR="14B35B12" w:rsidP="14B35B12" w:rsidRDefault="14B35B12" w14:noSpellErr="1" w14:paraId="4307CA13" w14:textId="757C83DE">
      <w:pPr>
        <w:pStyle w:val="Normal"/>
      </w:pPr>
      <w:r w:rsidR="14B35B12">
        <w:rPr/>
        <w:t xml:space="preserve">Если нужно осветить крупное предприятие или просто обширную территорию, то эффективнее размещать осветители по секторам. Для включения 1 сектора может применяться до 20 датчиков. </w:t>
      </w:r>
    </w:p>
    <w:p w:rsidR="14B35B12" w:rsidP="14B35B12" w:rsidRDefault="14B35B12" w14:noSpellErr="1" w14:paraId="09C64B9C" w14:textId="663EDFB1">
      <w:pPr>
        <w:pStyle w:val="Normal"/>
      </w:pPr>
      <w:r w:rsidR="14B35B12">
        <w:rPr/>
        <w:t>Если за периметром следит охранник либо несколько охранников, целесообразнее, кроме зажигания осветителей, обозначать на мониторе охранного пункта сектор, из которого идет сигнал. Желательнее, конечно, указывать определенный датчик, чтобы сторожам было легче найти преступника. Для этого применяются мнемосхемы.</w:t>
      </w:r>
    </w:p>
    <w:p w:rsidR="14B35B12" w:rsidP="14B35B12" w:rsidRDefault="14B35B12" w14:noSpellErr="1" w14:paraId="575212D3" w14:textId="031B8527">
      <w:pPr>
        <w:pStyle w:val="Normal"/>
      </w:pPr>
      <w:r w:rsidR="14B35B12">
        <w:rPr/>
        <w:t>Мнемосхема выглядит так:</w:t>
      </w:r>
    </w:p>
    <w:p w:rsidR="14B35B12" w:rsidP="14B35B12" w:rsidRDefault="14B35B12" w14:noSpellErr="1" w14:paraId="068B8EF4" w14:textId="3B68104A">
      <w:pPr>
        <w:pStyle w:val="Normal"/>
      </w:pPr>
      <w:r>
        <w:drawing>
          <wp:inline wp14:editId="38D8EB38" wp14:anchorId="47764D85">
            <wp:extent cx="4572000" cy="3419475"/>
            <wp:effectExtent l="0" t="0" r="0" b="0"/>
            <wp:docPr id="1249934459" name="picture" title=""/>
            <wp:cNvGraphicFramePr>
              <a:graphicFrameLocks noChangeAspect="1"/>
            </wp:cNvGraphicFramePr>
            <a:graphic>
              <a:graphicData uri="http://schemas.openxmlformats.org/drawingml/2006/picture">
                <pic:pic>
                  <pic:nvPicPr>
                    <pic:cNvPr id="0" name="picture"/>
                    <pic:cNvPicPr/>
                  </pic:nvPicPr>
                  <pic:blipFill>
                    <a:blip r:embed="Rcfb6c4ea94464e90">
                      <a:extLst>
                        <a:ext xmlns:a="http://schemas.openxmlformats.org/drawingml/2006/main" uri="{28A0092B-C50C-407E-A947-70E740481C1C}">
                          <a14:useLocalDpi val="0"/>
                        </a:ext>
                      </a:extLst>
                    </a:blip>
                    <a:stretch>
                      <a:fillRect/>
                    </a:stretch>
                  </pic:blipFill>
                  <pic:spPr>
                    <a:xfrm>
                      <a:off x="0" y="0"/>
                      <a:ext cx="4572000" cy="3419475"/>
                    </a:xfrm>
                    <a:prstGeom prst="rect">
                      <a:avLst/>
                    </a:prstGeom>
                  </pic:spPr>
                </pic:pic>
              </a:graphicData>
            </a:graphic>
          </wp:inline>
        </w:drawing>
      </w:r>
    </w:p>
    <w:p w:rsidR="14B35B12" w:rsidP="14B35B12" w:rsidRDefault="14B35B12" w14:paraId="4BA36C57" w14:textId="55F2F8EC">
      <w:pPr>
        <w:pStyle w:val="Normal"/>
      </w:pPr>
      <w:r w:rsidR="279939EE">
        <w:rPr/>
        <w:t>Если у сети освещения есть аварийное питание, работающее от батарей аккумулятора, размещайте батареи в специальных помещениях. Установить аккумулятор в комнате охраны нельзя. Кроме того, устройство включения аварийного освещения рекомендуется размещать в шкафу</w:t>
      </w:r>
      <w:r w:rsidR="279939EE">
        <w:rPr/>
        <w:t>,</w:t>
      </w:r>
      <w:r w:rsidR="279939EE">
        <w:rPr/>
        <w:t xml:space="preserve"> </w:t>
      </w:r>
      <w:r w:rsidR="279939EE">
        <w:rPr/>
        <w:t>находящемся в охранном пункте</w:t>
      </w:r>
      <w:r w:rsidR="279939EE">
        <w:rPr/>
        <w:t>. Этот шкаф нужно закрыть на замок и поставить на него сигнализацию. При открытии распределительного шкафа на пульт в помещении охраны должен выходить сигнал.</w:t>
      </w:r>
    </w:p>
    <w:p w:rsidR="14B35B12" w:rsidP="14B35B12" w:rsidRDefault="14B35B12" w14:noSpellErr="1" w14:paraId="54AC066B" w14:textId="354093E3">
      <w:pPr>
        <w:pStyle w:val="Normal"/>
      </w:pPr>
      <w:r w:rsidRPr="14B35B12" w:rsidR="14B35B12">
        <w:rPr>
          <w:rStyle w:val="Heading2Char"/>
        </w:rPr>
        <w:t>Заключение</w:t>
      </w:r>
    </w:p>
    <w:p w:rsidR="14B35B12" w:rsidP="14B35B12" w:rsidRDefault="14B35B12" w14:noSpellErr="1" w14:paraId="52B23BE1" w14:textId="63FD57A7">
      <w:pPr>
        <w:pStyle w:val="Normal"/>
      </w:pPr>
      <w:r w:rsidR="14B35B12">
        <w:rPr/>
        <w:t xml:space="preserve">Как мы уже выяснили, без подробного и продуманного плана невозможно должным образом обеспечить освещение помещения или наружного периметра. Преимуществом является отсутствие жестко установленных ограничений и большого числа нормативов. Для правильного планирования лучше обратиться </w:t>
      </w:r>
      <w:r w:rsidR="14B35B12">
        <w:rPr/>
        <w:t>к</w:t>
      </w:r>
      <w:r w:rsidR="14B35B12">
        <w:rPr/>
        <w:t xml:space="preserve"> светотехнику или другому специалисту из этой сферы, так как на конечный результат влияет множество факторов: рельеф, растительность, оживленные места и так далее. </w:t>
      </w:r>
    </w:p>
    <w:p w:rsidR="14B35B12" w:rsidP="14B35B12" w:rsidRDefault="14B35B12" w14:noSpellErr="1" w14:paraId="11D90246" w14:textId="6CC429CB">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2B89C34D"/>
  <w15:docId w15:val="{530b5248-1fe3-4947-84b2-447def717349}"/>
  <w:rsids>
    <w:rsidRoot w:val="2B89C34D"/>
    <w:rsid w:val="08F0CA73"/>
    <w:rsid w:val="14B35B12"/>
    <w:rsid w:val="279939EE"/>
    <w:rsid w:val="2AFDAD5D"/>
    <w:rsid w:val="2B89C34D"/>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0595d4d741b14c1a" /><Relationship Type="http://schemas.openxmlformats.org/officeDocument/2006/relationships/image" Target="/media/image2.png" Id="Rf0c3200816ab4e7e" /><Relationship Type="http://schemas.openxmlformats.org/officeDocument/2006/relationships/image" Target="/media/image3.png" Id="R2d94f5e36dca4fb0" /><Relationship Type="http://schemas.openxmlformats.org/officeDocument/2006/relationships/image" Target="/media/image5.png" Id="R61cabecca78041ee" /><Relationship Type="http://schemas.openxmlformats.org/officeDocument/2006/relationships/image" Target="/media/image6.png" Id="R90b1698c0d70440b" /><Relationship Type="http://schemas.openxmlformats.org/officeDocument/2006/relationships/image" Target="/media/image7.png" Id="R8376ddf80bfd4807" /><Relationship Type="http://schemas.openxmlformats.org/officeDocument/2006/relationships/image" Target="/media/image8.png" Id="Rcfb6c4ea94464e90" /><Relationship Type="http://schemas.openxmlformats.org/officeDocument/2006/relationships/image" Target="/media/image9.png" Id="Rda21a6eec296415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2018-11-23T20:41:13.5412452Z</dcterms:created>
  <dcterms:modified xsi:type="dcterms:W3CDTF">2018-11-27T12:28:31.7044247Z</dcterms:modified>
  <dc:creator>Ggg Ggg</dc:creator>
  <lastModifiedBy>Ggg Ggg</lastModifiedBy>
</coreProperties>
</file>