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      Печінка, найбільший внутрішній орган людського організму. Цей невтомний “працівник”  забезпечує понад 500 життєво важливих функцій. Лише за одну хвилину печінка пропускає через себе 1,5 літри крові, тобто за добу це майже дві тисячі літрів, забезпечуючи при цьому біля півмільйона біохімічних процесів.  Печінка - єдиний орган, що має унікальну здатність до відновлення. Вона здібна відновити повністю свій первинний  об'єм, навіть  якщо від неї залишилося лише 25%. Це і дає можливість успішно проводити операції по пересадці печінки. В разі, коли людина жертвує 50% своєї печінки для пересадки, то в середньому на протязі  2 тижнів печінка повертається до свого об'єму.</w:t>
      </w:r>
    </w:p>
    <w:p w:rsidR="00000000" w:rsidDel="00000000" w:rsidP="00000000" w:rsidRDefault="00000000" w:rsidRPr="00000000" w14:paraId="00000002">
      <w:pPr>
        <w:rPr/>
      </w:pPr>
      <w:r w:rsidDel="00000000" w:rsidR="00000000" w:rsidRPr="00000000">
        <w:rPr>
          <w:rtl w:val="0"/>
        </w:rPr>
        <w:t xml:space="preserve">При всій своїй унікальності і такій неймовирний працездатності печінка має великий недолік - вона не подає сигнали SOS  коли їй погано. Печінка немає нервових рецепторів, тому при виникненні захворювання не виникає ніяких сторонніх відчуттів. Лише печінкова капсула має нервові закінчення, що здібні до больової чутливості. Тому біль відчувається тільки тоді, коли печінка збільшується в об'ємі і капсула перерозтягується. Це визиває відчуття дискомфорту та тяжкість в правому підребер'ї, що не завжди приводить пацієнта до думки про проблеми зі здоров'ям. А до цього моменту тканина печінки , на жаль, вже зазнає суттєвих ушкоджень. Це і є головна небезпека і складність в ранньому діагностуванні.</w:t>
      </w:r>
    </w:p>
    <w:p w:rsidR="00000000" w:rsidDel="00000000" w:rsidP="00000000" w:rsidRDefault="00000000" w:rsidRPr="00000000" w14:paraId="00000003">
      <w:pPr>
        <w:rPr/>
      </w:pPr>
      <w:r w:rsidDel="00000000" w:rsidR="00000000" w:rsidRPr="00000000">
        <w:rPr>
          <w:rtl w:val="0"/>
        </w:rPr>
        <w:t xml:space="preserve">Сумну статистику з цього приводу констатує ВОЗ, згідно котрої кожен четвертий житель східноєвропейської частини Европи має хронічні захворювання печінки, а в найближче десятиліття ця цифра зросте на 60% [1].  </w:t>
      </w:r>
    </w:p>
    <w:p w:rsidR="00000000" w:rsidDel="00000000" w:rsidP="00000000" w:rsidRDefault="00000000" w:rsidRPr="00000000" w14:paraId="00000004">
      <w:pPr>
        <w:rPr>
          <w:sz w:val="21"/>
          <w:szCs w:val="21"/>
          <w:highlight w:val="white"/>
        </w:rPr>
      </w:pPr>
      <w:r w:rsidDel="00000000" w:rsidR="00000000" w:rsidRPr="00000000">
        <w:rPr>
          <w:rtl w:val="0"/>
        </w:rPr>
        <w:t xml:space="preserve">Захворювання печінки зазвичай протікають безсимптомно, можуть спричиняти захворювання інших органів та систем, а також маскуватися  під інші захворювання. </w:t>
      </w:r>
      <w:r w:rsidDel="00000000" w:rsidR="00000000" w:rsidRPr="00000000">
        <w:rPr>
          <w:sz w:val="21"/>
          <w:szCs w:val="21"/>
          <w:highlight w:val="white"/>
          <w:rtl w:val="0"/>
        </w:rPr>
        <w:t xml:space="preserve">Навіть пацієнти з </w:t>
      </w:r>
      <w:hyperlink r:id="rId6">
        <w:r w:rsidDel="00000000" w:rsidR="00000000" w:rsidRPr="00000000">
          <w:rPr>
            <w:sz w:val="21"/>
            <w:szCs w:val="21"/>
            <w:highlight w:val="white"/>
            <w:u w:val="single"/>
            <w:rtl w:val="0"/>
          </w:rPr>
          <w:t xml:space="preserve">цирозом</w:t>
        </w:r>
      </w:hyperlink>
      <w:r w:rsidDel="00000000" w:rsidR="00000000" w:rsidRPr="00000000">
        <w:rPr>
          <w:sz w:val="21"/>
          <w:szCs w:val="21"/>
          <w:highlight w:val="white"/>
          <w:rtl w:val="0"/>
        </w:rPr>
        <w:t xml:space="preserve"> можуть мати  безсимптомний перебіг хвороби і не ідентифікувати жодних ознак хронічного захворювання [2].  При вірусному гепатиті єдиним симптомом на протязі довгого часу може бути лише астенічний симптом - підвищена втома та слабкість.</w:t>
      </w:r>
    </w:p>
    <w:p w:rsidR="00000000" w:rsidDel="00000000" w:rsidP="00000000" w:rsidRDefault="00000000" w:rsidRPr="00000000" w14:paraId="00000005">
      <w:pPr>
        <w:rPr>
          <w:sz w:val="21"/>
          <w:szCs w:val="21"/>
          <w:highlight w:val="white"/>
        </w:rPr>
      </w:pPr>
      <w:r w:rsidDel="00000000" w:rsidR="00000000" w:rsidRPr="00000000">
        <w:rPr>
          <w:sz w:val="21"/>
          <w:szCs w:val="21"/>
          <w:highlight w:val="white"/>
          <w:rtl w:val="0"/>
        </w:rPr>
        <w:t xml:space="preserve"> Лікування, у випадку тяжких уражень тканин печінки є складним, тривалим та малоефективним. А ось рання діагностика здатна виявити захворювання печінки, коли проблему можна вирішити легко, а головне - назавжди. </w:t>
      </w:r>
    </w:p>
    <w:p w:rsidR="00000000" w:rsidDel="00000000" w:rsidP="00000000" w:rsidRDefault="00000000" w:rsidRPr="00000000" w14:paraId="00000006">
      <w:pPr>
        <w:rPr>
          <w:color w:val="2d2d2d"/>
          <w:sz w:val="21"/>
          <w:szCs w:val="21"/>
          <w:highlight w:val="white"/>
        </w:rPr>
      </w:pPr>
      <w:r w:rsidDel="00000000" w:rsidR="00000000" w:rsidRPr="00000000">
        <w:rPr>
          <w:sz w:val="21"/>
          <w:szCs w:val="21"/>
          <w:highlight w:val="white"/>
          <w:rtl w:val="0"/>
        </w:rPr>
        <w:t xml:space="preserve"> Рекомендовано звернути увагу на стан печінки якщо спостерігається:</w:t>
      </w:r>
      <w:r w:rsidDel="00000000" w:rsidR="00000000" w:rsidRPr="00000000">
        <w:rPr>
          <w:rtl w:val="0"/>
        </w:rPr>
      </w:r>
    </w:p>
    <w:p w:rsidR="00000000" w:rsidDel="00000000" w:rsidP="00000000" w:rsidRDefault="00000000" w:rsidRPr="00000000" w14:paraId="00000007">
      <w:pPr>
        <w:numPr>
          <w:ilvl w:val="0"/>
          <w:numId w:val="1"/>
        </w:numPr>
        <w:ind w:left="720" w:hanging="360"/>
        <w:rPr>
          <w:sz w:val="21"/>
          <w:szCs w:val="21"/>
          <w:highlight w:val="white"/>
        </w:rPr>
      </w:pPr>
      <w:r w:rsidDel="00000000" w:rsidR="00000000" w:rsidRPr="00000000">
        <w:rPr>
          <w:sz w:val="21"/>
          <w:szCs w:val="21"/>
          <w:highlight w:val="white"/>
          <w:rtl w:val="0"/>
        </w:rPr>
        <w:t xml:space="preserve">зниження апетиту та втрата ваги ;</w:t>
      </w:r>
    </w:p>
    <w:p w:rsidR="00000000" w:rsidDel="00000000" w:rsidP="00000000" w:rsidRDefault="00000000" w:rsidRPr="00000000" w14:paraId="00000008">
      <w:pPr>
        <w:numPr>
          <w:ilvl w:val="0"/>
          <w:numId w:val="1"/>
        </w:numPr>
        <w:ind w:left="720" w:hanging="360"/>
        <w:rPr>
          <w:sz w:val="21"/>
          <w:szCs w:val="21"/>
          <w:highlight w:val="white"/>
        </w:rPr>
      </w:pPr>
      <w:r w:rsidDel="00000000" w:rsidR="00000000" w:rsidRPr="00000000">
        <w:rPr>
          <w:sz w:val="21"/>
          <w:szCs w:val="21"/>
          <w:highlight w:val="white"/>
          <w:rtl w:val="0"/>
        </w:rPr>
        <w:t xml:space="preserve">абдомінальне ожиріння; </w:t>
      </w:r>
    </w:p>
    <w:p w:rsidR="00000000" w:rsidDel="00000000" w:rsidP="00000000" w:rsidRDefault="00000000" w:rsidRPr="00000000" w14:paraId="00000009">
      <w:pPr>
        <w:ind w:left="0" w:firstLine="0"/>
        <w:rPr>
          <w:sz w:val="21"/>
          <w:szCs w:val="21"/>
          <w:highlight w:val="white"/>
        </w:rPr>
      </w:pPr>
      <w:r w:rsidDel="00000000" w:rsidR="00000000" w:rsidRPr="00000000">
        <w:rPr>
          <w:sz w:val="21"/>
          <w:szCs w:val="21"/>
          <w:highlight w:val="white"/>
          <w:rtl w:val="0"/>
        </w:rPr>
        <w:t xml:space="preserve">      -     тривалий (безконтрольний) прийом лікарських препаратів в тому числі гормональних контрацептивів;</w:t>
      </w:r>
    </w:p>
    <w:p w:rsidR="00000000" w:rsidDel="00000000" w:rsidP="00000000" w:rsidRDefault="00000000" w:rsidRPr="00000000" w14:paraId="0000000A">
      <w:pPr>
        <w:numPr>
          <w:ilvl w:val="0"/>
          <w:numId w:val="1"/>
        </w:numPr>
        <w:ind w:left="720" w:hanging="360"/>
        <w:rPr>
          <w:sz w:val="21"/>
          <w:szCs w:val="21"/>
          <w:highlight w:val="white"/>
        </w:rPr>
      </w:pPr>
      <w:r w:rsidDel="00000000" w:rsidR="00000000" w:rsidRPr="00000000">
        <w:rPr>
          <w:sz w:val="21"/>
          <w:szCs w:val="21"/>
          <w:highlight w:val="white"/>
          <w:rtl w:val="0"/>
        </w:rPr>
        <w:t xml:space="preserve">цукровий діабет 2 типу; </w:t>
      </w:r>
    </w:p>
    <w:p w:rsidR="00000000" w:rsidDel="00000000" w:rsidP="00000000" w:rsidRDefault="00000000" w:rsidRPr="00000000" w14:paraId="0000000B">
      <w:pPr>
        <w:numPr>
          <w:ilvl w:val="0"/>
          <w:numId w:val="1"/>
        </w:numPr>
        <w:ind w:left="720" w:hanging="360"/>
        <w:rPr>
          <w:sz w:val="21"/>
          <w:szCs w:val="21"/>
          <w:highlight w:val="white"/>
        </w:rPr>
      </w:pPr>
      <w:r w:rsidDel="00000000" w:rsidR="00000000" w:rsidRPr="00000000">
        <w:rPr>
          <w:sz w:val="21"/>
          <w:szCs w:val="21"/>
          <w:highlight w:val="white"/>
          <w:rtl w:val="0"/>
        </w:rPr>
        <w:t xml:space="preserve">хронічний стрес; </w:t>
      </w:r>
    </w:p>
    <w:p w:rsidR="00000000" w:rsidDel="00000000" w:rsidP="00000000" w:rsidRDefault="00000000" w:rsidRPr="00000000" w14:paraId="0000000C">
      <w:pPr>
        <w:numPr>
          <w:ilvl w:val="0"/>
          <w:numId w:val="1"/>
        </w:numPr>
        <w:ind w:left="720" w:hanging="360"/>
        <w:rPr>
          <w:sz w:val="21"/>
          <w:szCs w:val="21"/>
          <w:highlight w:val="white"/>
        </w:rPr>
      </w:pPr>
      <w:r w:rsidDel="00000000" w:rsidR="00000000" w:rsidRPr="00000000">
        <w:rPr>
          <w:sz w:val="21"/>
          <w:szCs w:val="21"/>
          <w:highlight w:val="white"/>
          <w:rtl w:val="0"/>
        </w:rPr>
        <w:t xml:space="preserve">після перенесених інфекційних захворювань, особливо середня і важка форма COVID-19[3];</w:t>
      </w:r>
    </w:p>
    <w:p w:rsidR="00000000" w:rsidDel="00000000" w:rsidP="00000000" w:rsidRDefault="00000000" w:rsidRPr="00000000" w14:paraId="0000000D">
      <w:pPr>
        <w:numPr>
          <w:ilvl w:val="0"/>
          <w:numId w:val="1"/>
        </w:numPr>
        <w:ind w:left="720" w:hanging="360"/>
        <w:rPr>
          <w:sz w:val="21"/>
          <w:szCs w:val="21"/>
          <w:highlight w:val="white"/>
        </w:rPr>
      </w:pPr>
      <w:r w:rsidDel="00000000" w:rsidR="00000000" w:rsidRPr="00000000">
        <w:rPr>
          <w:sz w:val="21"/>
          <w:szCs w:val="21"/>
          <w:highlight w:val="white"/>
          <w:rtl w:val="0"/>
        </w:rPr>
        <w:t xml:space="preserve">постійна втома та загальна слабкість;</w:t>
      </w:r>
    </w:p>
    <w:p w:rsidR="00000000" w:rsidDel="00000000" w:rsidP="00000000" w:rsidRDefault="00000000" w:rsidRPr="00000000" w14:paraId="0000000E">
      <w:pPr>
        <w:numPr>
          <w:ilvl w:val="0"/>
          <w:numId w:val="1"/>
        </w:numPr>
        <w:ind w:left="720" w:hanging="360"/>
        <w:rPr>
          <w:sz w:val="21"/>
          <w:szCs w:val="21"/>
          <w:highlight w:val="white"/>
        </w:rPr>
      </w:pPr>
      <w:r w:rsidDel="00000000" w:rsidR="00000000" w:rsidRPr="00000000">
        <w:rPr>
          <w:sz w:val="21"/>
          <w:szCs w:val="21"/>
          <w:highlight w:val="white"/>
          <w:rtl w:val="0"/>
        </w:rPr>
        <w:t xml:space="preserve">відчуття гіркоти та неприємного присмаку в роті,зміна смакових відчуттів ;</w:t>
      </w:r>
    </w:p>
    <w:p w:rsidR="00000000" w:rsidDel="00000000" w:rsidP="00000000" w:rsidRDefault="00000000" w:rsidRPr="00000000" w14:paraId="0000000F">
      <w:pPr>
        <w:numPr>
          <w:ilvl w:val="0"/>
          <w:numId w:val="1"/>
        </w:numPr>
        <w:ind w:left="720" w:hanging="360"/>
        <w:rPr>
          <w:sz w:val="21"/>
          <w:szCs w:val="21"/>
          <w:highlight w:val="white"/>
        </w:rPr>
      </w:pPr>
      <w:r w:rsidDel="00000000" w:rsidR="00000000" w:rsidRPr="00000000">
        <w:rPr>
          <w:sz w:val="21"/>
          <w:szCs w:val="21"/>
          <w:highlight w:val="white"/>
          <w:rtl w:val="0"/>
        </w:rPr>
        <w:t xml:space="preserve">здуття, тошнота;</w:t>
      </w:r>
    </w:p>
    <w:p w:rsidR="00000000" w:rsidDel="00000000" w:rsidP="00000000" w:rsidRDefault="00000000" w:rsidRPr="00000000" w14:paraId="00000010">
      <w:pPr>
        <w:numPr>
          <w:ilvl w:val="0"/>
          <w:numId w:val="1"/>
        </w:numPr>
        <w:ind w:left="720" w:hanging="360"/>
        <w:rPr>
          <w:sz w:val="21"/>
          <w:szCs w:val="21"/>
          <w:highlight w:val="white"/>
        </w:rPr>
      </w:pPr>
      <w:r w:rsidDel="00000000" w:rsidR="00000000" w:rsidRPr="00000000">
        <w:rPr>
          <w:sz w:val="21"/>
          <w:szCs w:val="21"/>
          <w:highlight w:val="white"/>
          <w:rtl w:val="0"/>
        </w:rPr>
        <w:t xml:space="preserve"> алергични реакції;</w:t>
      </w:r>
    </w:p>
    <w:p w:rsidR="00000000" w:rsidDel="00000000" w:rsidP="00000000" w:rsidRDefault="00000000" w:rsidRPr="00000000" w14:paraId="00000011">
      <w:pPr>
        <w:ind w:left="720" w:firstLine="0"/>
        <w:rPr>
          <w:color w:val="2d2d2d"/>
          <w:sz w:val="21"/>
          <w:szCs w:val="21"/>
          <w:highlight w:val="white"/>
        </w:rPr>
      </w:pPr>
      <w:r w:rsidDel="00000000" w:rsidR="00000000" w:rsidRPr="00000000">
        <w:rPr>
          <w:rtl w:val="0"/>
        </w:rPr>
      </w:r>
    </w:p>
    <w:p w:rsidR="00000000" w:rsidDel="00000000" w:rsidP="00000000" w:rsidRDefault="00000000" w:rsidRPr="00000000" w14:paraId="00000012">
      <w:pPr>
        <w:ind w:left="0" w:firstLine="0"/>
        <w:rPr>
          <w:sz w:val="21"/>
          <w:szCs w:val="21"/>
          <w:highlight w:val="white"/>
        </w:rPr>
      </w:pPr>
      <w:r w:rsidDel="00000000" w:rsidR="00000000" w:rsidRPr="00000000">
        <w:rPr>
          <w:sz w:val="21"/>
          <w:szCs w:val="21"/>
          <w:highlight w:val="white"/>
          <w:rtl w:val="0"/>
        </w:rPr>
        <w:t xml:space="preserve">Особливу увагу хотілося б приділити сигналам проблем печінки, що проявляються на шкірі. Адже шкіра як дзеркало відображає стан внутрішніх органів і є маркером нашого здоров'я. Так , наприклад, сухість шкіри , тріщини в куточках роту [4] , алергічні реакції, телеангіектазії- судинні “зірочки”, жирність шкіри та часті висипання, гіперпігментація, втрата еластичності [5] - все це проблеми шкіри, що можуть виникати на фоні ураження печінки і порушень функцій, що вона виконує. </w:t>
      </w:r>
    </w:p>
    <w:p w:rsidR="00000000" w:rsidDel="00000000" w:rsidP="00000000" w:rsidRDefault="00000000" w:rsidRPr="00000000" w14:paraId="00000013">
      <w:pPr>
        <w:ind w:left="0" w:firstLine="0"/>
        <w:rPr>
          <w:sz w:val="21"/>
          <w:szCs w:val="21"/>
          <w:highlight w:val="white"/>
        </w:rPr>
      </w:pPr>
      <w:r w:rsidDel="00000000" w:rsidR="00000000" w:rsidRPr="00000000">
        <w:rPr>
          <w:sz w:val="21"/>
          <w:szCs w:val="21"/>
          <w:highlight w:val="white"/>
          <w:rtl w:val="0"/>
        </w:rPr>
        <w:t xml:space="preserve"> Це стосується і прихильників  дієт, особливо спортивних протеїнових.</w:t>
      </w:r>
    </w:p>
    <w:p w:rsidR="00000000" w:rsidDel="00000000" w:rsidP="00000000" w:rsidRDefault="00000000" w:rsidRPr="00000000" w14:paraId="00000014">
      <w:pPr>
        <w:ind w:left="0" w:firstLine="0"/>
        <w:rPr>
          <w:sz w:val="21"/>
          <w:szCs w:val="21"/>
          <w:highlight w:val="white"/>
        </w:rPr>
      </w:pPr>
      <w:r w:rsidDel="00000000" w:rsidR="00000000" w:rsidRPr="00000000">
        <w:rPr>
          <w:sz w:val="21"/>
          <w:szCs w:val="21"/>
          <w:highlight w:val="white"/>
          <w:rtl w:val="0"/>
        </w:rPr>
        <w:t xml:space="preserve"> </w:t>
      </w:r>
    </w:p>
    <w:p w:rsidR="00000000" w:rsidDel="00000000" w:rsidP="00000000" w:rsidRDefault="00000000" w:rsidRPr="00000000" w14:paraId="00000015">
      <w:pPr>
        <w:ind w:left="0" w:firstLine="0"/>
        <w:rPr>
          <w:sz w:val="21"/>
          <w:szCs w:val="21"/>
          <w:highlight w:val="white"/>
        </w:rPr>
      </w:pPr>
      <w:r w:rsidDel="00000000" w:rsidR="00000000" w:rsidRPr="00000000">
        <w:rPr>
          <w:sz w:val="21"/>
          <w:szCs w:val="21"/>
          <w:highlight w:val="white"/>
          <w:rtl w:val="0"/>
        </w:rPr>
        <w:t xml:space="preserve">Ви прикладаєте багато зусиль щоб схуднути , та нічого не допомагає? Зверніть увагу на печінку!  </w:t>
      </w:r>
    </w:p>
    <w:p w:rsidR="00000000" w:rsidDel="00000000" w:rsidP="00000000" w:rsidRDefault="00000000" w:rsidRPr="00000000" w14:paraId="00000016">
      <w:pPr>
        <w:ind w:left="0" w:firstLine="0"/>
        <w:rPr>
          <w:color w:val="2d2d2d"/>
          <w:sz w:val="21"/>
          <w:szCs w:val="21"/>
          <w:highlight w:val="white"/>
        </w:rPr>
      </w:pPr>
      <w:r w:rsidDel="00000000" w:rsidR="00000000" w:rsidRPr="00000000">
        <w:rPr>
          <w:rtl w:val="0"/>
        </w:rPr>
      </w:r>
    </w:p>
    <w:p w:rsidR="00000000" w:rsidDel="00000000" w:rsidP="00000000" w:rsidRDefault="00000000" w:rsidRPr="00000000" w14:paraId="00000017">
      <w:pPr>
        <w:ind w:left="0" w:firstLine="0"/>
        <w:rPr>
          <w:color w:val="2d2d2d"/>
          <w:sz w:val="21"/>
          <w:szCs w:val="21"/>
          <w:highlight w:val="white"/>
        </w:rPr>
      </w:pPr>
      <w:r w:rsidDel="00000000" w:rsidR="00000000" w:rsidRPr="00000000">
        <w:rPr>
          <w:rtl w:val="0"/>
        </w:rPr>
      </w:r>
    </w:p>
    <w:p w:rsidR="00000000" w:rsidDel="00000000" w:rsidP="00000000" w:rsidRDefault="00000000" w:rsidRPr="00000000" w14:paraId="00000018">
      <w:pPr>
        <w:ind w:left="0" w:firstLine="0"/>
        <w:rPr>
          <w:sz w:val="21"/>
          <w:szCs w:val="21"/>
          <w:highlight w:val="white"/>
        </w:rPr>
      </w:pPr>
      <w:r w:rsidDel="00000000" w:rsidR="00000000" w:rsidRPr="00000000">
        <w:rPr>
          <w:sz w:val="21"/>
          <w:szCs w:val="21"/>
          <w:highlight w:val="white"/>
          <w:rtl w:val="0"/>
        </w:rPr>
        <w:t xml:space="preserve">Варто пам'ятати - відсутність симптомів не дає гарантії , що з печінкою все добре.</w:t>
      </w:r>
    </w:p>
    <w:p w:rsidR="00000000" w:rsidDel="00000000" w:rsidP="00000000" w:rsidRDefault="00000000" w:rsidRPr="00000000" w14:paraId="00000019">
      <w:pPr>
        <w:ind w:left="0" w:firstLine="0"/>
        <w:rPr>
          <w:sz w:val="21"/>
          <w:szCs w:val="21"/>
          <w:highlight w:val="white"/>
        </w:rPr>
      </w:pPr>
      <w:r w:rsidDel="00000000" w:rsidR="00000000" w:rsidRPr="00000000">
        <w:rPr>
          <w:sz w:val="21"/>
          <w:szCs w:val="21"/>
          <w:highlight w:val="white"/>
          <w:rtl w:val="0"/>
        </w:rPr>
        <w:t xml:space="preserve">Навіть незначні “натяки” можуть бути сигналом печінки про допомогу.</w:t>
      </w:r>
    </w:p>
    <w:p w:rsidR="00000000" w:rsidDel="00000000" w:rsidP="00000000" w:rsidRDefault="00000000" w:rsidRPr="00000000" w14:paraId="0000001A">
      <w:pPr>
        <w:ind w:left="0" w:firstLine="0"/>
        <w:rPr>
          <w:sz w:val="21"/>
          <w:szCs w:val="21"/>
          <w:highlight w:val="white"/>
        </w:rPr>
      </w:pPr>
      <w:r w:rsidDel="00000000" w:rsidR="00000000" w:rsidRPr="00000000">
        <w:rPr>
          <w:sz w:val="21"/>
          <w:szCs w:val="21"/>
          <w:highlight w:val="white"/>
          <w:rtl w:val="0"/>
        </w:rPr>
        <w:t xml:space="preserve">                </w:t>
      </w:r>
    </w:p>
    <w:p w:rsidR="00000000" w:rsidDel="00000000" w:rsidP="00000000" w:rsidRDefault="00000000" w:rsidRPr="00000000" w14:paraId="0000001B">
      <w:pPr>
        <w:ind w:left="0" w:firstLine="0"/>
        <w:rPr>
          <w:sz w:val="21"/>
          <w:szCs w:val="21"/>
          <w:highlight w:val="white"/>
        </w:rPr>
      </w:pPr>
      <w:r w:rsidDel="00000000" w:rsidR="00000000" w:rsidRPr="00000000">
        <w:rPr>
          <w:sz w:val="21"/>
          <w:szCs w:val="21"/>
          <w:highlight w:val="white"/>
          <w:rtl w:val="0"/>
        </w:rPr>
        <w:t xml:space="preserve">Онлайн - тест на основі ваших звичок та способу життя  за лічені хвилини допоможе розвіяти сумніви та оцінити вірогідність наявності захворювання печінки! </w:t>
      </w:r>
    </w:p>
    <w:p w:rsidR="00000000" w:rsidDel="00000000" w:rsidP="00000000" w:rsidRDefault="00000000" w:rsidRPr="00000000" w14:paraId="0000001C">
      <w:pPr>
        <w:ind w:left="0" w:firstLine="0"/>
        <w:rPr>
          <w:sz w:val="21"/>
          <w:szCs w:val="21"/>
          <w:highlight w:val="white"/>
        </w:rPr>
      </w:pPr>
      <w:r w:rsidDel="00000000" w:rsidR="00000000" w:rsidRPr="00000000">
        <w:rPr>
          <w:rtl w:val="0"/>
        </w:rPr>
      </w:r>
    </w:p>
    <w:p w:rsidR="00000000" w:rsidDel="00000000" w:rsidP="00000000" w:rsidRDefault="00000000" w:rsidRPr="00000000" w14:paraId="0000001D">
      <w:pPr>
        <w:rPr>
          <w:sz w:val="21"/>
          <w:szCs w:val="21"/>
          <w:highlight w:val="white"/>
        </w:rPr>
      </w:pPr>
      <w:r w:rsidDel="00000000" w:rsidR="00000000" w:rsidRPr="00000000">
        <w:rPr>
          <w:sz w:val="21"/>
          <w:szCs w:val="21"/>
          <w:highlight w:val="white"/>
          <w:rtl w:val="0"/>
        </w:rPr>
        <w:t xml:space="preserve">                     Будьте пильні та турбуйтесь про своє здоров'я та оточуючих!</w:t>
      </w:r>
    </w:p>
    <w:p w:rsidR="00000000" w:rsidDel="00000000" w:rsidP="00000000" w:rsidRDefault="00000000" w:rsidRPr="00000000" w14:paraId="0000001E">
      <w:pPr>
        <w:ind w:left="0" w:firstLine="0"/>
        <w:rPr>
          <w:sz w:val="21"/>
          <w:szCs w:val="21"/>
          <w:highlight w:val="white"/>
        </w:rPr>
      </w:pPr>
      <w:r w:rsidDel="00000000" w:rsidR="00000000" w:rsidRPr="00000000">
        <w:rPr>
          <w:rtl w:val="0"/>
        </w:rPr>
      </w:r>
    </w:p>
    <w:p w:rsidR="00000000" w:rsidDel="00000000" w:rsidP="00000000" w:rsidRDefault="00000000" w:rsidRPr="00000000" w14:paraId="0000001F">
      <w:pPr>
        <w:ind w:left="720" w:firstLine="0"/>
        <w:rPr>
          <w:color w:val="2d2d2d"/>
          <w:sz w:val="21"/>
          <w:szCs w:val="21"/>
          <w:highlight w:val="white"/>
        </w:rPr>
      </w:pPr>
      <w:r w:rsidDel="00000000" w:rsidR="00000000" w:rsidRPr="00000000">
        <w:rPr>
          <w:rtl w:val="0"/>
        </w:rPr>
      </w:r>
    </w:p>
    <w:p w:rsidR="00000000" w:rsidDel="00000000" w:rsidP="00000000" w:rsidRDefault="00000000" w:rsidRPr="00000000" w14:paraId="00000020">
      <w:pPr>
        <w:ind w:left="720" w:firstLine="0"/>
        <w:rPr>
          <w:color w:val="2d2d2d"/>
          <w:sz w:val="21"/>
          <w:szCs w:val="21"/>
          <w:highlight w:val="white"/>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 </w:t>
      </w:r>
    </w:p>
    <w:p w:rsidR="00000000" w:rsidDel="00000000" w:rsidP="00000000" w:rsidRDefault="00000000" w:rsidRPr="00000000" w14:paraId="00000022">
      <w:pPr>
        <w:rPr>
          <w:color w:val="222222"/>
          <w:sz w:val="21"/>
          <w:szCs w:val="21"/>
          <w:highlight w:val="white"/>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9fafb" w:val="clear"/>
        <w:rPr>
          <w:rFonts w:ascii="Roboto" w:cs="Roboto" w:eastAsia="Roboto" w:hAnsi="Roboto"/>
          <w:i w:val="1"/>
          <w:color w:val="3c4052"/>
          <w:sz w:val="20"/>
          <w:szCs w:val="20"/>
          <w:highlight w:val="white"/>
        </w:rPr>
      </w:pPr>
      <w:r w:rsidDel="00000000" w:rsidR="00000000" w:rsidRPr="00000000">
        <w:rPr>
          <w:rFonts w:ascii="Roboto" w:cs="Roboto" w:eastAsia="Roboto" w:hAnsi="Roboto"/>
          <w:i w:val="1"/>
          <w:color w:val="3c4052"/>
          <w:sz w:val="20"/>
          <w:szCs w:val="20"/>
          <w:highlight w:val="white"/>
          <w:rtl w:val="0"/>
        </w:rPr>
        <w:t xml:space="preserve">1.Ghany MG, Strader DB, Thomas DL, Seeff LB.</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9fafb" w:val="clear"/>
        <w:rPr>
          <w:rFonts w:ascii="Roboto" w:cs="Roboto" w:eastAsia="Roboto" w:hAnsi="Roboto"/>
          <w:i w:val="1"/>
          <w:color w:val="3c4052"/>
          <w:sz w:val="20"/>
          <w:szCs w:val="20"/>
          <w:highlight w:val="white"/>
        </w:rPr>
      </w:pPr>
      <w:r w:rsidDel="00000000" w:rsidR="00000000" w:rsidRPr="00000000">
        <w:rPr>
          <w:rFonts w:ascii="Roboto" w:cs="Roboto" w:eastAsia="Roboto" w:hAnsi="Roboto"/>
          <w:i w:val="1"/>
          <w:color w:val="3c4052"/>
          <w:sz w:val="20"/>
          <w:szCs w:val="20"/>
          <w:highlight w:val="white"/>
          <w:rtl w:val="0"/>
        </w:rPr>
        <w:t xml:space="preserve">American Association for the Study of Liver</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9fafb" w:val="clear"/>
        <w:rPr>
          <w:rFonts w:ascii="Roboto" w:cs="Roboto" w:eastAsia="Roboto" w:hAnsi="Roboto"/>
          <w:i w:val="1"/>
          <w:color w:val="3c4052"/>
          <w:sz w:val="20"/>
          <w:szCs w:val="20"/>
          <w:highlight w:val="white"/>
        </w:rPr>
      </w:pPr>
      <w:r w:rsidDel="00000000" w:rsidR="00000000" w:rsidRPr="00000000">
        <w:rPr>
          <w:rFonts w:ascii="Roboto" w:cs="Roboto" w:eastAsia="Roboto" w:hAnsi="Roboto"/>
          <w:i w:val="1"/>
          <w:color w:val="3c4052"/>
          <w:sz w:val="20"/>
          <w:szCs w:val="20"/>
          <w:highlight w:val="white"/>
          <w:rtl w:val="0"/>
        </w:rPr>
        <w:t xml:space="preserve">Diseases. Diagnosis, management, and treatment of</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9fafb" w:val="clear"/>
        <w:rPr>
          <w:rFonts w:ascii="Roboto" w:cs="Roboto" w:eastAsia="Roboto" w:hAnsi="Roboto"/>
          <w:i w:val="1"/>
          <w:color w:val="3c4052"/>
          <w:sz w:val="20"/>
          <w:szCs w:val="20"/>
          <w:highlight w:val="white"/>
        </w:rPr>
      </w:pPr>
      <w:r w:rsidDel="00000000" w:rsidR="00000000" w:rsidRPr="00000000">
        <w:rPr>
          <w:rFonts w:ascii="Roboto" w:cs="Roboto" w:eastAsia="Roboto" w:hAnsi="Roboto"/>
          <w:i w:val="1"/>
          <w:color w:val="3c4052"/>
          <w:sz w:val="20"/>
          <w:szCs w:val="20"/>
          <w:highlight w:val="white"/>
          <w:rtl w:val="0"/>
        </w:rPr>
        <w:t xml:space="preserve">hepatitis C: an update. // Hepatol., 2018. - vol. 49. -</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9fafb" w:val="clear"/>
        <w:rPr>
          <w:rFonts w:ascii="Roboto" w:cs="Roboto" w:eastAsia="Roboto" w:hAnsi="Roboto"/>
          <w:i w:val="1"/>
          <w:color w:val="3c4052"/>
          <w:sz w:val="20"/>
          <w:szCs w:val="20"/>
          <w:highlight w:val="white"/>
        </w:rPr>
      </w:pPr>
      <w:r w:rsidDel="00000000" w:rsidR="00000000" w:rsidRPr="00000000">
        <w:rPr>
          <w:rFonts w:ascii="Roboto" w:cs="Roboto" w:eastAsia="Roboto" w:hAnsi="Roboto"/>
          <w:i w:val="1"/>
          <w:color w:val="3c4052"/>
          <w:sz w:val="20"/>
          <w:szCs w:val="20"/>
          <w:highlight w:val="white"/>
          <w:rtl w:val="0"/>
        </w:rPr>
        <w:t xml:space="preserve">pp. 1335-1374.</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9fafb" w:val="clear"/>
        <w:rPr>
          <w:rFonts w:ascii="Roboto" w:cs="Roboto" w:eastAsia="Roboto" w:hAnsi="Roboto"/>
          <w:i w:val="1"/>
          <w:color w:val="3c4052"/>
          <w:sz w:val="20"/>
          <w:szCs w:val="20"/>
          <w:highlight w:val="white"/>
        </w:rPr>
      </w:pPr>
      <w:r w:rsidDel="00000000" w:rsidR="00000000" w:rsidRPr="00000000">
        <w:rPr>
          <w:rtl w:val="0"/>
        </w:rPr>
      </w:r>
    </w:p>
    <w:p w:rsidR="00000000" w:rsidDel="00000000" w:rsidP="00000000" w:rsidRDefault="00000000" w:rsidRPr="00000000" w14:paraId="0000002B">
      <w:pPr>
        <w:rPr>
          <w:rFonts w:ascii="Roboto" w:cs="Roboto" w:eastAsia="Roboto" w:hAnsi="Roboto"/>
          <w:i w:val="1"/>
          <w:sz w:val="29"/>
          <w:szCs w:val="29"/>
          <w:highlight w:val="white"/>
        </w:rPr>
      </w:pPr>
      <w:r w:rsidDel="00000000" w:rsidR="00000000" w:rsidRPr="00000000">
        <w:rPr>
          <w:rFonts w:ascii="Roboto" w:cs="Roboto" w:eastAsia="Roboto" w:hAnsi="Roboto"/>
          <w:i w:val="1"/>
          <w:color w:val="3c4052"/>
          <w:sz w:val="20"/>
          <w:szCs w:val="20"/>
          <w:highlight w:val="white"/>
          <w:rtl w:val="0"/>
        </w:rPr>
        <w:t xml:space="preserve">2</w:t>
      </w:r>
      <w:r w:rsidDel="00000000" w:rsidR="00000000" w:rsidRPr="00000000">
        <w:rPr>
          <w:rFonts w:ascii="Roboto" w:cs="Roboto" w:eastAsia="Roboto" w:hAnsi="Roboto"/>
          <w:i w:val="1"/>
          <w:color w:val="3c4052"/>
          <w:sz w:val="26"/>
          <w:szCs w:val="26"/>
          <w:highlight w:val="white"/>
          <w:rtl w:val="0"/>
        </w:rPr>
        <w:t xml:space="preserve"> </w:t>
      </w:r>
      <w:hyperlink r:id="rId7">
        <w:r w:rsidDel="00000000" w:rsidR="00000000" w:rsidRPr="00000000">
          <w:rPr>
            <w:i w:val="1"/>
            <w:sz w:val="21"/>
            <w:szCs w:val="21"/>
            <w:highlight w:val="white"/>
            <w:u w:val="single"/>
            <w:rtl w:val="0"/>
          </w:rPr>
          <w:t xml:space="preserve">American Association for the Study of Liver Diseases</w:t>
        </w:r>
      </w:hyperlink>
      <w:r w:rsidDel="00000000" w:rsidR="00000000" w:rsidRPr="00000000">
        <w:rPr>
          <w:i w:val="1"/>
          <w:sz w:val="21"/>
          <w:szCs w:val="21"/>
          <w:highlight w:val="white"/>
          <w:rtl w:val="0"/>
        </w:rPr>
        <w:t xml:space="preserve">:</w:t>
      </w:r>
      <w:r w:rsidDel="00000000" w:rsidR="00000000" w:rsidRPr="00000000">
        <w:rPr>
          <w:i w:val="1"/>
          <w:sz w:val="23"/>
          <w:szCs w:val="23"/>
          <w:highlight w:val="white"/>
          <w:rtl w:val="0"/>
        </w:rPr>
        <w:t xml:space="preserve"> </w:t>
      </w:r>
      <w:r w:rsidDel="00000000" w:rsidR="00000000" w:rsidRPr="00000000">
        <w:rPr>
          <w:i w:val="1"/>
          <w:sz w:val="21"/>
          <w:szCs w:val="21"/>
          <w:highlight w:val="white"/>
          <w:rtl w:val="0"/>
        </w:rPr>
        <w:t xml:space="preserve">2018 Practice Guidelines</w:t>
      </w:r>
      <w:r w:rsidDel="00000000" w:rsidR="00000000" w:rsidRPr="00000000">
        <w:rPr>
          <w:rtl w:val="0"/>
        </w:rPr>
      </w:r>
    </w:p>
    <w:p w:rsidR="00000000" w:rsidDel="00000000" w:rsidP="00000000" w:rsidRDefault="00000000" w:rsidRPr="00000000" w14:paraId="0000002C">
      <w:pPr>
        <w:shd w:fill="ffffff" w:val="clear"/>
        <w:spacing w:after="460" w:before="160" w:lineRule="auto"/>
        <w:rPr>
          <w:rFonts w:ascii="Roboto" w:cs="Roboto" w:eastAsia="Roboto" w:hAnsi="Roboto"/>
          <w:i w:val="1"/>
          <w:color w:val="807e73"/>
          <w:sz w:val="21"/>
          <w:szCs w:val="21"/>
          <w:highlight w:val="white"/>
        </w:rPr>
      </w:pPr>
      <w:r w:rsidDel="00000000" w:rsidR="00000000" w:rsidRPr="00000000">
        <w:rPr>
          <w:rFonts w:ascii="Roboto" w:cs="Roboto" w:eastAsia="Roboto" w:hAnsi="Roboto"/>
          <w:i w:val="1"/>
          <w:color w:val="807e73"/>
          <w:sz w:val="21"/>
          <w:szCs w:val="21"/>
          <w:highlight w:val="white"/>
          <w:rtl w:val="0"/>
        </w:rPr>
        <w:t xml:space="preserve">3 Cichoż-Lach H., Michalak A. Liver injury in the era of COVID-19. World J. Gastroenterol. 2021; 27 (5): 377–390.</w:t>
      </w:r>
    </w:p>
    <w:p w:rsidR="00000000" w:rsidDel="00000000" w:rsidP="00000000" w:rsidRDefault="00000000" w:rsidRPr="00000000" w14:paraId="0000002D">
      <w:pPr>
        <w:shd w:fill="ffffff" w:val="clear"/>
        <w:spacing w:after="460" w:before="160" w:lineRule="auto"/>
        <w:rPr>
          <w:i w:val="1"/>
          <w:color w:val="4d5156"/>
          <w:sz w:val="23"/>
          <w:szCs w:val="23"/>
          <w:highlight w:val="white"/>
        </w:rPr>
      </w:pPr>
      <w:r w:rsidDel="00000000" w:rsidR="00000000" w:rsidRPr="00000000">
        <w:rPr>
          <w:rFonts w:ascii="Roboto" w:cs="Roboto" w:eastAsia="Roboto" w:hAnsi="Roboto"/>
          <w:i w:val="1"/>
          <w:color w:val="3c4052"/>
          <w:sz w:val="20"/>
          <w:szCs w:val="20"/>
          <w:highlight w:val="white"/>
          <w:rtl w:val="0"/>
        </w:rPr>
        <w:t xml:space="preserve">4</w:t>
      </w:r>
      <w:r w:rsidDel="00000000" w:rsidR="00000000" w:rsidRPr="00000000">
        <w:rPr>
          <w:rFonts w:ascii="Roboto" w:cs="Roboto" w:eastAsia="Roboto" w:hAnsi="Roboto"/>
          <w:i w:val="1"/>
          <w:color w:val="3c4052"/>
          <w:sz w:val="26"/>
          <w:szCs w:val="26"/>
          <w:highlight w:val="white"/>
          <w:rtl w:val="0"/>
        </w:rPr>
        <w:t xml:space="preserve"> </w:t>
      </w:r>
      <w:r w:rsidDel="00000000" w:rsidR="00000000" w:rsidRPr="00000000">
        <w:rPr>
          <w:i w:val="1"/>
          <w:color w:val="5f6368"/>
          <w:sz w:val="21"/>
          <w:szCs w:val="21"/>
          <w:highlight w:val="white"/>
          <w:rtl w:val="0"/>
        </w:rPr>
        <w:t xml:space="preserve">Ткач</w:t>
      </w:r>
      <w:r w:rsidDel="00000000" w:rsidR="00000000" w:rsidRPr="00000000">
        <w:rPr>
          <w:i w:val="1"/>
          <w:color w:val="4d5156"/>
          <w:sz w:val="21"/>
          <w:szCs w:val="21"/>
          <w:highlight w:val="white"/>
          <w:rtl w:val="0"/>
        </w:rPr>
        <w:t xml:space="preserve">, </w:t>
      </w:r>
      <w:r w:rsidDel="00000000" w:rsidR="00000000" w:rsidRPr="00000000">
        <w:rPr>
          <w:i w:val="1"/>
          <w:color w:val="5f6368"/>
          <w:sz w:val="21"/>
          <w:szCs w:val="21"/>
          <w:highlight w:val="white"/>
          <w:rtl w:val="0"/>
        </w:rPr>
        <w:t xml:space="preserve">В.Є</w:t>
      </w:r>
      <w:r w:rsidDel="00000000" w:rsidR="00000000" w:rsidRPr="00000000">
        <w:rPr>
          <w:i w:val="1"/>
          <w:color w:val="4d5156"/>
          <w:sz w:val="21"/>
          <w:szCs w:val="21"/>
          <w:highlight w:val="white"/>
          <w:rtl w:val="0"/>
        </w:rPr>
        <w:t xml:space="preserve">. (</w:t>
      </w:r>
      <w:r w:rsidDel="00000000" w:rsidR="00000000" w:rsidRPr="00000000">
        <w:rPr>
          <w:i w:val="1"/>
          <w:color w:val="5f6368"/>
          <w:sz w:val="21"/>
          <w:szCs w:val="21"/>
          <w:highlight w:val="white"/>
          <w:rtl w:val="0"/>
        </w:rPr>
        <w:t xml:space="preserve">2010</w:t>
      </w:r>
      <w:r w:rsidDel="00000000" w:rsidR="00000000" w:rsidRPr="00000000">
        <w:rPr>
          <w:i w:val="1"/>
          <w:color w:val="4d5156"/>
          <w:sz w:val="21"/>
          <w:szCs w:val="21"/>
          <w:highlight w:val="white"/>
          <w:rtl w:val="0"/>
        </w:rPr>
        <w:t xml:space="preserve">)</w:t>
      </w:r>
      <w:r w:rsidDel="00000000" w:rsidR="00000000" w:rsidRPr="00000000">
        <w:rPr>
          <w:i w:val="1"/>
          <w:color w:val="4d5156"/>
          <w:sz w:val="23"/>
          <w:szCs w:val="23"/>
          <w:highlight w:val="white"/>
          <w:rtl w:val="0"/>
        </w:rPr>
        <w:t xml:space="preserve"> </w:t>
      </w:r>
      <w:r w:rsidDel="00000000" w:rsidR="00000000" w:rsidRPr="00000000">
        <w:rPr>
          <w:i w:val="1"/>
          <w:color w:val="4d5156"/>
          <w:sz w:val="21"/>
          <w:szCs w:val="21"/>
          <w:highlight w:val="white"/>
          <w:rtl w:val="0"/>
        </w:rPr>
        <w:t xml:space="preserve">Ураження шкіри при внутрішній патології . Дерматовенерология. Косметалогия. Сексопатология. (№ 1-2). pp. 154-159</w:t>
      </w:r>
      <w:r w:rsidDel="00000000" w:rsidR="00000000" w:rsidRPr="00000000">
        <w:rPr>
          <w:i w:val="1"/>
          <w:color w:val="4d5156"/>
          <w:sz w:val="23"/>
          <w:szCs w:val="23"/>
          <w:highlight w:val="white"/>
          <w:rtl w:val="0"/>
        </w:rPr>
        <w:t xml:space="preserve">.</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9fafb" w:val="clear"/>
        <w:rPr>
          <w:i w:val="1"/>
          <w:color w:val="333333"/>
          <w:sz w:val="21"/>
          <w:szCs w:val="21"/>
          <w:highlight w:val="white"/>
        </w:rPr>
      </w:pPr>
      <w:r w:rsidDel="00000000" w:rsidR="00000000" w:rsidRPr="00000000">
        <w:rPr>
          <w:i w:val="1"/>
          <w:color w:val="4d5156"/>
          <w:sz w:val="21"/>
          <w:szCs w:val="21"/>
          <w:highlight w:val="white"/>
          <w:rtl w:val="0"/>
        </w:rPr>
        <w:t xml:space="preserve">5 </w:t>
      </w:r>
      <w:r w:rsidDel="00000000" w:rsidR="00000000" w:rsidRPr="00000000">
        <w:rPr>
          <w:i w:val="1"/>
          <w:color w:val="333333"/>
          <w:sz w:val="21"/>
          <w:szCs w:val="21"/>
          <w:highlight w:val="white"/>
          <w:rtl w:val="0"/>
        </w:rPr>
        <w:t xml:space="preserve">Герасун О.Б. та співавт., (2015).</w:t>
      </w:r>
      <w:r w:rsidDel="00000000" w:rsidR="00000000" w:rsidRPr="00000000">
        <w:rPr>
          <w:i w:val="1"/>
          <w:color w:val="4d5156"/>
          <w:sz w:val="21"/>
          <w:szCs w:val="21"/>
          <w:highlight w:val="white"/>
          <w:rtl w:val="0"/>
        </w:rPr>
        <w:t xml:space="preserve">Experience of Using Metformin in Patients Infected with HCV Genotype 3 with Concomitant Metabolic Disorders. / Endocrinol Metab Synd </w:t>
      </w:r>
      <w:r w:rsidDel="00000000" w:rsidR="00000000" w:rsidRPr="00000000">
        <w:rPr>
          <w:b w:val="1"/>
          <w:i w:val="1"/>
          <w:color w:val="5f6368"/>
          <w:sz w:val="21"/>
          <w:szCs w:val="21"/>
          <w:highlight w:val="white"/>
          <w:rtl w:val="0"/>
        </w:rPr>
        <w:t xml:space="preserve">2015</w:t>
      </w:r>
      <w:r w:rsidDel="00000000" w:rsidR="00000000" w:rsidRPr="00000000">
        <w:rPr>
          <w:i w:val="1"/>
          <w:color w:val="4d5156"/>
          <w:sz w:val="21"/>
          <w:szCs w:val="21"/>
          <w:highlight w:val="white"/>
          <w:rtl w:val="0"/>
        </w:rPr>
        <w:t xml:space="preserve">; № 4:163.</w:t>
      </w:r>
      <w:r w:rsidDel="00000000" w:rsidR="00000000" w:rsidRPr="00000000">
        <w:rPr>
          <w:rtl w:val="0"/>
        </w:rPr>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9fafb" w:val="clear"/>
        <w:rPr>
          <w:i w:val="1"/>
          <w:color w:val="4d5156"/>
          <w:sz w:val="21"/>
          <w:szCs w:val="21"/>
          <w:highlight w:val="white"/>
        </w:rPr>
      </w:pPr>
      <w:r w:rsidDel="00000000" w:rsidR="00000000" w:rsidRPr="00000000">
        <w:rPr>
          <w:i w:val="1"/>
          <w:color w:val="4d5156"/>
          <w:sz w:val="21"/>
          <w:szCs w:val="21"/>
          <w:highlight w:val="white"/>
          <w:rtl w:val="0"/>
        </w:rPr>
        <w:t xml:space="preserve">http://www.irbis-nbuv.gov.ua/cgi-bin/irbis_nbuv/cgiirbis_64.exe?C21COM=2&amp;I21DBN=UJRN&amp;P21DBN=UJRN&amp;IMAGE_FILE_DOWNLOAD=1&amp;Image_file_name=PDF/gepat_2015_2_4.pdf</w:t>
      </w:r>
      <w:r w:rsidDel="00000000" w:rsidR="00000000" w:rsidRPr="00000000">
        <w:fldChar w:fldCharType="begin"/>
        <w:instrText xml:space="preserve"> HYPERLINK "http://www.irbis-nbuv.gov.ua/cgi-bin/irbis_nbuv/cgiirbis_64.exe?C21COM=2&amp;I21DBN=UJRN&amp;P21DBN=UJRN&amp;IMAGE_FILE_DOWNLOAD=1&amp;Image_file_name=PDF/gepat_2015_2_4.pdf" </w:instrText>
        <w:fldChar w:fldCharType="separate"/>
      </w:r>
      <w:r w:rsidDel="00000000" w:rsidR="00000000" w:rsidRPr="00000000">
        <w:rPr>
          <w:rtl w:val="0"/>
        </w:rPr>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9fafb" w:val="clear"/>
        <w:spacing w:line="312" w:lineRule="auto"/>
        <w:rPr>
          <w:color w:val="4d5156"/>
          <w:sz w:val="20"/>
          <w:szCs w:val="20"/>
          <w:highlight w:val="white"/>
          <w:u w:val="single"/>
        </w:rPr>
      </w:pPr>
      <w:r w:rsidDel="00000000" w:rsidR="00000000" w:rsidRPr="00000000">
        <w:fldChar w:fldCharType="end"/>
      </w:r>
      <w:r w:rsidDel="00000000" w:rsidR="00000000" w:rsidRPr="00000000">
        <w:fldChar w:fldCharType="begin"/>
        <w:instrText xml:space="preserve"> HYPERLINK "http://www.irbis-nbuv.gov.ua/cgi-bin/irbis_nbuv/cgiirbis_64.exe?C21COM=2&amp;I21DBN=UJRN&amp;P21DBN=UJRN&amp;IMAGE_FILE_DOWNLOAD=1&amp;Image_file_name=PDF/gepat_2015_2_4.pdf" </w:instrText>
        <w:fldChar w:fldCharType="separate"/>
      </w:r>
      <w:r w:rsidDel="00000000" w:rsidR="00000000" w:rsidRPr="00000000">
        <w:rPr>
          <w:rtl w:val="0"/>
        </w:rPr>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9fafb" w:val="clear"/>
        <w:rPr>
          <w:color w:val="4d5156"/>
          <w:sz w:val="21"/>
          <w:szCs w:val="21"/>
          <w:highlight w:val="white"/>
        </w:rPr>
      </w:pPr>
      <w:r w:rsidDel="00000000" w:rsidR="00000000" w:rsidRPr="00000000">
        <w:fldChar w:fldCharType="end"/>
      </w:r>
      <w:r w:rsidDel="00000000" w:rsidR="00000000" w:rsidRPr="00000000">
        <w:rPr>
          <w:rtl w:val="0"/>
        </w:rPr>
      </w:r>
    </w:p>
    <w:p w:rsidR="00000000" w:rsidDel="00000000" w:rsidP="00000000" w:rsidRDefault="00000000" w:rsidRPr="00000000" w14:paraId="00000032">
      <w:pPr>
        <w:rPr>
          <w:color w:val="222222"/>
          <w:sz w:val="21"/>
          <w:szCs w:val="21"/>
          <w:highlight w:val="white"/>
        </w:rPr>
      </w:pPr>
      <w:r w:rsidDel="00000000" w:rsidR="00000000" w:rsidRPr="00000000">
        <w:rPr>
          <w:rtl w:val="0"/>
        </w:rPr>
      </w:r>
    </w:p>
    <w:p w:rsidR="00000000" w:rsidDel="00000000" w:rsidP="00000000" w:rsidRDefault="00000000" w:rsidRPr="00000000" w14:paraId="00000033">
      <w:pPr>
        <w:rPr>
          <w:color w:val="222222"/>
          <w:sz w:val="21"/>
          <w:szCs w:val="21"/>
          <w:highlight w:val="white"/>
        </w:rPr>
      </w:pPr>
      <w:r w:rsidDel="00000000" w:rsidR="00000000" w:rsidRPr="00000000">
        <w:rPr>
          <w:rtl w:val="0"/>
        </w:rPr>
      </w:r>
    </w:p>
    <w:p w:rsidR="00000000" w:rsidDel="00000000" w:rsidP="00000000" w:rsidRDefault="00000000" w:rsidRPr="00000000" w14:paraId="00000034">
      <w:pPr>
        <w:rPr>
          <w:color w:val="222222"/>
          <w:sz w:val="21"/>
          <w:szCs w:val="21"/>
          <w:highlight w:val="white"/>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shd w:fill="ffffff" w:val="clear"/>
        <w:spacing w:after="460" w:before="160" w:lineRule="auto"/>
        <w:ind w:left="0"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P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msdmanuals.com/ru/%D0%BF%D1%80%D0%BE%D1%84%D0%B5%D1%81%D1%81%D0%B8%D0%BE%D0%BD%D0%B0%D0%BB%D1%8C%D0%BD%D1%8B%D0%B9/%D0%B1%D0%BE%D0%BB%D0%B5%D0%B7%D0%BD%D0%B8-%D0%BF%D0%B5%D1%87%D0%B5%D0%BD%D0%B8-%D0%B8-%D0%B6%D0%B5%D0%BB%D1%87%D0%B5%D0%B2%D1%8B%D0%B2%D0%BE%D0%B4%D1%8F%D1%89%D0%B8%D1%85-%D0%BF%D1%83%D1%82%D0%B5%D0%B9/%D1%84%D0%B8%D0%B1%D1%80%D0%BE%D0%B7-%D0%B8-%D1%86%D0%B8%D1%80%D1%80%D0%BE%D0%B7/%D1%86%D0%B8%D1%80%D1%80%D0%BE%D0%B7-%D0%BF%D0%B5%D1%87%D0%B5%D0%BD%D0%B8" TargetMode="External"/><Relationship Id="rId7" Type="http://schemas.openxmlformats.org/officeDocument/2006/relationships/hyperlink" Target="https://www.aasld.org/publications/practice-guidelin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