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23C" w:rsidRDefault="00D8623C" w:rsidP="00DC0380">
      <w:pPr>
        <w:pStyle w:val="a3"/>
        <w:ind w:left="0"/>
        <w:jc w:val="both"/>
        <w:rPr>
          <w:b/>
          <w:bCs/>
          <w:i w:val="0"/>
          <w:iCs/>
          <w:lang w:val="uk-UA"/>
        </w:rPr>
      </w:pPr>
      <w:proofErr w:type="spellStart"/>
      <w:r>
        <w:rPr>
          <w:b/>
          <w:bCs/>
          <w:i w:val="0"/>
          <w:iCs/>
          <w:lang w:val="ru-RU"/>
        </w:rPr>
        <w:t>Ориг</w:t>
      </w:r>
      <w:r>
        <w:rPr>
          <w:b/>
          <w:bCs/>
          <w:i w:val="0"/>
          <w:iCs/>
          <w:lang w:val="uk-UA"/>
        </w:rPr>
        <w:t>інал</w:t>
      </w:r>
      <w:proofErr w:type="spellEnd"/>
      <w:r>
        <w:rPr>
          <w:b/>
          <w:bCs/>
          <w:i w:val="0"/>
          <w:iCs/>
          <w:lang w:val="uk-UA"/>
        </w:rPr>
        <w:t xml:space="preserve"> (укр.):</w:t>
      </w:r>
    </w:p>
    <w:p w:rsidR="00D8623C" w:rsidRPr="00D8623C" w:rsidRDefault="00D8623C" w:rsidP="00DC0380">
      <w:pPr>
        <w:pStyle w:val="a3"/>
        <w:ind w:left="0"/>
        <w:jc w:val="both"/>
        <w:rPr>
          <w:b/>
          <w:bCs/>
          <w:i w:val="0"/>
          <w:iCs/>
          <w:lang w:val="uk-UA"/>
        </w:rPr>
      </w:pPr>
    </w:p>
    <w:p w:rsidR="00D8623C" w:rsidRDefault="00D8623C" w:rsidP="00D8623C">
      <w:pPr>
        <w:rPr>
          <w:b/>
          <w:lang w:val="uk-UA"/>
        </w:rPr>
      </w:pPr>
      <w:r w:rsidRPr="00C5629C">
        <w:rPr>
          <w:b/>
          <w:lang w:val="uk-UA"/>
        </w:rPr>
        <w:t xml:space="preserve">Дозування </w:t>
      </w:r>
      <w:r>
        <w:rPr>
          <w:b/>
          <w:lang w:val="uk-UA"/>
        </w:rPr>
        <w:t xml:space="preserve">ліків </w:t>
      </w:r>
      <w:r w:rsidRPr="00C5629C">
        <w:rPr>
          <w:b/>
          <w:lang w:val="uk-UA"/>
        </w:rPr>
        <w:t>при нирковій недостатності</w:t>
      </w:r>
    </w:p>
    <w:p w:rsidR="00D8623C" w:rsidRDefault="00D8623C" w:rsidP="00D8623C">
      <w:pPr>
        <w:rPr>
          <w:lang w:val="uk-UA"/>
        </w:rPr>
      </w:pPr>
      <w:r>
        <w:rPr>
          <w:lang w:val="uk-UA"/>
        </w:rPr>
        <w:t>Коригування дози для пацієнтів</w:t>
      </w:r>
      <w:r w:rsidRPr="00A13375">
        <w:rPr>
          <w:lang w:val="uk-UA"/>
        </w:rPr>
        <w:t xml:space="preserve"> з різним ступенем ниркової недостатності (починаючи з кліренсу </w:t>
      </w:r>
      <w:proofErr w:type="spellStart"/>
      <w:r>
        <w:rPr>
          <w:lang w:val="uk-UA"/>
        </w:rPr>
        <w:t>креатиніну</w:t>
      </w:r>
      <w:proofErr w:type="spellEnd"/>
      <w:r>
        <w:rPr>
          <w:lang w:val="uk-UA"/>
        </w:rPr>
        <w:t xml:space="preserve"> </w:t>
      </w:r>
      <w:r w:rsidRPr="00A13375">
        <w:rPr>
          <w:lang w:val="uk-UA"/>
        </w:rPr>
        <w:t xml:space="preserve"> </w:t>
      </w:r>
      <w:r w:rsidRPr="00B76729">
        <w:rPr>
          <w:rFonts w:ascii="Arial" w:hAnsi="Arial" w:cs="Arial"/>
          <w:color w:val="545454"/>
          <w:sz w:val="21"/>
          <w:szCs w:val="21"/>
          <w:shd w:val="clear" w:color="auto" w:fill="FFFFFF"/>
          <w:lang w:val="uk-UA"/>
        </w:rPr>
        <w:t>&gt;</w:t>
      </w:r>
      <w:r>
        <w:rPr>
          <w:lang w:val="uk-UA"/>
        </w:rPr>
        <w:t xml:space="preserve"> </w:t>
      </w:r>
      <w:r w:rsidRPr="00A13375">
        <w:rPr>
          <w:lang w:val="uk-UA"/>
        </w:rPr>
        <w:t xml:space="preserve">9 </w:t>
      </w:r>
      <w:proofErr w:type="spellStart"/>
      <w:r w:rsidRPr="00A13375">
        <w:rPr>
          <w:lang w:val="uk-UA"/>
        </w:rPr>
        <w:t>мл</w:t>
      </w:r>
      <w:proofErr w:type="spellEnd"/>
      <w:r w:rsidRPr="00A13375">
        <w:rPr>
          <w:lang w:val="uk-UA"/>
        </w:rPr>
        <w:t xml:space="preserve"> / </w:t>
      </w:r>
      <w:proofErr w:type="spellStart"/>
      <w:r w:rsidRPr="00A13375">
        <w:rPr>
          <w:lang w:val="uk-UA"/>
        </w:rPr>
        <w:t>хв</w:t>
      </w:r>
      <w:proofErr w:type="spellEnd"/>
      <w:r w:rsidRPr="00A13375">
        <w:rPr>
          <w:lang w:val="uk-UA"/>
        </w:rPr>
        <w:t>)</w:t>
      </w:r>
      <w:r>
        <w:rPr>
          <w:lang w:val="uk-UA"/>
        </w:rPr>
        <w:t xml:space="preserve"> не потрібно</w:t>
      </w:r>
      <w:r w:rsidRPr="00A13375">
        <w:rPr>
          <w:lang w:val="uk-UA"/>
        </w:rPr>
        <w:t xml:space="preserve">, оскільки при </w:t>
      </w:r>
      <w:r>
        <w:rPr>
          <w:lang w:val="uk-UA"/>
        </w:rPr>
        <w:t xml:space="preserve">проведенні </w:t>
      </w:r>
      <w:proofErr w:type="spellStart"/>
      <w:r>
        <w:rPr>
          <w:lang w:val="uk-UA"/>
        </w:rPr>
        <w:t>фармакокінетичних</w:t>
      </w:r>
      <w:proofErr w:type="spellEnd"/>
      <w:r>
        <w:rPr>
          <w:lang w:val="uk-UA"/>
        </w:rPr>
        <w:t xml:space="preserve"> досліджень</w:t>
      </w:r>
      <w:r w:rsidRPr="00A13375">
        <w:rPr>
          <w:lang w:val="uk-UA"/>
        </w:rPr>
        <w:t xml:space="preserve"> не виявлено, що ниркова недостатність впливає на елімінацію лікарського засобу.</w:t>
      </w:r>
      <w:r>
        <w:rPr>
          <w:lang w:val="uk-UA"/>
        </w:rPr>
        <w:t xml:space="preserve"> Застосування  даного лікарського засобу</w:t>
      </w:r>
      <w:r w:rsidRPr="009F6346">
        <w:rPr>
          <w:lang w:val="uk-UA"/>
        </w:rPr>
        <w:t xml:space="preserve"> не </w:t>
      </w:r>
      <w:r>
        <w:rPr>
          <w:lang w:val="uk-UA"/>
        </w:rPr>
        <w:t xml:space="preserve">вивчалося  у </w:t>
      </w:r>
      <w:r w:rsidRPr="009F6346">
        <w:rPr>
          <w:lang w:val="uk-UA"/>
        </w:rPr>
        <w:t>хворих, які перебувають на гемодіалізі.</w:t>
      </w:r>
    </w:p>
    <w:p w:rsidR="00D8623C" w:rsidRDefault="00D8623C" w:rsidP="00D8623C">
      <w:pPr>
        <w:rPr>
          <w:lang w:val="uk-UA"/>
        </w:rPr>
      </w:pPr>
    </w:p>
    <w:p w:rsidR="00D8623C" w:rsidRDefault="00D8623C" w:rsidP="00D8623C">
      <w:pPr>
        <w:rPr>
          <w:b/>
          <w:lang w:val="uk-UA"/>
        </w:rPr>
      </w:pPr>
      <w:r>
        <w:rPr>
          <w:b/>
          <w:lang w:val="uk-UA"/>
        </w:rPr>
        <w:t>Вплив на п</w:t>
      </w:r>
      <w:r w:rsidRPr="00A4590F">
        <w:rPr>
          <w:b/>
          <w:lang w:val="uk-UA"/>
        </w:rPr>
        <w:t xml:space="preserve">ростатичний </w:t>
      </w:r>
      <w:r>
        <w:rPr>
          <w:b/>
          <w:lang w:val="uk-UA"/>
        </w:rPr>
        <w:t>специфічний антиген (ПСА</w:t>
      </w:r>
      <w:r w:rsidRPr="00A4590F">
        <w:rPr>
          <w:b/>
          <w:lang w:val="uk-UA"/>
        </w:rPr>
        <w:t>) та виявлення раку передміхурової залози:</w:t>
      </w:r>
    </w:p>
    <w:p w:rsidR="00D8623C" w:rsidRDefault="00D8623C" w:rsidP="00D8623C">
      <w:pPr>
        <w:rPr>
          <w:lang w:val="uk-UA"/>
        </w:rPr>
      </w:pPr>
      <w:r>
        <w:rPr>
          <w:lang w:val="uk-UA"/>
        </w:rPr>
        <w:t>При застосуванні даного лікарського засобу пацієнтами,  які хворі на рак</w:t>
      </w:r>
      <w:r w:rsidRPr="0012035D">
        <w:rPr>
          <w:lang w:val="uk-UA"/>
        </w:rPr>
        <w:t xml:space="preserve"> </w:t>
      </w:r>
      <w:r>
        <w:rPr>
          <w:lang w:val="uk-UA"/>
        </w:rPr>
        <w:t xml:space="preserve">передміхурової залози, </w:t>
      </w:r>
      <w:r w:rsidRPr="0012035D">
        <w:rPr>
          <w:lang w:val="uk-UA"/>
        </w:rPr>
        <w:t>ще не було доведено</w:t>
      </w:r>
      <w:r>
        <w:rPr>
          <w:lang w:val="uk-UA"/>
        </w:rPr>
        <w:t xml:space="preserve"> жодного </w:t>
      </w:r>
      <w:r w:rsidRPr="0012035D">
        <w:rPr>
          <w:lang w:val="uk-UA"/>
        </w:rPr>
        <w:t>покращення клінічних показників</w:t>
      </w:r>
      <w:r>
        <w:rPr>
          <w:lang w:val="uk-UA"/>
        </w:rPr>
        <w:t xml:space="preserve">. </w:t>
      </w:r>
      <w:r w:rsidRPr="00F45D19">
        <w:rPr>
          <w:lang w:val="uk-UA"/>
        </w:rPr>
        <w:t>Пацієнти з доброякісною гіперпла</w:t>
      </w:r>
      <w:r>
        <w:rPr>
          <w:lang w:val="uk-UA"/>
        </w:rPr>
        <w:t>зією передміхурової залози (ДГПЗ) та підвищенням</w:t>
      </w:r>
      <w:r w:rsidRPr="00F45D19">
        <w:rPr>
          <w:lang w:val="uk-UA"/>
        </w:rPr>
        <w:t xml:space="preserve"> си</w:t>
      </w:r>
      <w:r>
        <w:rPr>
          <w:lang w:val="uk-UA"/>
        </w:rPr>
        <w:t>роваткового простатичного специфічного</w:t>
      </w:r>
      <w:r w:rsidRPr="00F45D19">
        <w:rPr>
          <w:lang w:val="uk-UA"/>
        </w:rPr>
        <w:t xml:space="preserve"> </w:t>
      </w:r>
      <w:r>
        <w:rPr>
          <w:lang w:val="uk-UA"/>
        </w:rPr>
        <w:t>антигену</w:t>
      </w:r>
      <w:r w:rsidRPr="00F45D19">
        <w:rPr>
          <w:lang w:val="uk-UA"/>
        </w:rPr>
        <w:t xml:space="preserve"> (ПСА) </w:t>
      </w:r>
      <w:proofErr w:type="spellStart"/>
      <w:r>
        <w:rPr>
          <w:lang w:val="uk-UA"/>
        </w:rPr>
        <w:t>сростерігалися</w:t>
      </w:r>
      <w:proofErr w:type="spellEnd"/>
      <w:r>
        <w:rPr>
          <w:lang w:val="uk-UA"/>
        </w:rPr>
        <w:t xml:space="preserve"> </w:t>
      </w:r>
      <w:r w:rsidRPr="00F45D19">
        <w:rPr>
          <w:lang w:val="uk-UA"/>
        </w:rPr>
        <w:t xml:space="preserve"> у контрольованих клінічних дослідженнях із </w:t>
      </w:r>
      <w:r>
        <w:rPr>
          <w:lang w:val="uk-UA"/>
        </w:rPr>
        <w:t>серійним</w:t>
      </w:r>
      <w:r w:rsidRPr="00561C71">
        <w:rPr>
          <w:lang w:val="uk-UA"/>
        </w:rPr>
        <w:t xml:space="preserve"> моніторинг</w:t>
      </w:r>
      <w:r>
        <w:rPr>
          <w:lang w:val="uk-UA"/>
        </w:rPr>
        <w:t>ом</w:t>
      </w:r>
      <w:r w:rsidRPr="00561C71">
        <w:rPr>
          <w:lang w:val="uk-UA"/>
        </w:rPr>
        <w:t xml:space="preserve"> рівня концентрації ПСА</w:t>
      </w:r>
      <w:r>
        <w:rPr>
          <w:lang w:val="uk-UA"/>
        </w:rPr>
        <w:t xml:space="preserve"> </w:t>
      </w:r>
      <w:r w:rsidRPr="00F45D19">
        <w:rPr>
          <w:lang w:val="uk-UA"/>
        </w:rPr>
        <w:t>та біопсіями</w:t>
      </w:r>
      <w:r>
        <w:rPr>
          <w:lang w:val="uk-UA"/>
        </w:rPr>
        <w:t xml:space="preserve"> передміхурової залози</w:t>
      </w:r>
      <w:r w:rsidRPr="00F45D19">
        <w:rPr>
          <w:lang w:val="uk-UA"/>
        </w:rPr>
        <w:t>.</w:t>
      </w:r>
      <w:r>
        <w:rPr>
          <w:lang w:val="uk-UA"/>
        </w:rPr>
        <w:t xml:space="preserve"> При проведенні досліджень ДГПЗ</w:t>
      </w:r>
      <w:r w:rsidRPr="0053191D">
        <w:rPr>
          <w:lang w:val="uk-UA"/>
        </w:rPr>
        <w:t xml:space="preserve">, </w:t>
      </w:r>
      <w:r>
        <w:rPr>
          <w:lang w:val="uk-UA"/>
        </w:rPr>
        <w:t xml:space="preserve">даний </w:t>
      </w:r>
      <w:r w:rsidRPr="0053191D">
        <w:rPr>
          <w:lang w:val="uk-UA"/>
        </w:rPr>
        <w:t>лі</w:t>
      </w:r>
      <w:r>
        <w:rPr>
          <w:lang w:val="uk-UA"/>
        </w:rPr>
        <w:t>карський засіб не з'являвся для зміни частоти</w:t>
      </w:r>
      <w:r w:rsidRPr="0053191D">
        <w:rPr>
          <w:lang w:val="uk-UA"/>
        </w:rPr>
        <w:t xml:space="preserve"> </w:t>
      </w:r>
      <w:r>
        <w:rPr>
          <w:lang w:val="uk-UA"/>
        </w:rPr>
        <w:t>виявлення раку передміхурової залози</w:t>
      </w:r>
      <w:r w:rsidRPr="0053191D">
        <w:rPr>
          <w:lang w:val="uk-UA"/>
        </w:rPr>
        <w:t>, а загальна захворюваність</w:t>
      </w:r>
      <w:r>
        <w:rPr>
          <w:lang w:val="uk-UA"/>
        </w:rPr>
        <w:t xml:space="preserve"> на рак передміхурової залози</w:t>
      </w:r>
      <w:r w:rsidRPr="0053191D">
        <w:rPr>
          <w:lang w:val="uk-UA"/>
        </w:rPr>
        <w:t xml:space="preserve"> статистично </w:t>
      </w:r>
      <w:r>
        <w:rPr>
          <w:lang w:val="uk-UA"/>
        </w:rPr>
        <w:t xml:space="preserve">не відрізнялась у </w:t>
      </w:r>
      <w:r w:rsidRPr="0053191D">
        <w:rPr>
          <w:lang w:val="uk-UA"/>
        </w:rPr>
        <w:t xml:space="preserve">пацієнтів, які </w:t>
      </w:r>
      <w:r>
        <w:rPr>
          <w:lang w:val="uk-UA"/>
        </w:rPr>
        <w:t>застосовували даний</w:t>
      </w:r>
      <w:r w:rsidRPr="0053191D">
        <w:rPr>
          <w:lang w:val="uk-UA"/>
        </w:rPr>
        <w:t xml:space="preserve"> лікарський препарат або </w:t>
      </w:r>
      <w:proofErr w:type="spellStart"/>
      <w:r w:rsidRPr="0053191D">
        <w:rPr>
          <w:lang w:val="uk-UA"/>
        </w:rPr>
        <w:t>плацебо</w:t>
      </w:r>
      <w:proofErr w:type="spellEnd"/>
      <w:r w:rsidRPr="0053191D">
        <w:rPr>
          <w:lang w:val="uk-UA"/>
        </w:rPr>
        <w:t>.</w:t>
      </w:r>
    </w:p>
    <w:p w:rsidR="00D8623C" w:rsidRDefault="00D8623C" w:rsidP="00D8623C">
      <w:pPr>
        <w:rPr>
          <w:lang w:val="uk-UA"/>
        </w:rPr>
      </w:pPr>
    </w:p>
    <w:p w:rsidR="00D8623C" w:rsidRDefault="00D8623C" w:rsidP="00D8623C">
      <w:pPr>
        <w:rPr>
          <w:lang w:val="uk-UA"/>
        </w:rPr>
      </w:pPr>
      <w:r>
        <w:rPr>
          <w:lang w:val="uk-UA"/>
        </w:rPr>
        <w:t>Перед початком терапії дан</w:t>
      </w:r>
      <w:r w:rsidRPr="0026713D">
        <w:rPr>
          <w:lang w:val="uk-UA"/>
        </w:rPr>
        <w:t>им лікарським з</w:t>
      </w:r>
      <w:r>
        <w:rPr>
          <w:lang w:val="uk-UA"/>
        </w:rPr>
        <w:t xml:space="preserve">асобом та періодично після лікування препаратом, </w:t>
      </w:r>
      <w:r w:rsidRPr="0026713D">
        <w:rPr>
          <w:lang w:val="uk-UA"/>
        </w:rPr>
        <w:t xml:space="preserve"> рекомендується проводити цифрові ректальні обстеження, а також інші </w:t>
      </w:r>
      <w:r>
        <w:rPr>
          <w:lang w:val="uk-UA"/>
        </w:rPr>
        <w:t xml:space="preserve">дослідження для діагностики </w:t>
      </w:r>
      <w:r w:rsidRPr="0026713D">
        <w:rPr>
          <w:lang w:val="uk-UA"/>
        </w:rPr>
        <w:t>раку передміхурової залози.</w:t>
      </w:r>
    </w:p>
    <w:p w:rsidR="00D8623C" w:rsidRDefault="00D8623C" w:rsidP="00D8623C">
      <w:pPr>
        <w:rPr>
          <w:lang w:val="uk-UA"/>
        </w:rPr>
      </w:pPr>
    </w:p>
    <w:p w:rsidR="00D8623C" w:rsidRPr="00D8623C" w:rsidRDefault="00D8623C" w:rsidP="00D8623C">
      <w:pPr>
        <w:rPr>
          <w:b/>
          <w:lang w:val="uk-UA"/>
        </w:rPr>
      </w:pPr>
      <w:r w:rsidRPr="00D8623C">
        <w:rPr>
          <w:b/>
          <w:lang w:val="uk-UA"/>
        </w:rPr>
        <w:t>Переклад (англ.)</w:t>
      </w:r>
      <w:r>
        <w:rPr>
          <w:b/>
          <w:lang w:val="uk-UA"/>
        </w:rPr>
        <w:t>:</w:t>
      </w:r>
    </w:p>
    <w:p w:rsidR="00D8623C" w:rsidRPr="00A4590F" w:rsidRDefault="00D8623C" w:rsidP="00D8623C">
      <w:pPr>
        <w:rPr>
          <w:lang w:val="uk-UA"/>
        </w:rPr>
      </w:pPr>
    </w:p>
    <w:p w:rsidR="00DC0380" w:rsidRPr="00DC0380" w:rsidRDefault="00DC0380" w:rsidP="00DC0380">
      <w:pPr>
        <w:pStyle w:val="a3"/>
        <w:ind w:left="0"/>
        <w:jc w:val="both"/>
        <w:rPr>
          <w:b/>
          <w:bCs/>
          <w:i w:val="0"/>
          <w:iCs/>
          <w:lang w:val="en-US"/>
        </w:rPr>
      </w:pPr>
      <w:r w:rsidRPr="00DC0380">
        <w:rPr>
          <w:b/>
          <w:bCs/>
          <w:i w:val="0"/>
          <w:iCs/>
          <w:lang w:val="en-US"/>
        </w:rPr>
        <w:t>Dosage in renal insufficiency</w:t>
      </w:r>
    </w:p>
    <w:p w:rsidR="00DC0380" w:rsidRPr="00DC0380" w:rsidRDefault="00DC0380" w:rsidP="00DC0380">
      <w:pPr>
        <w:jc w:val="both"/>
      </w:pPr>
      <w:r w:rsidRPr="00DC0380">
        <w:t>Dosage adjustments are not necessary in patients with varying degrees of renal insufficiency (starting from creatinine clearance as low as 9 ml/min) as in pharmacokinetic studies renal insufficiency was not found to affect the elimination of the medicinal product. This medicinal product has not been studied in patients on haemodialysis.</w:t>
      </w:r>
    </w:p>
    <w:p w:rsidR="0098670A" w:rsidRPr="00DC0380" w:rsidRDefault="0098670A"/>
    <w:p w:rsidR="00DC0380" w:rsidRPr="00DC0380" w:rsidRDefault="00DC0380" w:rsidP="00DC0380">
      <w:pPr>
        <w:autoSpaceDE w:val="0"/>
        <w:autoSpaceDN w:val="0"/>
        <w:adjustRightInd w:val="0"/>
        <w:rPr>
          <w:b/>
        </w:rPr>
      </w:pPr>
      <w:r w:rsidRPr="00DC0380">
        <w:rPr>
          <w:b/>
          <w:snapToGrid w:val="0"/>
        </w:rPr>
        <w:t>Effects on prostate-specific antigen (PSA) and prostate cancer detection:</w:t>
      </w:r>
      <w:r w:rsidRPr="00DC0380">
        <w:rPr>
          <w:b/>
        </w:rPr>
        <w:t xml:space="preserve"> </w:t>
      </w:r>
    </w:p>
    <w:p w:rsidR="00DC0380" w:rsidRPr="00DC0380" w:rsidRDefault="00DC0380" w:rsidP="00DC0380">
      <w:r w:rsidRPr="00DC0380">
        <w:t>No clinical benefit has yet been demonstrated in patients with prostate cancer treated with this medicinal product. Patients with benign prostatic hyperplasia (BPH) and elevated serum prostate specific antigen (PSA) were monitored in controlled clinical studies with serial PSAs and prostate biopsies. In these BPH studies, the medicinal product did not appear to alter the rate of prostate cancer detection, and the overall incidence of prostate cancer was not statistically different in patients treated with this medicinal product or placebo.</w:t>
      </w:r>
    </w:p>
    <w:p w:rsidR="00DC0380" w:rsidRPr="00DC0380" w:rsidRDefault="00DC0380" w:rsidP="00DC0380"/>
    <w:p w:rsidR="00DC0380" w:rsidRDefault="00DC0380" w:rsidP="00DC0380">
      <w:pPr>
        <w:rPr>
          <w:lang w:val="uk-UA"/>
        </w:rPr>
      </w:pPr>
      <w:r w:rsidRPr="00DC0380">
        <w:t>Digital rectal examinations as well as other evaluations for prostate cancer are recommended prior to initiating therapy with this medicinal product</w:t>
      </w:r>
      <w:r w:rsidR="00297103">
        <w:t xml:space="preserve"> and periodically thereafter.</w:t>
      </w:r>
      <w:bookmarkStart w:id="0" w:name="_GoBack"/>
      <w:bookmarkEnd w:id="0"/>
    </w:p>
    <w:p w:rsidR="00C5629C" w:rsidRDefault="00C5629C" w:rsidP="00DC0380">
      <w:pPr>
        <w:rPr>
          <w:lang w:val="uk-UA"/>
        </w:rPr>
      </w:pPr>
    </w:p>
    <w:sectPr w:rsidR="00C5629C" w:rsidSect="008C6C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0380"/>
    <w:rsid w:val="000C2743"/>
    <w:rsid w:val="0012035D"/>
    <w:rsid w:val="00161958"/>
    <w:rsid w:val="00225D90"/>
    <w:rsid w:val="00236434"/>
    <w:rsid w:val="00253D1E"/>
    <w:rsid w:val="0026713D"/>
    <w:rsid w:val="00297103"/>
    <w:rsid w:val="002B1DBE"/>
    <w:rsid w:val="00375E4A"/>
    <w:rsid w:val="003E713F"/>
    <w:rsid w:val="0044129A"/>
    <w:rsid w:val="004679C7"/>
    <w:rsid w:val="004F2B51"/>
    <w:rsid w:val="0053191D"/>
    <w:rsid w:val="00561C71"/>
    <w:rsid w:val="006158D8"/>
    <w:rsid w:val="006836FD"/>
    <w:rsid w:val="00702EC9"/>
    <w:rsid w:val="00746208"/>
    <w:rsid w:val="00897355"/>
    <w:rsid w:val="008C6C4A"/>
    <w:rsid w:val="008F249B"/>
    <w:rsid w:val="0091025C"/>
    <w:rsid w:val="0098670A"/>
    <w:rsid w:val="009F6346"/>
    <w:rsid w:val="00A13375"/>
    <w:rsid w:val="00A4590F"/>
    <w:rsid w:val="00AA6483"/>
    <w:rsid w:val="00AD095A"/>
    <w:rsid w:val="00B76729"/>
    <w:rsid w:val="00BA1C6E"/>
    <w:rsid w:val="00C21189"/>
    <w:rsid w:val="00C5629C"/>
    <w:rsid w:val="00C566C3"/>
    <w:rsid w:val="00CF6512"/>
    <w:rsid w:val="00D37A5F"/>
    <w:rsid w:val="00D54701"/>
    <w:rsid w:val="00D8623C"/>
    <w:rsid w:val="00DA54F2"/>
    <w:rsid w:val="00DC0380"/>
    <w:rsid w:val="00E70EC9"/>
    <w:rsid w:val="00EE695A"/>
    <w:rsid w:val="00F14B5D"/>
    <w:rsid w:val="00F45D19"/>
    <w:rsid w:val="00F8473D"/>
    <w:rsid w:val="00FB4D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380"/>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C0380"/>
    <w:pPr>
      <w:ind w:left="720"/>
    </w:pPr>
    <w:rPr>
      <w:i/>
      <w:snapToGrid w:val="0"/>
      <w:lang w:val="en-GB"/>
    </w:rPr>
  </w:style>
  <w:style w:type="character" w:customStyle="1" w:styleId="a4">
    <w:name w:val="Подзаголовок Знак"/>
    <w:basedOn w:val="a0"/>
    <w:link w:val="a3"/>
    <w:rsid w:val="00DC0380"/>
    <w:rPr>
      <w:rFonts w:ascii="Times New Roman" w:eastAsia="Times New Roman" w:hAnsi="Times New Roman" w:cs="Times New Roman"/>
      <w:i/>
      <w:snapToGrid w:val="0"/>
      <w:sz w:val="24"/>
      <w:szCs w:val="24"/>
      <w:lang w:val="en-GB"/>
    </w:rPr>
  </w:style>
  <w:style w:type="character" w:styleId="a5">
    <w:name w:val="Emphasis"/>
    <w:basedOn w:val="a0"/>
    <w:uiPriority w:val="20"/>
    <w:qFormat/>
    <w:rsid w:val="00F45D19"/>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392</Words>
  <Characters>2238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Volodymyr</dc:creator>
  <cp:keywords/>
  <dc:description/>
  <cp:lastModifiedBy>User</cp:lastModifiedBy>
  <cp:revision>39</cp:revision>
  <dcterms:created xsi:type="dcterms:W3CDTF">2019-02-19T12:08:00Z</dcterms:created>
  <dcterms:modified xsi:type="dcterms:W3CDTF">2019-08-30T10:05:00Z</dcterms:modified>
</cp:coreProperties>
</file>