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E6" w:rsidRDefault="00324CE6" w:rsidP="0080051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608">
        <w:rPr>
          <w:rFonts w:ascii="Times New Roman" w:hAnsi="Times New Roman" w:cs="Times New Roman"/>
          <w:color w:val="000000" w:themeColor="text1"/>
          <w:sz w:val="28"/>
          <w:szCs w:val="28"/>
        </w:rPr>
        <w:t>УДК</w:t>
      </w:r>
      <w:r w:rsidR="00D3437D" w:rsidRPr="00BC66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368.022</w:t>
      </w:r>
    </w:p>
    <w:p w:rsidR="00F57E16" w:rsidRPr="00FC39AB" w:rsidRDefault="00BC6608" w:rsidP="00800516">
      <w:pPr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СТАН ТА ПЕРСПЕКТИВИ РОЗВИТКУ СТРАХОВОГО МАРКЕТИНГУ В УКРАЇНІ</w:t>
      </w:r>
    </w:p>
    <w:p w:rsidR="00E367A0" w:rsidRPr="00484FFD" w:rsidRDefault="00484FFD" w:rsidP="0080051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484FFD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статті проаналізований сучасний стан розвитку страхового ринку та розглянуті переваги впровадження страхового маркетингу в діяльність вітчизняних страхових компаній. Запропоновані подальші напрямки розвитку </w:t>
      </w:r>
      <w:r w:rsidR="00F6227D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вітчизняного 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страхового маркетингу.</w:t>
      </w:r>
    </w:p>
    <w:p w:rsidR="00E367A0" w:rsidRPr="00BC6608" w:rsidRDefault="00E367A0" w:rsidP="0080051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BC6608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Ключові слова:</w:t>
      </w:r>
      <w:r w:rsidR="00A6441C" w:rsidRPr="00BC6608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</w:t>
      </w:r>
      <w:r w:rsidR="009C3185" w:rsidRPr="00BC6608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страховий маркетинг</w:t>
      </w:r>
      <w:r w:rsidR="00525073" w:rsidRPr="00BC6608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, </w:t>
      </w:r>
      <w:r w:rsidR="00882AEB" w:rsidRPr="00BC6608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страховик, </w:t>
      </w:r>
      <w:r w:rsidR="00525073" w:rsidRPr="00BC6608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страховий ринок</w:t>
      </w:r>
      <w:r w:rsidR="00800516" w:rsidRPr="00BC6608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.</w:t>
      </w:r>
    </w:p>
    <w:p w:rsidR="00E367A0" w:rsidRPr="00FC39AB" w:rsidRDefault="00E367A0" w:rsidP="0080051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F1872" w:rsidRDefault="00E367A0" w:rsidP="0080051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C39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Постановка проблеми. </w:t>
      </w:r>
      <w:r w:rsidR="009C3185" w:rsidRPr="00FC39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Майже кожна галузь вітчизняної економіки, включаючи страхування, використовує інструменти маркетингу у своїй діяльності. Страховий маркетинг розглядається </w:t>
      </w:r>
      <w:r w:rsidR="0009716F" w:rsidRPr="00FC39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як </w:t>
      </w:r>
      <w:r w:rsidR="003253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особлива</w:t>
      </w:r>
      <w:r w:rsidR="0009716F" w:rsidRPr="00FC39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галузь маркетингу сфери послуг в сил</w:t>
      </w:r>
      <w:r w:rsidR="009F18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r w:rsidR="0009716F" w:rsidRPr="00FC39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специфіки страхової діяльності. Страховий маркетинг являється новою філософією страхового бізнесу, оскільки використання його інструментів позитивно впливає на діяльність не лише страхових компаній, а й на функціонування всього страхового ринку. </w:t>
      </w:r>
      <w:r w:rsidR="009F18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Зростання конкуренції між страховими компаніями, слабкий попит на послуги, а також низький рівень страхової культури та довіри у населення, відсутність поінформованості про можливості страхування  виступають ключовими проблемами на страховому ринку України.</w:t>
      </w:r>
    </w:p>
    <w:p w:rsidR="00A6441C" w:rsidRPr="00F6227D" w:rsidRDefault="00E367A0" w:rsidP="00F6227D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F73E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Аналіз останніх досліджень і публікацій.</w:t>
      </w:r>
      <w:r w:rsidR="00A6441C" w:rsidRPr="002F73E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622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Дослідження</w:t>
      </w:r>
      <w:r w:rsidR="0009716F" w:rsidRPr="002F73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загальних проблем страхування</w:t>
      </w:r>
      <w:r w:rsidR="00F622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належать</w:t>
      </w:r>
      <w:r w:rsidR="0009716F" w:rsidRPr="002F73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так</w:t>
      </w:r>
      <w:r w:rsidR="00F622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им</w:t>
      </w:r>
      <w:r w:rsidR="0009716F" w:rsidRPr="002F73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вчен</w:t>
      </w:r>
      <w:r w:rsidR="00F622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им як</w:t>
      </w:r>
      <w:r w:rsidR="0009716F" w:rsidRPr="002F73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r w:rsidR="00A6441C" w:rsidRPr="002F73E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А.</w:t>
      </w:r>
      <w:r w:rsidR="002F73E3" w:rsidRPr="002F73E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="00A6441C" w:rsidRPr="002F73E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Манес</w:t>
      </w:r>
      <w:r w:rsidR="00F6227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у</w:t>
      </w:r>
      <w:proofErr w:type="spellEnd"/>
      <w:r w:rsidR="00977A0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[7</w:t>
      </w:r>
      <w:r w:rsidR="00E027A8" w:rsidRPr="002F73E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]</w:t>
      </w:r>
      <w:r w:rsidR="00A6441C" w:rsidRPr="002F73E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, Л.</w:t>
      </w:r>
      <w:r w:rsidR="002F73E3" w:rsidRPr="002F73E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="00A6441C" w:rsidRPr="002F73E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Орланюк-Малицьк</w:t>
      </w:r>
      <w:r w:rsidR="00F6227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ій</w:t>
      </w:r>
      <w:proofErr w:type="spellEnd"/>
      <w:r w:rsidR="002F73E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 </w:t>
      </w:r>
      <w:r w:rsidR="00977A0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[8</w:t>
      </w:r>
      <w:r w:rsidR="00E027A8" w:rsidRPr="002F73E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]</w:t>
      </w:r>
      <w:r w:rsidR="00A6441C" w:rsidRPr="002F73E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, О.</w:t>
      </w:r>
      <w:r w:rsidR="002F73E3" w:rsidRPr="003F367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="00A6441C" w:rsidRPr="002F73E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Шихов</w:t>
      </w:r>
      <w:r w:rsidR="00F6227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ій</w:t>
      </w:r>
      <w:proofErr w:type="spellEnd"/>
      <w:r w:rsidR="002F73E3" w:rsidRPr="002F73E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[</w:t>
      </w:r>
      <w:r w:rsidR="004A6EF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14</w:t>
      </w:r>
      <w:r w:rsidR="002F73E3" w:rsidRPr="002F73E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]</w:t>
      </w:r>
      <w:r w:rsidR="00A6441C" w:rsidRPr="002F73E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,</w:t>
      </w:r>
      <w:r w:rsidR="002F73E3" w:rsidRPr="003F367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2F73E3" w:rsidRPr="002F73E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А. Шеремет</w:t>
      </w:r>
      <w:r w:rsidR="00F6227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у</w:t>
      </w:r>
      <w:r w:rsidR="002F73E3" w:rsidRPr="002F73E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[</w:t>
      </w:r>
      <w:r w:rsidR="004A6EF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13</w:t>
      </w:r>
      <w:r w:rsidR="002F73E3" w:rsidRPr="002F73E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]</w:t>
      </w:r>
      <w:r w:rsidR="002F73E3" w:rsidRPr="003F367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та ін</w:t>
      </w:r>
      <w:r w:rsidR="002F73E3" w:rsidRPr="002F73E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</w:t>
      </w:r>
      <w:r w:rsidR="00F622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6441C" w:rsidRPr="002F73E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Серед вітчизняних вчених варто </w:t>
      </w:r>
      <w:r w:rsidR="0009716F" w:rsidRPr="002F73E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виділити</w:t>
      </w:r>
      <w:r w:rsidR="00A6441C" w:rsidRPr="002F73E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: В.</w:t>
      </w:r>
      <w:r w:rsidR="002F73E3" w:rsidRPr="002F73E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="00A6441C" w:rsidRPr="002F73E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Базилевича</w:t>
      </w:r>
      <w:proofErr w:type="spellEnd"/>
      <w:r w:rsidR="00977A0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[3</w:t>
      </w:r>
      <w:r w:rsidR="002F73E3" w:rsidRPr="002F73E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]</w:t>
      </w:r>
      <w:r w:rsidR="00A6441C" w:rsidRPr="002F73E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, К.</w:t>
      </w:r>
      <w:r w:rsidR="002F73E3" w:rsidRPr="002F73E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="00A6441C" w:rsidRPr="002F73E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Воблого</w:t>
      </w:r>
      <w:proofErr w:type="spellEnd"/>
      <w:r w:rsidR="002F73E3" w:rsidRPr="002F73E3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en-US"/>
        </w:rPr>
        <w:t> </w:t>
      </w:r>
      <w:r w:rsidR="00977A0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[4</w:t>
      </w:r>
      <w:r w:rsidR="002F73E3" w:rsidRPr="002F73E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], </w:t>
      </w:r>
      <w:r w:rsidR="00A6441C" w:rsidRPr="002F73E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О.</w:t>
      </w:r>
      <w:r w:rsidR="002F73E3" w:rsidRPr="002F73E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A6441C" w:rsidRPr="002F73E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Зарубу</w:t>
      </w:r>
      <w:r w:rsidR="00977A0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[6</w:t>
      </w:r>
      <w:r w:rsidR="002F73E3" w:rsidRPr="002F73E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]</w:t>
      </w:r>
      <w:r w:rsidR="00A6441C" w:rsidRPr="002F73E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, К.</w:t>
      </w:r>
      <w:r w:rsidR="002F73E3" w:rsidRPr="002F73E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="00A6441C" w:rsidRPr="002F73E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Шелехова</w:t>
      </w:r>
      <w:proofErr w:type="spellEnd"/>
      <w:r w:rsidR="004A6EF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[12</w:t>
      </w:r>
      <w:r w:rsidR="002F73E3" w:rsidRPr="002F73E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].</w:t>
      </w:r>
    </w:p>
    <w:p w:rsidR="00A6441C" w:rsidRPr="000D20B3" w:rsidRDefault="00F6227D" w:rsidP="0009716F">
      <w:pPr>
        <w:pStyle w:val="2"/>
        <w:widowControl/>
        <w:tabs>
          <w:tab w:val="left" w:pos="1134"/>
        </w:tabs>
        <w:spacing w:line="360" w:lineRule="auto"/>
        <w:ind w:firstLine="709"/>
        <w:rPr>
          <w:color w:val="000000" w:themeColor="text1"/>
          <w:spacing w:val="-4"/>
          <w:lang w:val="uk-UA"/>
        </w:rPr>
      </w:pPr>
      <w:r>
        <w:rPr>
          <w:color w:val="000000" w:themeColor="text1"/>
          <w:spacing w:val="-4"/>
          <w:lang w:val="uk-UA"/>
        </w:rPr>
        <w:t>Проблематика</w:t>
      </w:r>
      <w:r w:rsidR="0009716F" w:rsidRPr="00FC39AB">
        <w:rPr>
          <w:color w:val="000000" w:themeColor="text1"/>
          <w:spacing w:val="-4"/>
          <w:lang w:val="uk-UA"/>
        </w:rPr>
        <w:t xml:space="preserve"> розвитку маркетингу та дослідження різних його аспектів стали </w:t>
      </w:r>
      <w:r w:rsidR="0009716F" w:rsidRPr="000D20B3">
        <w:rPr>
          <w:color w:val="000000" w:themeColor="text1"/>
          <w:spacing w:val="-4"/>
          <w:lang w:val="uk-UA"/>
        </w:rPr>
        <w:t xml:space="preserve">предметом багатьох зарубіжних та вітчизняних публікацій таких науковців як </w:t>
      </w:r>
      <w:r w:rsidR="00A6441C" w:rsidRPr="000D20B3">
        <w:rPr>
          <w:color w:val="000000" w:themeColor="text1"/>
          <w:spacing w:val="-4"/>
          <w:lang w:val="uk-UA"/>
        </w:rPr>
        <w:t>Г.</w:t>
      </w:r>
      <w:proofErr w:type="spellStart"/>
      <w:r w:rsidR="00A6441C" w:rsidRPr="000D20B3">
        <w:rPr>
          <w:color w:val="000000" w:themeColor="text1"/>
          <w:spacing w:val="-4"/>
          <w:lang w:val="uk-UA"/>
        </w:rPr>
        <w:t>Багієва</w:t>
      </w:r>
      <w:proofErr w:type="spellEnd"/>
      <w:r w:rsidR="007512F8" w:rsidRPr="000D20B3">
        <w:rPr>
          <w:color w:val="000000" w:themeColor="text1"/>
          <w:spacing w:val="-4"/>
          <w:lang w:val="uk-UA"/>
        </w:rPr>
        <w:t xml:space="preserve"> [</w:t>
      </w:r>
      <w:r w:rsidR="00977A08">
        <w:rPr>
          <w:color w:val="000000" w:themeColor="text1"/>
          <w:spacing w:val="-4"/>
          <w:lang w:val="uk-UA"/>
        </w:rPr>
        <w:t>2</w:t>
      </w:r>
      <w:r w:rsidR="007512F8" w:rsidRPr="000D20B3">
        <w:rPr>
          <w:color w:val="000000" w:themeColor="text1"/>
          <w:spacing w:val="-4"/>
          <w:lang w:val="uk-UA"/>
        </w:rPr>
        <w:t>]</w:t>
      </w:r>
      <w:r w:rsidR="000D20B3" w:rsidRPr="000D20B3">
        <w:rPr>
          <w:color w:val="000000" w:themeColor="text1"/>
          <w:spacing w:val="-4"/>
          <w:lang w:val="uk-UA"/>
        </w:rPr>
        <w:t xml:space="preserve">, </w:t>
      </w:r>
      <w:r w:rsidR="00A6441C" w:rsidRPr="000D20B3">
        <w:rPr>
          <w:color w:val="000000" w:themeColor="text1"/>
          <w:spacing w:val="-4"/>
          <w:lang w:val="uk-UA"/>
        </w:rPr>
        <w:t>Дж.</w:t>
      </w:r>
      <w:r w:rsidR="000D20B3">
        <w:rPr>
          <w:color w:val="000000" w:themeColor="text1"/>
          <w:spacing w:val="-4"/>
          <w:lang w:val="uk-UA"/>
        </w:rPr>
        <w:t xml:space="preserve"> </w:t>
      </w:r>
      <w:proofErr w:type="spellStart"/>
      <w:r w:rsidR="00A6441C" w:rsidRPr="000D20B3">
        <w:rPr>
          <w:color w:val="000000" w:themeColor="text1"/>
          <w:spacing w:val="-4"/>
          <w:lang w:val="uk-UA"/>
        </w:rPr>
        <w:t>Еванса</w:t>
      </w:r>
      <w:proofErr w:type="spellEnd"/>
      <w:r w:rsidR="004A6EF0">
        <w:rPr>
          <w:color w:val="000000" w:themeColor="text1"/>
          <w:spacing w:val="-4"/>
          <w:lang w:val="uk-UA"/>
        </w:rPr>
        <w:t xml:space="preserve"> [15</w:t>
      </w:r>
      <w:r w:rsidR="000D20B3" w:rsidRPr="000D20B3">
        <w:rPr>
          <w:color w:val="000000" w:themeColor="text1"/>
          <w:spacing w:val="-4"/>
          <w:lang w:val="uk-UA"/>
        </w:rPr>
        <w:t>]</w:t>
      </w:r>
      <w:r w:rsidR="00A6441C" w:rsidRPr="000D20B3">
        <w:rPr>
          <w:color w:val="000000" w:themeColor="text1"/>
          <w:spacing w:val="-4"/>
          <w:lang w:val="uk-UA"/>
        </w:rPr>
        <w:t xml:space="preserve">, </w:t>
      </w:r>
      <w:r w:rsidR="00C833D2" w:rsidRPr="000D20B3">
        <w:rPr>
          <w:color w:val="000000" w:themeColor="text1"/>
          <w:spacing w:val="-4"/>
          <w:lang w:val="uk-UA"/>
        </w:rPr>
        <w:t>А.</w:t>
      </w:r>
      <w:proofErr w:type="spellStart"/>
      <w:r w:rsidR="00C833D2" w:rsidRPr="000D20B3">
        <w:rPr>
          <w:color w:val="000000" w:themeColor="text1"/>
          <w:spacing w:val="-4"/>
          <w:lang w:val="uk-UA"/>
        </w:rPr>
        <w:t>Старостін</w:t>
      </w:r>
      <w:r w:rsidR="000D20B3">
        <w:rPr>
          <w:color w:val="000000" w:themeColor="text1"/>
          <w:spacing w:val="-4"/>
          <w:lang w:val="uk-UA"/>
        </w:rPr>
        <w:t>ої</w:t>
      </w:r>
      <w:proofErr w:type="spellEnd"/>
      <w:r w:rsidR="00C833D2" w:rsidRPr="000D20B3">
        <w:rPr>
          <w:color w:val="000000" w:themeColor="text1"/>
          <w:spacing w:val="-4"/>
          <w:lang w:val="uk-UA"/>
        </w:rPr>
        <w:t xml:space="preserve"> [1</w:t>
      </w:r>
      <w:r w:rsidR="000D20B3" w:rsidRPr="000D20B3">
        <w:rPr>
          <w:color w:val="000000" w:themeColor="text1"/>
          <w:spacing w:val="-4"/>
          <w:lang w:val="uk-UA"/>
        </w:rPr>
        <w:t>1</w:t>
      </w:r>
      <w:r w:rsidR="00977A08">
        <w:rPr>
          <w:color w:val="000000" w:themeColor="text1"/>
          <w:spacing w:val="-4"/>
          <w:lang w:val="uk-UA"/>
        </w:rPr>
        <w:t>], А.Павленко [9</w:t>
      </w:r>
      <w:r w:rsidR="000D20B3" w:rsidRPr="000D20B3">
        <w:rPr>
          <w:color w:val="000000" w:themeColor="text1"/>
          <w:spacing w:val="-4"/>
          <w:lang w:val="uk-UA"/>
        </w:rPr>
        <w:t>] та ін.</w:t>
      </w:r>
    </w:p>
    <w:p w:rsidR="00E367A0" w:rsidRPr="00FC39AB" w:rsidRDefault="0009716F" w:rsidP="0080051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C39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Після ознайомлення з працями науковців було з’ясовано </w:t>
      </w:r>
      <w:r w:rsidR="00F622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значну</w:t>
      </w:r>
      <w:r w:rsidRPr="00FC39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практичну важливість та недостатню теоретичну обґрунтованість проблем, які пов’язані з розумінням системи страхового маркетингу, формуванням комплексного підходу до розробки та впровадження його інструментарію українськими страховими компаніями, що й вплинуло на вибір теми.</w:t>
      </w:r>
    </w:p>
    <w:p w:rsidR="00E367A0" w:rsidRPr="00FC39AB" w:rsidRDefault="00E367A0" w:rsidP="0009716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9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Метою статті </w:t>
      </w:r>
      <w:r w:rsidR="0009716F" w:rsidRPr="00FC39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є дослідження теоретичних</w:t>
      </w:r>
      <w:r w:rsidR="00F622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і практичних</w:t>
      </w:r>
      <w:r w:rsidR="0009716F" w:rsidRPr="00FC39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аспектів використання страхового маркетингу на українських підприємствах в нинішніх умовах функціонування страхового ринку.</w:t>
      </w:r>
    </w:p>
    <w:p w:rsidR="0009716F" w:rsidRPr="00FC39AB" w:rsidRDefault="00E367A0" w:rsidP="00AD4D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C39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Виклад основного матеріалу.</w:t>
      </w:r>
      <w:r w:rsidR="00A6441C" w:rsidRPr="00FC39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D4D55" w:rsidRPr="00FC39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Роль маркетингу</w:t>
      </w:r>
      <w:r w:rsidR="00F622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</w:t>
      </w:r>
      <w:r w:rsidR="00AD4D55" w:rsidRPr="00FC39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діяльності суб’єктів страхового ринку важко переоцінити. </w:t>
      </w:r>
      <w:r w:rsidR="009F1872" w:rsidRPr="00810C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Багато науковців досліджують теоретичні та практичні </w:t>
      </w:r>
      <w:r w:rsidR="00F622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аспекти</w:t>
      </w:r>
      <w:r w:rsidR="009F1872" w:rsidRPr="00810C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маркетингової політики</w:t>
      </w:r>
      <w:r w:rsidR="00810C73" w:rsidRPr="00810C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проблеми управління маркетингом. </w:t>
      </w:r>
      <w:r w:rsidR="00F622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r w:rsidR="00810C73" w:rsidRPr="00810C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нашому випадку </w:t>
      </w:r>
      <w:r w:rsidR="00F622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значна кількість наукових</w:t>
      </w:r>
      <w:r w:rsidR="00810C73" w:rsidRPr="00810C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праць присвячен</w:t>
      </w:r>
      <w:r w:rsidR="00F622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810C73" w:rsidRPr="00810C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проблемам, які пов’язані з особливостями використання маркетингу в страховій діяльності.</w:t>
      </w:r>
      <w:r w:rsidR="00810C7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:rsidR="00A6441C" w:rsidRPr="00FC39AB" w:rsidRDefault="00AD4D55" w:rsidP="00AD4D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Економічна теорія на сьогоднішній день не дає єдиного тлумачення поняттю «страховий маркетинг». За </w:t>
      </w:r>
      <w:proofErr w:type="spellStart"/>
      <w:r w:rsidRPr="00FC3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Базилевичем</w:t>
      </w:r>
      <w:proofErr w:type="spellEnd"/>
      <w:r w:rsidRPr="00FC3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В.Д</w:t>
      </w:r>
      <w:r w:rsidR="00A6441C" w:rsidRPr="00FC3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6441C" w:rsidRPr="00FC39A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страховий маркетинг</w:t>
      </w:r>
      <w:r w:rsidR="00A6441C" w:rsidRPr="00FC3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це  комплекс заходів, спрямованих на формування та постійне вдосконалення діяльності страхової компанії, а саме</w:t>
      </w:r>
      <w:r w:rsidR="003713D8" w:rsidRPr="00FC3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6441C" w:rsidRPr="00FC3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</w:t>
      </w:r>
      <w:r w:rsidR="00977A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A6441C" w:rsidRPr="00FC3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]:</w:t>
      </w:r>
    </w:p>
    <w:p w:rsidR="00A6441C" w:rsidRPr="00FC39AB" w:rsidRDefault="00A6441C" w:rsidP="0080051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розробка конкурентоспроможних страхових продуктів (послуг) для конкретних категорій споживачів (страхувальників);</w:t>
      </w:r>
    </w:p>
    <w:p w:rsidR="00A6441C" w:rsidRPr="00FC39AB" w:rsidRDefault="00A6441C" w:rsidP="0080051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впровадження раціональних форм реалізації цих продуктів за належного сервісу та реклами;</w:t>
      </w:r>
    </w:p>
    <w:p w:rsidR="00A6441C" w:rsidRPr="00FC39AB" w:rsidRDefault="00A6441C" w:rsidP="0080051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збирання та аналіз інформації щодо ефективності діяльності страховика.</w:t>
      </w:r>
    </w:p>
    <w:p w:rsidR="00A6441C" w:rsidRPr="00977A08" w:rsidRDefault="00A6441C" w:rsidP="00977A0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C39AB">
        <w:rPr>
          <w:rFonts w:ascii="Times New Roman" w:hAnsi="Times New Roman" w:cs="Times New Roman"/>
          <w:color w:val="000000" w:themeColor="text1"/>
          <w:sz w:val="28"/>
          <w:szCs w:val="28"/>
        </w:rPr>
        <w:t>Долгошея</w:t>
      </w:r>
      <w:proofErr w:type="spellEnd"/>
      <w:r w:rsidRPr="00FC3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 О. </w:t>
      </w:r>
      <w:r w:rsidR="00AD4D55" w:rsidRPr="00FC39AB">
        <w:rPr>
          <w:rFonts w:ascii="Times New Roman" w:hAnsi="Times New Roman" w:cs="Times New Roman"/>
          <w:color w:val="000000" w:themeColor="text1"/>
          <w:sz w:val="28"/>
          <w:szCs w:val="28"/>
        </w:rPr>
        <w:t>тракту</w:t>
      </w:r>
      <w:r w:rsidR="008F3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є </w:t>
      </w:r>
      <w:r w:rsidR="00AD4D55" w:rsidRPr="00FC39A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C39A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страхов</w:t>
      </w:r>
      <w:r w:rsidR="008F34D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ий</w:t>
      </w:r>
      <w:r w:rsidRPr="00FC39A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маркетинг</w:t>
      </w:r>
      <w:r w:rsidR="00AD4D55" w:rsidRPr="00FC39A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</w:t>
      </w:r>
      <w:r w:rsidRPr="00FC3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</w:t>
      </w:r>
      <w:proofErr w:type="spellStart"/>
      <w:r w:rsidRPr="00FC39AB">
        <w:rPr>
          <w:rFonts w:ascii="Times New Roman" w:hAnsi="Times New Roman" w:cs="Times New Roman"/>
          <w:color w:val="000000" w:themeColor="text1"/>
          <w:sz w:val="28"/>
          <w:szCs w:val="28"/>
        </w:rPr>
        <w:t>систем</w:t>
      </w:r>
      <w:r w:rsidR="008F34D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C39AB">
        <w:rPr>
          <w:rFonts w:ascii="Times New Roman" w:hAnsi="Times New Roman" w:cs="Times New Roman"/>
          <w:color w:val="000000" w:themeColor="text1"/>
          <w:sz w:val="28"/>
          <w:szCs w:val="28"/>
        </w:rPr>
        <w:t>взаємодії</w:t>
      </w:r>
      <w:proofErr w:type="spellEnd"/>
      <w:r w:rsidRPr="00FC3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страховика і страхувальника, спрямовану на взаємне врахування інтересів і потреб [</w:t>
      </w:r>
      <w:r w:rsidR="00977A0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C39AB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</w:p>
    <w:p w:rsidR="00E367A0" w:rsidRPr="00FC39AB" w:rsidRDefault="00AD4D55" w:rsidP="0080051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Звернемося до зарубіжних бачень даного поняття. Наприклад, польський науковець </w:t>
      </w:r>
      <w:r w:rsidR="00A6441C" w:rsidRPr="00FC3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Адам </w:t>
      </w:r>
      <w:proofErr w:type="spellStart"/>
      <w:r w:rsidR="00A6441C" w:rsidRPr="00FC39AB">
        <w:rPr>
          <w:rFonts w:ascii="Times New Roman" w:hAnsi="Times New Roman" w:cs="Times New Roman"/>
          <w:color w:val="000000" w:themeColor="text1"/>
          <w:sz w:val="28"/>
          <w:szCs w:val="28"/>
        </w:rPr>
        <w:t>Ру</w:t>
      </w:r>
      <w:r w:rsidR="003713D8" w:rsidRPr="00FC39AB">
        <w:rPr>
          <w:rFonts w:ascii="Times New Roman" w:hAnsi="Times New Roman" w:cs="Times New Roman"/>
          <w:color w:val="000000" w:themeColor="text1"/>
          <w:sz w:val="28"/>
          <w:szCs w:val="28"/>
        </w:rPr>
        <w:t>тковський</w:t>
      </w:r>
      <w:proofErr w:type="spellEnd"/>
      <w:r w:rsidRPr="00FC3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страховому маркетингу вбачає </w:t>
      </w:r>
      <w:r w:rsidR="00A6441C" w:rsidRPr="00FC3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сукупність </w:t>
      </w:r>
      <w:proofErr w:type="spellStart"/>
      <w:r w:rsidR="00A6441C" w:rsidRPr="00FC39AB">
        <w:rPr>
          <w:rFonts w:ascii="Times New Roman" w:hAnsi="Times New Roman" w:cs="Times New Roman"/>
          <w:color w:val="000000" w:themeColor="text1"/>
          <w:sz w:val="28"/>
          <w:szCs w:val="28"/>
        </w:rPr>
        <w:t>зінтегрованих</w:t>
      </w:r>
      <w:proofErr w:type="spellEnd"/>
      <w:r w:rsidR="00A6441C" w:rsidRPr="00FC3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дій, котрі проводяться страховиком і мають </w:t>
      </w:r>
      <w:r w:rsidR="008F3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A6441C" w:rsidRPr="00FC39A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мет</w:t>
      </w:r>
      <w:r w:rsidR="008F34D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3713D8" w:rsidRPr="00FC3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441C" w:rsidRPr="00FC39AB"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формування страхових послуг з точки зору</w:t>
      </w:r>
      <w:r w:rsidRPr="00FC3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ринку і народного господарства </w:t>
      </w:r>
      <w:r w:rsidR="003713D8" w:rsidRPr="00FC39AB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977A0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C3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]. Можна по-іншому </w:t>
      </w:r>
      <w:r w:rsidR="00FC39AB" w:rsidRPr="00FC3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сформулювати </w:t>
      </w:r>
      <w:r w:rsidR="008F3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дане поняття, а саме  </w:t>
      </w:r>
      <w:r w:rsidR="00FC39AB" w:rsidRPr="00FC3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 вид людської діяльності, спрямований на задоволення потреб шляхом обміну </w:t>
      </w:r>
      <w:r w:rsidR="00A6441C" w:rsidRPr="00FC39AB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977A08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A6441C" w:rsidRPr="00FC3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]. Зміст </w:t>
      </w:r>
      <w:r w:rsidR="00FC39AB" w:rsidRPr="00FC3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такої </w:t>
      </w:r>
      <w:r w:rsidR="00A6441C" w:rsidRPr="00FC39AB">
        <w:rPr>
          <w:rFonts w:ascii="Times New Roman" w:hAnsi="Times New Roman" w:cs="Times New Roman"/>
          <w:color w:val="000000" w:themeColor="text1"/>
          <w:sz w:val="28"/>
          <w:szCs w:val="28"/>
        </w:rPr>
        <w:t>діяльності складають послідовно проведені</w:t>
      </w:r>
      <w:r w:rsidR="003713D8" w:rsidRPr="00FC3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6608">
        <w:rPr>
          <w:rFonts w:ascii="Times New Roman" w:hAnsi="Times New Roman" w:cs="Times New Roman"/>
          <w:color w:val="000000" w:themeColor="text1"/>
          <w:sz w:val="28"/>
          <w:szCs w:val="28"/>
        </w:rPr>
        <w:t>етапи (рис. 1).</w:t>
      </w:r>
    </w:p>
    <w:p w:rsidR="00A6441C" w:rsidRDefault="003713D8" w:rsidP="0080051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C39AB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>
            <wp:extent cx="5486400" cy="861237"/>
            <wp:effectExtent l="0" t="0" r="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BC6608" w:rsidRPr="00BC6608" w:rsidRDefault="00BC6608" w:rsidP="00977A08">
      <w:pPr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C66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Рисунок 1 –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Процес розподілу страхових послуг</w:t>
      </w:r>
    </w:p>
    <w:p w:rsidR="00BC6608" w:rsidRPr="00FC39AB" w:rsidRDefault="00BC6608" w:rsidP="0080051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C39AB" w:rsidRPr="00FC39AB" w:rsidRDefault="00FC39AB" w:rsidP="0080051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Проаналізувавши тлумачення маркетингу </w:t>
      </w:r>
      <w:r w:rsidR="008F34D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C3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страхуванні можна логічно </w:t>
      </w:r>
      <w:r w:rsidR="008F34D7">
        <w:rPr>
          <w:rFonts w:ascii="Times New Roman" w:hAnsi="Times New Roman" w:cs="Times New Roman"/>
          <w:color w:val="000000" w:themeColor="text1"/>
          <w:sz w:val="28"/>
          <w:szCs w:val="28"/>
        </w:rPr>
        <w:t>констатувати</w:t>
      </w:r>
      <w:r w:rsidRPr="00FC3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що </w:t>
      </w:r>
      <w:r w:rsidR="008F3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саме </w:t>
      </w:r>
      <w:r w:rsidRPr="00FC39AB">
        <w:rPr>
          <w:rFonts w:ascii="Times New Roman" w:hAnsi="Times New Roman" w:cs="Times New Roman"/>
          <w:color w:val="000000" w:themeColor="text1"/>
          <w:sz w:val="28"/>
          <w:szCs w:val="28"/>
        </w:rPr>
        <w:t>маркетинг є суттєвою частиною у формуванні стратегічної політики страхових компаній.</w:t>
      </w:r>
    </w:p>
    <w:p w:rsidR="00FC39AB" w:rsidRPr="00FC39AB" w:rsidRDefault="00FC39AB" w:rsidP="0080051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Значущість страхового маркетингу можна проілюструвати через його функції [</w:t>
      </w:r>
      <w:r w:rsidR="0097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C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]:</w:t>
      </w:r>
    </w:p>
    <w:p w:rsidR="00FC39AB" w:rsidRPr="00FC39AB" w:rsidRDefault="00FC39AB" w:rsidP="0080051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дослідження ринків та клієнтської бази страховика, тобто виявлення </w:t>
      </w:r>
      <w:r w:rsidR="00FC3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існуючих та потенці</w:t>
      </w:r>
      <w:r w:rsidRPr="00FC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йни</w:t>
      </w:r>
      <w:r w:rsidR="00FC3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FC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3D41" w:rsidRPr="00FC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r w:rsidR="00FC3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ієнті</w:t>
      </w:r>
      <w:r w:rsidR="00FC3D41" w:rsidRPr="00FC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FC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метою </w:t>
      </w:r>
      <w:r w:rsidR="00FC3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 залучення, що принесе в свою чергу вищі прибутки;</w:t>
      </w:r>
    </w:p>
    <w:p w:rsidR="00800516" w:rsidRPr="00FC39AB" w:rsidRDefault="00FC3D41" w:rsidP="00FC3D4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дослідження страхового портфеля</w:t>
      </w:r>
      <w:r w:rsidR="008F3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послуг</w:t>
      </w:r>
      <w:r w:rsidRPr="00FC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страхової компанії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тобто пров</w:t>
      </w:r>
      <w:r w:rsidR="008F3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аналіз</w:t>
      </w:r>
      <w:r w:rsidR="008F3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ймовірності настання страхових випадків від таких характеристик клієнтської бази як </w:t>
      </w:r>
      <w:r w:rsidR="00800516" w:rsidRPr="00FC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 географічне положення, стать, професія;</w:t>
      </w:r>
    </w:p>
    <w:p w:rsidR="00FC3D41" w:rsidRDefault="00FC3D41" w:rsidP="0080051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розробка вимог до страхової продукції, що проявляється у виявленні властивостей, які найбільше задовольнятимуть потреби споживача;</w:t>
      </w:r>
    </w:p>
    <w:p w:rsidR="00FC3D41" w:rsidRDefault="00FC3D41" w:rsidP="0080051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просування страхових послуг на ринок.</w:t>
      </w:r>
    </w:p>
    <w:p w:rsidR="00164331" w:rsidRDefault="004C0D04" w:rsidP="0016433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Маркетингова діяльність страховика спирається</w:t>
      </w:r>
      <w:r w:rsidR="001643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аналіз </w:t>
      </w:r>
      <w:r w:rsidR="00800516" w:rsidRPr="00FC39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кон’юнктури страхового ринку </w:t>
      </w:r>
      <w:r w:rsidR="001643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аби достовірно визначити потреби споживачів страхових послуг та методи їх задоволення,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оперативно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реагувати на зміни ендогенних та екзогенних </w:t>
      </w:r>
      <w:r w:rsidR="001643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факторів навколишнього середовища, впроваджувати інновації у діяльність страхових компаній.</w:t>
      </w:r>
    </w:p>
    <w:p w:rsidR="00164331" w:rsidRDefault="004C0D04" w:rsidP="0016433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Ключовими</w:t>
      </w:r>
      <w:r w:rsidR="009754FA" w:rsidRPr="00975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чинни</w:t>
      </w:r>
      <w:r w:rsidR="00975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впливу </w:t>
      </w:r>
      <w:r w:rsidR="00975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розвиток страхового маркетингу в Україні, є:</w:t>
      </w:r>
    </w:p>
    <w:p w:rsidR="009754FA" w:rsidRDefault="009754FA" w:rsidP="00C248C6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рівень купівельної спроможності;</w:t>
      </w:r>
    </w:p>
    <w:p w:rsidR="009754FA" w:rsidRDefault="009754FA" w:rsidP="00C248C6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ціна на страхові послуги;</w:t>
      </w:r>
    </w:p>
    <w:p w:rsidR="009754FA" w:rsidRPr="009754FA" w:rsidRDefault="009754FA" w:rsidP="00C248C6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75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ймовірність настання страхових випадків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9754FA" w:rsidRDefault="009754FA" w:rsidP="00C248C6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рівень соціального забезпечення;</w:t>
      </w:r>
    </w:p>
    <w:p w:rsidR="009754FA" w:rsidRPr="009754FA" w:rsidRDefault="009754FA" w:rsidP="00C248C6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конкуренція на страховому ринку та ін.</w:t>
      </w:r>
    </w:p>
    <w:p w:rsidR="00164331" w:rsidRDefault="00C248C6" w:rsidP="0080051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Нині український страховий ринок є головним сектором фінансових послуг і за обсягом грошових коштів, і за ступенем законодавчої та організаційної діяльності. Проте існує ряд проблем, які гальмують розвиток даного сектору економіки, а саме:</w:t>
      </w:r>
    </w:p>
    <w:p w:rsidR="00C248C6" w:rsidRDefault="00C248C6" w:rsidP="00C248C6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недостатність досвіду у страховиків;</w:t>
      </w:r>
    </w:p>
    <w:p w:rsidR="00C248C6" w:rsidRDefault="00C248C6" w:rsidP="00C248C6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орієнтація на короткострокову перспективу та відсутність довготривалої стратегії розвитку;</w:t>
      </w:r>
    </w:p>
    <w:p w:rsidR="00C248C6" w:rsidRDefault="00C248C6" w:rsidP="00C248C6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висока ціна на стразовий маркетинг;</w:t>
      </w:r>
    </w:p>
    <w:p w:rsidR="00C248C6" w:rsidRPr="00C248C6" w:rsidRDefault="00C248C6" w:rsidP="00C248C6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розвиток корпоративного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кептивного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страхування</w:t>
      </w:r>
      <w:r w:rsidR="00C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6DEC" w:rsidRDefault="004E76E3" w:rsidP="004A318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Ринок </w:t>
      </w:r>
      <w:r w:rsidR="00BC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страхових послуг залишається найбільш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капіталізованим серед інших небанківських фінансових ринків в Україні. Загальна кількість страхових компаній</w:t>
      </w:r>
      <w:r w:rsidR="008F3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(СК)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станом на 21.12.2014 становила 382, у тому числі </w:t>
      </w:r>
      <w:r w:rsidRPr="004A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 "</w:t>
      </w:r>
      <w:proofErr w:type="spellStart"/>
      <w:r w:rsidRPr="004A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life</w:t>
      </w:r>
      <w:proofErr w:type="spellEnd"/>
      <w:r w:rsidRPr="004A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 57 компаній, СК "non-</w:t>
      </w:r>
      <w:proofErr w:type="spellStart"/>
      <w:r w:rsidRPr="004A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life</w:t>
      </w:r>
      <w:proofErr w:type="spellEnd"/>
      <w:r w:rsidRPr="004A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 –  325 компаній</w:t>
      </w:r>
      <w:r w:rsidR="0004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(табл. 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76E3" w:rsidRDefault="004E76E3" w:rsidP="004E76E3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21F2" w:rsidRPr="008729CC" w:rsidRDefault="000421F2" w:rsidP="000421F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Таблиця 1 – Кількість страхових компаній у 2012-2014 рр.</w:t>
      </w:r>
      <w:r w:rsidR="008729CC" w:rsidRPr="008729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3"/>
        <w:gridCol w:w="1534"/>
        <w:gridCol w:w="1534"/>
        <w:gridCol w:w="1513"/>
        <w:gridCol w:w="1513"/>
        <w:gridCol w:w="1500"/>
      </w:tblGrid>
      <w:tr w:rsidR="004E76E3" w:rsidRPr="000421F2" w:rsidTr="001D06C7">
        <w:tc>
          <w:tcPr>
            <w:tcW w:w="1892" w:type="dxa"/>
            <w:vMerge w:val="restart"/>
            <w:vAlign w:val="center"/>
          </w:tcPr>
          <w:p w:rsidR="004E76E3" w:rsidRPr="000421F2" w:rsidRDefault="004E76E3" w:rsidP="000421F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21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Кількість страхових компаній</w:t>
            </w:r>
          </w:p>
        </w:tc>
        <w:tc>
          <w:tcPr>
            <w:tcW w:w="1663" w:type="dxa"/>
            <w:vMerge w:val="restart"/>
            <w:vAlign w:val="center"/>
          </w:tcPr>
          <w:p w:rsidR="004E76E3" w:rsidRPr="000421F2" w:rsidRDefault="004E76E3" w:rsidP="000421F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21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Станом на 31.12.2012</w:t>
            </w:r>
          </w:p>
        </w:tc>
        <w:tc>
          <w:tcPr>
            <w:tcW w:w="1663" w:type="dxa"/>
            <w:vMerge w:val="restart"/>
            <w:vAlign w:val="center"/>
          </w:tcPr>
          <w:p w:rsidR="004E76E3" w:rsidRPr="000421F2" w:rsidRDefault="004E76E3" w:rsidP="000421F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21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Станом на 31.12.2013</w:t>
            </w:r>
          </w:p>
        </w:tc>
        <w:tc>
          <w:tcPr>
            <w:tcW w:w="3026" w:type="dxa"/>
            <w:gridSpan w:val="2"/>
            <w:vAlign w:val="center"/>
          </w:tcPr>
          <w:p w:rsidR="004E76E3" w:rsidRPr="000421F2" w:rsidRDefault="004E76E3" w:rsidP="000421F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21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Зміни у 2014 році</w:t>
            </w:r>
          </w:p>
        </w:tc>
        <w:tc>
          <w:tcPr>
            <w:tcW w:w="1610" w:type="dxa"/>
            <w:vMerge w:val="restart"/>
            <w:vAlign w:val="center"/>
          </w:tcPr>
          <w:p w:rsidR="004E76E3" w:rsidRPr="000421F2" w:rsidRDefault="004E76E3" w:rsidP="000421F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21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Станом на 31.12.2014</w:t>
            </w:r>
          </w:p>
        </w:tc>
      </w:tr>
      <w:tr w:rsidR="004E76E3" w:rsidRPr="000421F2" w:rsidTr="001D06C7">
        <w:tc>
          <w:tcPr>
            <w:tcW w:w="1892" w:type="dxa"/>
            <w:vMerge/>
          </w:tcPr>
          <w:p w:rsidR="004E76E3" w:rsidRPr="000421F2" w:rsidRDefault="004E76E3" w:rsidP="000421F2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vMerge/>
          </w:tcPr>
          <w:p w:rsidR="004E76E3" w:rsidRPr="000421F2" w:rsidRDefault="004E76E3" w:rsidP="000421F2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vMerge/>
          </w:tcPr>
          <w:p w:rsidR="004E76E3" w:rsidRPr="000421F2" w:rsidRDefault="004E76E3" w:rsidP="000421F2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  <w:vAlign w:val="center"/>
          </w:tcPr>
          <w:p w:rsidR="004E76E3" w:rsidRPr="000421F2" w:rsidRDefault="000421F2" w:rsidP="000421F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21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внесено інформацію</w:t>
            </w:r>
          </w:p>
        </w:tc>
        <w:tc>
          <w:tcPr>
            <w:tcW w:w="1513" w:type="dxa"/>
            <w:vAlign w:val="center"/>
          </w:tcPr>
          <w:p w:rsidR="004E76E3" w:rsidRPr="000421F2" w:rsidRDefault="000421F2" w:rsidP="000421F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21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виключено інформацію</w:t>
            </w:r>
          </w:p>
        </w:tc>
        <w:tc>
          <w:tcPr>
            <w:tcW w:w="1610" w:type="dxa"/>
            <w:vMerge/>
          </w:tcPr>
          <w:p w:rsidR="004E76E3" w:rsidRPr="000421F2" w:rsidRDefault="004E76E3" w:rsidP="000421F2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76E3" w:rsidRPr="000421F2" w:rsidTr="001D06C7">
        <w:tc>
          <w:tcPr>
            <w:tcW w:w="1892" w:type="dxa"/>
            <w:vAlign w:val="center"/>
          </w:tcPr>
          <w:p w:rsidR="004E76E3" w:rsidRPr="000421F2" w:rsidRDefault="004E76E3" w:rsidP="000421F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Загальна кількість, у т.ч.</w:t>
            </w:r>
          </w:p>
        </w:tc>
        <w:tc>
          <w:tcPr>
            <w:tcW w:w="1663" w:type="dxa"/>
            <w:vAlign w:val="center"/>
          </w:tcPr>
          <w:p w:rsidR="004E76E3" w:rsidRPr="000421F2" w:rsidRDefault="004E76E3" w:rsidP="000421F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663" w:type="dxa"/>
            <w:vAlign w:val="center"/>
          </w:tcPr>
          <w:p w:rsidR="004E76E3" w:rsidRPr="000421F2" w:rsidRDefault="004E76E3" w:rsidP="000421F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513" w:type="dxa"/>
            <w:vAlign w:val="center"/>
          </w:tcPr>
          <w:p w:rsidR="004E76E3" w:rsidRPr="000421F2" w:rsidRDefault="004E76E3" w:rsidP="000421F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3" w:type="dxa"/>
            <w:vAlign w:val="center"/>
          </w:tcPr>
          <w:p w:rsidR="004E76E3" w:rsidRPr="000421F2" w:rsidRDefault="004E76E3" w:rsidP="000421F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10" w:type="dxa"/>
            <w:vAlign w:val="center"/>
          </w:tcPr>
          <w:p w:rsidR="004E76E3" w:rsidRPr="000421F2" w:rsidRDefault="004E76E3" w:rsidP="000421F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</w:tr>
      <w:tr w:rsidR="004E76E3" w:rsidRPr="000421F2" w:rsidTr="001D06C7">
        <w:tc>
          <w:tcPr>
            <w:tcW w:w="1892" w:type="dxa"/>
            <w:vAlign w:val="center"/>
          </w:tcPr>
          <w:p w:rsidR="004E76E3" w:rsidRPr="000421F2" w:rsidRDefault="004E76E3" w:rsidP="000421F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«</w:t>
            </w:r>
            <w:r w:rsidRPr="00042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non-Life</w:t>
            </w:r>
            <w:r w:rsidRPr="00042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3" w:type="dxa"/>
            <w:vAlign w:val="center"/>
          </w:tcPr>
          <w:p w:rsidR="004E76E3" w:rsidRPr="000421F2" w:rsidRDefault="004E76E3" w:rsidP="000421F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1663" w:type="dxa"/>
            <w:vAlign w:val="center"/>
          </w:tcPr>
          <w:p w:rsidR="004E76E3" w:rsidRPr="000421F2" w:rsidRDefault="004E76E3" w:rsidP="000421F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1513" w:type="dxa"/>
            <w:vAlign w:val="center"/>
          </w:tcPr>
          <w:p w:rsidR="004E76E3" w:rsidRPr="000421F2" w:rsidRDefault="004E76E3" w:rsidP="000421F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13" w:type="dxa"/>
            <w:vAlign w:val="center"/>
          </w:tcPr>
          <w:p w:rsidR="004E76E3" w:rsidRPr="000421F2" w:rsidRDefault="004E76E3" w:rsidP="000421F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10" w:type="dxa"/>
            <w:vAlign w:val="center"/>
          </w:tcPr>
          <w:p w:rsidR="004E76E3" w:rsidRPr="000421F2" w:rsidRDefault="004E76E3" w:rsidP="000421F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</w:tr>
      <w:tr w:rsidR="004E76E3" w:rsidRPr="000421F2" w:rsidTr="001D06C7">
        <w:tc>
          <w:tcPr>
            <w:tcW w:w="1892" w:type="dxa"/>
            <w:vAlign w:val="center"/>
          </w:tcPr>
          <w:p w:rsidR="004E76E3" w:rsidRPr="000421F2" w:rsidRDefault="004E76E3" w:rsidP="000421F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«</w:t>
            </w:r>
            <w:r w:rsidRPr="00042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Life</w:t>
            </w:r>
            <w:r w:rsidRPr="00042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3" w:type="dxa"/>
            <w:vAlign w:val="center"/>
          </w:tcPr>
          <w:p w:rsidR="004E76E3" w:rsidRPr="000421F2" w:rsidRDefault="004E76E3" w:rsidP="000421F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663" w:type="dxa"/>
            <w:vAlign w:val="center"/>
          </w:tcPr>
          <w:p w:rsidR="004E76E3" w:rsidRPr="000421F2" w:rsidRDefault="004E76E3" w:rsidP="000421F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13" w:type="dxa"/>
            <w:vAlign w:val="center"/>
          </w:tcPr>
          <w:p w:rsidR="004E76E3" w:rsidRPr="000421F2" w:rsidRDefault="004E76E3" w:rsidP="000421F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3" w:type="dxa"/>
            <w:vAlign w:val="center"/>
          </w:tcPr>
          <w:p w:rsidR="004E76E3" w:rsidRPr="000421F2" w:rsidRDefault="004E76E3" w:rsidP="000421F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10" w:type="dxa"/>
            <w:vAlign w:val="center"/>
          </w:tcPr>
          <w:p w:rsidR="004E76E3" w:rsidRPr="000421F2" w:rsidRDefault="004E76E3" w:rsidP="000421F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</w:tbl>
    <w:p w:rsidR="001D06C7" w:rsidRDefault="001D06C7" w:rsidP="001D06C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A95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Джерело:</w:t>
      </w:r>
      <w:r w:rsidRPr="001B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складено та розраховано за даними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Підсумки діяльності страхових компаній</w:t>
      </w:r>
      <w:r w:rsidRPr="001B7A95">
        <w:rPr>
          <w:rFonts w:ascii="Times New Roman" w:hAnsi="Times New Roman" w:cs="Times New Roman"/>
          <w:color w:val="000000" w:themeColor="text1"/>
          <w:sz w:val="28"/>
          <w:szCs w:val="28"/>
        </w:rPr>
        <w:t>» за період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1B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-2014 рр.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Національною комісією, що здійснює державне регулювання у сфері ринків фінансових послуг</w:t>
      </w:r>
      <w:r w:rsidRPr="001B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30EB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8430EB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</w:p>
    <w:p w:rsidR="004E76E3" w:rsidRDefault="004E76E3" w:rsidP="004E76E3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21F2" w:rsidRDefault="000421F2" w:rsidP="000421F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2014 рік кількість страхових компаній зменшилася на 25 </w:t>
      </w:r>
      <w:r w:rsidR="00BC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одиниць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A3188" w:rsidRDefault="004A3188" w:rsidP="004A318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Основні показники діяльності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рахового ринку та його динаміка </w:t>
      </w:r>
      <w:r w:rsidRPr="004A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представлені в таблиці </w:t>
      </w:r>
      <w:r w:rsidR="0004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A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A3188" w:rsidRPr="008729CC" w:rsidRDefault="004A3188" w:rsidP="004A318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Таблиця </w:t>
      </w:r>
      <w:r w:rsidR="0004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Основні показники діяльності страхового ринку та його динаміка</w:t>
      </w:r>
      <w:r w:rsidR="00406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77"/>
        <w:gridCol w:w="1300"/>
        <w:gridCol w:w="1197"/>
        <w:gridCol w:w="1197"/>
        <w:gridCol w:w="1408"/>
        <w:gridCol w:w="1408"/>
      </w:tblGrid>
      <w:tr w:rsidR="004A3188" w:rsidRPr="00406DEC" w:rsidTr="00406DEC">
        <w:tc>
          <w:tcPr>
            <w:tcW w:w="2901" w:type="dxa"/>
            <w:vMerge w:val="restart"/>
          </w:tcPr>
          <w:p w:rsidR="004A3188" w:rsidRPr="00406DEC" w:rsidRDefault="004A3188" w:rsidP="00406DE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4A3188" w:rsidRPr="003F3672" w:rsidRDefault="004A3188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36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294" w:type="dxa"/>
            <w:vMerge w:val="restart"/>
            <w:vAlign w:val="center"/>
          </w:tcPr>
          <w:p w:rsidR="004A3188" w:rsidRPr="003F3672" w:rsidRDefault="004A3188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36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294" w:type="dxa"/>
            <w:vMerge w:val="restart"/>
            <w:vAlign w:val="center"/>
          </w:tcPr>
          <w:p w:rsidR="004A3188" w:rsidRPr="003F3672" w:rsidRDefault="004A3188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36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976" w:type="dxa"/>
            <w:gridSpan w:val="2"/>
            <w:vAlign w:val="center"/>
          </w:tcPr>
          <w:p w:rsidR="004A3188" w:rsidRPr="003F3672" w:rsidRDefault="004A3188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36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Темпи приросту</w:t>
            </w:r>
          </w:p>
        </w:tc>
      </w:tr>
      <w:tr w:rsidR="004A3188" w:rsidRPr="00406DEC" w:rsidTr="00406DEC">
        <w:tc>
          <w:tcPr>
            <w:tcW w:w="2901" w:type="dxa"/>
            <w:vMerge/>
          </w:tcPr>
          <w:p w:rsidR="004A3188" w:rsidRPr="00406DEC" w:rsidRDefault="004A3188" w:rsidP="00406DE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vAlign w:val="center"/>
          </w:tcPr>
          <w:p w:rsidR="004A3188" w:rsidRPr="003F3672" w:rsidRDefault="004A3188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vAlign w:val="center"/>
          </w:tcPr>
          <w:p w:rsidR="004A3188" w:rsidRPr="003F3672" w:rsidRDefault="004A3188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vAlign w:val="center"/>
          </w:tcPr>
          <w:p w:rsidR="004A3188" w:rsidRPr="003F3672" w:rsidRDefault="004A3188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vAlign w:val="center"/>
          </w:tcPr>
          <w:p w:rsidR="004A3188" w:rsidRPr="003F3672" w:rsidRDefault="004A3188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36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2013/2012</w:t>
            </w:r>
          </w:p>
        </w:tc>
        <w:tc>
          <w:tcPr>
            <w:tcW w:w="1488" w:type="dxa"/>
            <w:vAlign w:val="center"/>
          </w:tcPr>
          <w:p w:rsidR="004A3188" w:rsidRPr="003F3672" w:rsidRDefault="004A3188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36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2014/2013</w:t>
            </w:r>
          </w:p>
        </w:tc>
      </w:tr>
      <w:tr w:rsidR="004A3188" w:rsidRPr="00406DEC" w:rsidTr="00406DEC">
        <w:tc>
          <w:tcPr>
            <w:tcW w:w="2901" w:type="dxa"/>
            <w:vMerge/>
          </w:tcPr>
          <w:p w:rsidR="004A3188" w:rsidRPr="00406DEC" w:rsidRDefault="004A3188" w:rsidP="00406DE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vAlign w:val="center"/>
          </w:tcPr>
          <w:p w:rsidR="004A3188" w:rsidRPr="003F3672" w:rsidRDefault="004A3188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vAlign w:val="center"/>
          </w:tcPr>
          <w:p w:rsidR="004A3188" w:rsidRPr="003F3672" w:rsidRDefault="004A3188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vAlign w:val="center"/>
          </w:tcPr>
          <w:p w:rsidR="004A3188" w:rsidRPr="003F3672" w:rsidRDefault="004A3188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vAlign w:val="center"/>
          </w:tcPr>
          <w:p w:rsidR="004A3188" w:rsidRPr="003F3672" w:rsidRDefault="004A3188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36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88" w:type="dxa"/>
            <w:vAlign w:val="center"/>
          </w:tcPr>
          <w:p w:rsidR="004A3188" w:rsidRPr="003F3672" w:rsidRDefault="004A3188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36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A3188" w:rsidRPr="00406DEC" w:rsidTr="00406DEC">
        <w:tc>
          <w:tcPr>
            <w:tcW w:w="9854" w:type="dxa"/>
            <w:gridSpan w:val="6"/>
            <w:vAlign w:val="center"/>
          </w:tcPr>
          <w:p w:rsidR="004A3188" w:rsidRPr="00406DEC" w:rsidRDefault="004A3188" w:rsidP="00406DEC">
            <w:pPr>
              <w:tabs>
                <w:tab w:val="left" w:pos="288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Кількість договорів страхування, укладених протягом звітного періоду, тис. одиниць</w:t>
            </w:r>
          </w:p>
        </w:tc>
      </w:tr>
      <w:tr w:rsidR="004A3188" w:rsidRPr="00406DEC" w:rsidTr="00406DEC">
        <w:tc>
          <w:tcPr>
            <w:tcW w:w="2901" w:type="dxa"/>
            <w:vAlign w:val="center"/>
          </w:tcPr>
          <w:p w:rsidR="004A3188" w:rsidRPr="00406DEC" w:rsidRDefault="004A3188" w:rsidP="00406DE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Кількість договорів, крім договорів з </w:t>
            </w:r>
          </w:p>
          <w:p w:rsidR="004A3188" w:rsidRPr="00406DEC" w:rsidRDefault="004A3188" w:rsidP="00406DE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обов’язкового страхування від </w:t>
            </w:r>
          </w:p>
          <w:p w:rsidR="004A3188" w:rsidRPr="00406DEC" w:rsidRDefault="004A3188" w:rsidP="00406DE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нещасних випадків на транспорті</w:t>
            </w:r>
          </w:p>
        </w:tc>
        <w:tc>
          <w:tcPr>
            <w:tcW w:w="1389" w:type="dxa"/>
            <w:vAlign w:val="center"/>
          </w:tcPr>
          <w:p w:rsidR="004A3188" w:rsidRPr="00406DEC" w:rsidRDefault="004A3188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35204,8</w:t>
            </w:r>
          </w:p>
        </w:tc>
        <w:tc>
          <w:tcPr>
            <w:tcW w:w="1294" w:type="dxa"/>
            <w:vAlign w:val="center"/>
          </w:tcPr>
          <w:p w:rsidR="004A3188" w:rsidRPr="00406DEC" w:rsidRDefault="004A3188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87328,5</w:t>
            </w:r>
          </w:p>
        </w:tc>
        <w:tc>
          <w:tcPr>
            <w:tcW w:w="1294" w:type="dxa"/>
            <w:vAlign w:val="center"/>
          </w:tcPr>
          <w:p w:rsidR="004A3188" w:rsidRPr="00406DEC" w:rsidRDefault="004A3188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35975,7</w:t>
            </w:r>
          </w:p>
        </w:tc>
        <w:tc>
          <w:tcPr>
            <w:tcW w:w="1488" w:type="dxa"/>
            <w:vAlign w:val="center"/>
          </w:tcPr>
          <w:p w:rsidR="004A3188" w:rsidRPr="00406DEC" w:rsidRDefault="004A3188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148,1</w:t>
            </w:r>
          </w:p>
        </w:tc>
        <w:tc>
          <w:tcPr>
            <w:tcW w:w="1488" w:type="dxa"/>
            <w:vAlign w:val="center"/>
          </w:tcPr>
          <w:p w:rsidR="004A3188" w:rsidRPr="00406DEC" w:rsidRDefault="004A3188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-58,8</w:t>
            </w:r>
          </w:p>
        </w:tc>
      </w:tr>
      <w:tr w:rsidR="004A3188" w:rsidRPr="00406DEC" w:rsidTr="00406DEC">
        <w:tc>
          <w:tcPr>
            <w:tcW w:w="2901" w:type="dxa"/>
            <w:vAlign w:val="center"/>
          </w:tcPr>
          <w:p w:rsidR="004A3188" w:rsidRPr="00406DEC" w:rsidRDefault="004A3188" w:rsidP="00406DE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Кількість договорів з обов’язкового </w:t>
            </w:r>
          </w:p>
          <w:p w:rsidR="004A3188" w:rsidRPr="00406DEC" w:rsidRDefault="004A3188" w:rsidP="00406DE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особистого страхування від нещасних </w:t>
            </w:r>
          </w:p>
          <w:p w:rsidR="004A3188" w:rsidRPr="00406DEC" w:rsidRDefault="004A3188" w:rsidP="00406DE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випадків на транспорті</w:t>
            </w:r>
          </w:p>
        </w:tc>
        <w:tc>
          <w:tcPr>
            <w:tcW w:w="1389" w:type="dxa"/>
            <w:vAlign w:val="center"/>
          </w:tcPr>
          <w:p w:rsidR="004A3188" w:rsidRPr="00406DEC" w:rsidRDefault="004A3188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142952,0</w:t>
            </w:r>
          </w:p>
        </w:tc>
        <w:tc>
          <w:tcPr>
            <w:tcW w:w="1294" w:type="dxa"/>
            <w:vAlign w:val="center"/>
          </w:tcPr>
          <w:p w:rsidR="004A3188" w:rsidRPr="00406DEC" w:rsidRDefault="004A3188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97952,0</w:t>
            </w:r>
          </w:p>
        </w:tc>
        <w:tc>
          <w:tcPr>
            <w:tcW w:w="1294" w:type="dxa"/>
            <w:vAlign w:val="center"/>
          </w:tcPr>
          <w:p w:rsidR="004A3188" w:rsidRPr="00406DEC" w:rsidRDefault="004A3188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98737,5</w:t>
            </w:r>
          </w:p>
        </w:tc>
        <w:tc>
          <w:tcPr>
            <w:tcW w:w="1488" w:type="dxa"/>
            <w:vAlign w:val="center"/>
          </w:tcPr>
          <w:p w:rsidR="004A3188" w:rsidRPr="00406DEC" w:rsidRDefault="004A3188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-31,5</w:t>
            </w:r>
          </w:p>
        </w:tc>
        <w:tc>
          <w:tcPr>
            <w:tcW w:w="1488" w:type="dxa"/>
            <w:vAlign w:val="center"/>
          </w:tcPr>
          <w:p w:rsidR="004A3188" w:rsidRPr="00406DEC" w:rsidRDefault="004A3188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4A3188" w:rsidRPr="00406DEC" w:rsidTr="00406DEC">
        <w:tc>
          <w:tcPr>
            <w:tcW w:w="9854" w:type="dxa"/>
            <w:gridSpan w:val="6"/>
            <w:vAlign w:val="center"/>
          </w:tcPr>
          <w:p w:rsidR="004A3188" w:rsidRPr="00406DEC" w:rsidRDefault="004A3188" w:rsidP="00406DEC">
            <w:pPr>
              <w:tabs>
                <w:tab w:val="left" w:pos="4102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Страхова діяльність, млн. грн.</w:t>
            </w:r>
          </w:p>
        </w:tc>
      </w:tr>
      <w:tr w:rsidR="004A3188" w:rsidRPr="00406DEC" w:rsidTr="00406DEC">
        <w:tc>
          <w:tcPr>
            <w:tcW w:w="2901" w:type="dxa"/>
            <w:vAlign w:val="center"/>
          </w:tcPr>
          <w:p w:rsidR="004A3188" w:rsidRPr="00406DEC" w:rsidRDefault="004A3188" w:rsidP="00406DE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Валові страхові премії</w:t>
            </w:r>
          </w:p>
        </w:tc>
        <w:tc>
          <w:tcPr>
            <w:tcW w:w="1389" w:type="dxa"/>
            <w:vAlign w:val="center"/>
          </w:tcPr>
          <w:p w:rsidR="004A3188" w:rsidRPr="00406DEC" w:rsidRDefault="004A3188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21508,2</w:t>
            </w:r>
          </w:p>
        </w:tc>
        <w:tc>
          <w:tcPr>
            <w:tcW w:w="1294" w:type="dxa"/>
            <w:vAlign w:val="center"/>
          </w:tcPr>
          <w:p w:rsidR="004A3188" w:rsidRPr="00406DEC" w:rsidRDefault="004A3188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28661,9</w:t>
            </w:r>
          </w:p>
        </w:tc>
        <w:tc>
          <w:tcPr>
            <w:tcW w:w="1294" w:type="dxa"/>
            <w:vAlign w:val="center"/>
          </w:tcPr>
          <w:p w:rsidR="004A3188" w:rsidRPr="00406DEC" w:rsidRDefault="004A3188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26767,3</w:t>
            </w:r>
          </w:p>
        </w:tc>
        <w:tc>
          <w:tcPr>
            <w:tcW w:w="1488" w:type="dxa"/>
            <w:vAlign w:val="center"/>
          </w:tcPr>
          <w:p w:rsidR="004A3188" w:rsidRPr="00406DEC" w:rsidRDefault="004A3188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488" w:type="dxa"/>
            <w:vAlign w:val="center"/>
          </w:tcPr>
          <w:p w:rsidR="004A3188" w:rsidRPr="00406DEC" w:rsidRDefault="004A3188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-6,6</w:t>
            </w:r>
          </w:p>
        </w:tc>
      </w:tr>
      <w:tr w:rsidR="004A3188" w:rsidRPr="00406DEC" w:rsidTr="00406DEC">
        <w:tc>
          <w:tcPr>
            <w:tcW w:w="2901" w:type="dxa"/>
            <w:vAlign w:val="center"/>
          </w:tcPr>
          <w:p w:rsidR="004A3188" w:rsidRPr="00406DEC" w:rsidRDefault="004A3188" w:rsidP="00406DE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Валові страхові виплати</w:t>
            </w:r>
          </w:p>
        </w:tc>
        <w:tc>
          <w:tcPr>
            <w:tcW w:w="1389" w:type="dxa"/>
            <w:vAlign w:val="center"/>
          </w:tcPr>
          <w:p w:rsidR="004A3188" w:rsidRPr="00406DEC" w:rsidRDefault="004A3188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</w:t>
            </w:r>
          </w:p>
        </w:tc>
        <w:tc>
          <w:tcPr>
            <w:tcW w:w="1294" w:type="dxa"/>
            <w:vAlign w:val="center"/>
          </w:tcPr>
          <w:p w:rsidR="004A3188" w:rsidRPr="00406DEC" w:rsidRDefault="004A3188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4651,8</w:t>
            </w:r>
          </w:p>
        </w:tc>
        <w:tc>
          <w:tcPr>
            <w:tcW w:w="1294" w:type="dxa"/>
            <w:vAlign w:val="center"/>
          </w:tcPr>
          <w:p w:rsidR="004A3188" w:rsidRPr="00406DEC" w:rsidRDefault="004A3188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5065,4</w:t>
            </w:r>
          </w:p>
        </w:tc>
        <w:tc>
          <w:tcPr>
            <w:tcW w:w="1488" w:type="dxa"/>
            <w:vAlign w:val="center"/>
          </w:tcPr>
          <w:p w:rsidR="004A3188" w:rsidRPr="00406DEC" w:rsidRDefault="004A3188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-9,7</w:t>
            </w:r>
          </w:p>
        </w:tc>
        <w:tc>
          <w:tcPr>
            <w:tcW w:w="1488" w:type="dxa"/>
            <w:vAlign w:val="center"/>
          </w:tcPr>
          <w:p w:rsidR="004A3188" w:rsidRPr="00406DEC" w:rsidRDefault="004A3188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</w:t>
            </w:r>
          </w:p>
        </w:tc>
      </w:tr>
      <w:tr w:rsidR="004A3188" w:rsidRPr="00406DEC" w:rsidTr="00406DEC">
        <w:tc>
          <w:tcPr>
            <w:tcW w:w="2901" w:type="dxa"/>
            <w:vAlign w:val="center"/>
          </w:tcPr>
          <w:p w:rsidR="004A3188" w:rsidRPr="00406DEC" w:rsidRDefault="004A3188" w:rsidP="00406DE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Рівень валових виплат, %</w:t>
            </w:r>
          </w:p>
        </w:tc>
        <w:tc>
          <w:tcPr>
            <w:tcW w:w="1389" w:type="dxa"/>
            <w:vAlign w:val="center"/>
          </w:tcPr>
          <w:p w:rsidR="004A3188" w:rsidRPr="00406DEC" w:rsidRDefault="004A3188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1294" w:type="dxa"/>
            <w:vAlign w:val="center"/>
          </w:tcPr>
          <w:p w:rsidR="004A3188" w:rsidRPr="00406DEC" w:rsidRDefault="004A3188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294" w:type="dxa"/>
            <w:vAlign w:val="center"/>
          </w:tcPr>
          <w:p w:rsidR="004A3188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1488" w:type="dxa"/>
            <w:vAlign w:val="center"/>
          </w:tcPr>
          <w:p w:rsidR="004A3188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8" w:type="dxa"/>
            <w:vAlign w:val="center"/>
          </w:tcPr>
          <w:p w:rsidR="004A3188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06DEC" w:rsidRPr="00406DEC" w:rsidTr="00406DEC">
        <w:tc>
          <w:tcPr>
            <w:tcW w:w="9854" w:type="dxa"/>
            <w:gridSpan w:val="6"/>
            <w:vAlign w:val="center"/>
          </w:tcPr>
          <w:p w:rsidR="00406DEC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Перестрахування, млн. грн</w:t>
            </w:r>
          </w:p>
        </w:tc>
      </w:tr>
      <w:tr w:rsidR="004A3188" w:rsidRPr="00406DEC" w:rsidTr="00406DEC">
        <w:tc>
          <w:tcPr>
            <w:tcW w:w="2901" w:type="dxa"/>
            <w:vAlign w:val="center"/>
          </w:tcPr>
          <w:p w:rsidR="004A3188" w:rsidRPr="00406DEC" w:rsidRDefault="00406DEC" w:rsidP="00406DE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Сплачено на перестрахування</w:t>
            </w:r>
          </w:p>
        </w:tc>
        <w:tc>
          <w:tcPr>
            <w:tcW w:w="1389" w:type="dxa"/>
            <w:vAlign w:val="center"/>
          </w:tcPr>
          <w:p w:rsidR="004A3188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2522,8</w:t>
            </w:r>
          </w:p>
        </w:tc>
        <w:tc>
          <w:tcPr>
            <w:tcW w:w="1294" w:type="dxa"/>
            <w:vAlign w:val="center"/>
          </w:tcPr>
          <w:p w:rsidR="004A3188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8744,8</w:t>
            </w:r>
          </w:p>
        </w:tc>
        <w:tc>
          <w:tcPr>
            <w:tcW w:w="1294" w:type="dxa"/>
            <w:vAlign w:val="center"/>
          </w:tcPr>
          <w:p w:rsidR="004A3188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9704,2</w:t>
            </w:r>
          </w:p>
        </w:tc>
        <w:tc>
          <w:tcPr>
            <w:tcW w:w="1488" w:type="dxa"/>
            <w:vAlign w:val="center"/>
          </w:tcPr>
          <w:p w:rsidR="004A3188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246,6</w:t>
            </w:r>
          </w:p>
        </w:tc>
        <w:tc>
          <w:tcPr>
            <w:tcW w:w="1488" w:type="dxa"/>
            <w:vAlign w:val="center"/>
          </w:tcPr>
          <w:p w:rsidR="004A3188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4A3188" w:rsidRPr="00406DEC" w:rsidTr="00406DEC">
        <w:tc>
          <w:tcPr>
            <w:tcW w:w="2901" w:type="dxa"/>
            <w:vAlign w:val="center"/>
          </w:tcPr>
          <w:p w:rsidR="00406DEC" w:rsidRPr="00406DEC" w:rsidRDefault="00406DEC" w:rsidP="00406DE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Виплати, компенсовані </w:t>
            </w:r>
          </w:p>
          <w:p w:rsidR="004A3188" w:rsidRPr="00406DEC" w:rsidRDefault="00406DEC" w:rsidP="00406DE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перестраховиками</w:t>
            </w:r>
          </w:p>
        </w:tc>
        <w:tc>
          <w:tcPr>
            <w:tcW w:w="1389" w:type="dxa"/>
            <w:vAlign w:val="center"/>
          </w:tcPr>
          <w:p w:rsidR="004A3188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537,8</w:t>
            </w:r>
          </w:p>
        </w:tc>
        <w:tc>
          <w:tcPr>
            <w:tcW w:w="1294" w:type="dxa"/>
            <w:vAlign w:val="center"/>
          </w:tcPr>
          <w:p w:rsidR="004A3188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486,7</w:t>
            </w:r>
          </w:p>
        </w:tc>
        <w:tc>
          <w:tcPr>
            <w:tcW w:w="1294" w:type="dxa"/>
            <w:vAlign w:val="center"/>
          </w:tcPr>
          <w:p w:rsidR="004A3188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640,9</w:t>
            </w:r>
          </w:p>
        </w:tc>
        <w:tc>
          <w:tcPr>
            <w:tcW w:w="1488" w:type="dxa"/>
            <w:vAlign w:val="center"/>
          </w:tcPr>
          <w:p w:rsidR="004A3188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-9,5</w:t>
            </w:r>
          </w:p>
        </w:tc>
        <w:tc>
          <w:tcPr>
            <w:tcW w:w="1488" w:type="dxa"/>
            <w:vAlign w:val="center"/>
          </w:tcPr>
          <w:p w:rsidR="004A3188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31,7</w:t>
            </w:r>
          </w:p>
        </w:tc>
      </w:tr>
      <w:tr w:rsidR="004A3188" w:rsidRPr="00406DEC" w:rsidTr="00406DEC">
        <w:tc>
          <w:tcPr>
            <w:tcW w:w="2901" w:type="dxa"/>
            <w:vAlign w:val="center"/>
          </w:tcPr>
          <w:p w:rsidR="00406DEC" w:rsidRPr="00406DEC" w:rsidRDefault="00406DEC" w:rsidP="00406DE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Отримані страхові премії від </w:t>
            </w:r>
          </w:p>
          <w:p w:rsidR="004A3188" w:rsidRPr="00406DEC" w:rsidRDefault="00406DEC" w:rsidP="00406DE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перестрахувальників-нерезиденті</w:t>
            </w:r>
          </w:p>
        </w:tc>
        <w:tc>
          <w:tcPr>
            <w:tcW w:w="1389" w:type="dxa"/>
            <w:vAlign w:val="center"/>
          </w:tcPr>
          <w:p w:rsidR="004A3188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275,4</w:t>
            </w:r>
          </w:p>
        </w:tc>
        <w:tc>
          <w:tcPr>
            <w:tcW w:w="1294" w:type="dxa"/>
            <w:vAlign w:val="center"/>
          </w:tcPr>
          <w:p w:rsidR="004A3188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294" w:type="dxa"/>
            <w:vAlign w:val="center"/>
          </w:tcPr>
          <w:p w:rsidR="004A3188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488" w:type="dxa"/>
            <w:vAlign w:val="center"/>
          </w:tcPr>
          <w:p w:rsidR="004A3188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488" w:type="dxa"/>
            <w:vAlign w:val="center"/>
          </w:tcPr>
          <w:p w:rsidR="004A3188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-96,0</w:t>
            </w:r>
          </w:p>
        </w:tc>
      </w:tr>
      <w:tr w:rsidR="004A3188" w:rsidRPr="00406DEC" w:rsidTr="00406DEC">
        <w:tc>
          <w:tcPr>
            <w:tcW w:w="2901" w:type="dxa"/>
            <w:vAlign w:val="center"/>
          </w:tcPr>
          <w:p w:rsidR="00406DEC" w:rsidRPr="00406DEC" w:rsidRDefault="00406DEC" w:rsidP="00406DE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Виплати, компенсовані </w:t>
            </w:r>
          </w:p>
          <w:p w:rsidR="004A3188" w:rsidRPr="00406DEC" w:rsidRDefault="00406DEC" w:rsidP="00406DE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перестрахувальникам-нерезидентам</w:t>
            </w:r>
          </w:p>
        </w:tc>
        <w:tc>
          <w:tcPr>
            <w:tcW w:w="1389" w:type="dxa"/>
            <w:vAlign w:val="center"/>
          </w:tcPr>
          <w:p w:rsidR="004A3188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294" w:type="dxa"/>
            <w:vAlign w:val="center"/>
          </w:tcPr>
          <w:p w:rsidR="004A3188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1294" w:type="dxa"/>
            <w:vAlign w:val="center"/>
          </w:tcPr>
          <w:p w:rsidR="004A3188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488" w:type="dxa"/>
            <w:vAlign w:val="center"/>
          </w:tcPr>
          <w:p w:rsidR="004A3188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1488" w:type="dxa"/>
            <w:vAlign w:val="center"/>
          </w:tcPr>
          <w:p w:rsidR="004A3188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-63,9</w:t>
            </w:r>
          </w:p>
        </w:tc>
      </w:tr>
      <w:tr w:rsidR="00406DEC" w:rsidRPr="00406DEC" w:rsidTr="00406DEC">
        <w:tc>
          <w:tcPr>
            <w:tcW w:w="9854" w:type="dxa"/>
            <w:gridSpan w:val="6"/>
            <w:vAlign w:val="center"/>
          </w:tcPr>
          <w:p w:rsidR="00406DEC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Страхові резерви, млн. грн.</w:t>
            </w:r>
          </w:p>
        </w:tc>
      </w:tr>
      <w:tr w:rsidR="00406DEC" w:rsidRPr="00406DEC" w:rsidTr="00406DEC">
        <w:tc>
          <w:tcPr>
            <w:tcW w:w="2901" w:type="dxa"/>
            <w:vAlign w:val="center"/>
          </w:tcPr>
          <w:p w:rsidR="00406DEC" w:rsidRPr="00406DEC" w:rsidRDefault="00406DEC" w:rsidP="00406DE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 сформованих страхових резервів</w:t>
            </w:r>
          </w:p>
        </w:tc>
        <w:tc>
          <w:tcPr>
            <w:tcW w:w="1389" w:type="dxa"/>
            <w:vAlign w:val="center"/>
          </w:tcPr>
          <w:p w:rsidR="00406DEC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12577,6</w:t>
            </w:r>
          </w:p>
        </w:tc>
        <w:tc>
          <w:tcPr>
            <w:tcW w:w="1294" w:type="dxa"/>
            <w:vAlign w:val="center"/>
          </w:tcPr>
          <w:p w:rsidR="00406DEC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14435,7</w:t>
            </w:r>
          </w:p>
        </w:tc>
        <w:tc>
          <w:tcPr>
            <w:tcW w:w="1294" w:type="dxa"/>
            <w:vAlign w:val="center"/>
          </w:tcPr>
          <w:p w:rsidR="00406DEC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15828,0</w:t>
            </w:r>
          </w:p>
        </w:tc>
        <w:tc>
          <w:tcPr>
            <w:tcW w:w="1488" w:type="dxa"/>
            <w:vAlign w:val="center"/>
          </w:tcPr>
          <w:p w:rsidR="00406DEC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488" w:type="dxa"/>
            <w:vAlign w:val="center"/>
          </w:tcPr>
          <w:p w:rsidR="00406DEC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</w:tr>
      <w:tr w:rsidR="00406DEC" w:rsidRPr="00406DEC" w:rsidTr="00406DEC">
        <w:tc>
          <w:tcPr>
            <w:tcW w:w="9854" w:type="dxa"/>
            <w:gridSpan w:val="6"/>
            <w:vAlign w:val="center"/>
          </w:tcPr>
          <w:p w:rsidR="00406DEC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Активи страховиків та статутний капітал, млн. грн.</w:t>
            </w:r>
          </w:p>
        </w:tc>
      </w:tr>
      <w:tr w:rsidR="00406DEC" w:rsidRPr="00406DEC" w:rsidTr="00406DEC">
        <w:tc>
          <w:tcPr>
            <w:tcW w:w="2901" w:type="dxa"/>
            <w:vAlign w:val="center"/>
          </w:tcPr>
          <w:p w:rsidR="00406DEC" w:rsidRPr="00406DEC" w:rsidRDefault="00406DEC" w:rsidP="00406DE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Загальні активи </w:t>
            </w: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страховиків (згідно з </w:t>
            </w:r>
          </w:p>
          <w:p w:rsidR="00406DEC" w:rsidRPr="00406DEC" w:rsidRDefault="00406DEC" w:rsidP="00406DE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формою 1 (П(С)БО 2))</w:t>
            </w:r>
          </w:p>
        </w:tc>
        <w:tc>
          <w:tcPr>
            <w:tcW w:w="1389" w:type="dxa"/>
            <w:vAlign w:val="center"/>
          </w:tcPr>
          <w:p w:rsidR="00406DEC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56224,7</w:t>
            </w:r>
          </w:p>
        </w:tc>
        <w:tc>
          <w:tcPr>
            <w:tcW w:w="1294" w:type="dxa"/>
            <w:vAlign w:val="center"/>
          </w:tcPr>
          <w:p w:rsidR="00406DEC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66387,5</w:t>
            </w:r>
          </w:p>
        </w:tc>
        <w:tc>
          <w:tcPr>
            <w:tcW w:w="1294" w:type="dxa"/>
            <w:vAlign w:val="center"/>
          </w:tcPr>
          <w:p w:rsidR="00406DEC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70261,2</w:t>
            </w:r>
          </w:p>
        </w:tc>
        <w:tc>
          <w:tcPr>
            <w:tcW w:w="1488" w:type="dxa"/>
            <w:vAlign w:val="center"/>
          </w:tcPr>
          <w:p w:rsidR="00406DEC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488" w:type="dxa"/>
            <w:vAlign w:val="center"/>
          </w:tcPr>
          <w:p w:rsidR="00406DEC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</w:tr>
      <w:tr w:rsidR="00406DEC" w:rsidRPr="00406DEC" w:rsidTr="00406DEC">
        <w:tc>
          <w:tcPr>
            <w:tcW w:w="2901" w:type="dxa"/>
            <w:vAlign w:val="center"/>
          </w:tcPr>
          <w:p w:rsidR="00406DEC" w:rsidRPr="00406DEC" w:rsidRDefault="00406DEC" w:rsidP="00406DE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Активи, визначені ст. 31 Закону </w:t>
            </w:r>
          </w:p>
          <w:p w:rsidR="00406DEC" w:rsidRPr="00406DEC" w:rsidRDefault="00406DEC" w:rsidP="00406DE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України «Про страхування» для </w:t>
            </w:r>
          </w:p>
          <w:p w:rsidR="00406DEC" w:rsidRPr="00406DEC" w:rsidRDefault="00406DEC" w:rsidP="00406DE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представлення коштів страхових </w:t>
            </w:r>
          </w:p>
          <w:p w:rsidR="00406DEC" w:rsidRPr="00406DEC" w:rsidRDefault="00406DEC" w:rsidP="00406DE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резервів</w:t>
            </w:r>
          </w:p>
        </w:tc>
        <w:tc>
          <w:tcPr>
            <w:tcW w:w="1389" w:type="dxa"/>
            <w:vAlign w:val="center"/>
          </w:tcPr>
          <w:p w:rsidR="00406DEC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48831,5</w:t>
            </w:r>
          </w:p>
        </w:tc>
        <w:tc>
          <w:tcPr>
            <w:tcW w:w="1294" w:type="dxa"/>
            <w:vAlign w:val="center"/>
          </w:tcPr>
          <w:p w:rsidR="00406DEC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37914,0</w:t>
            </w:r>
          </w:p>
        </w:tc>
        <w:tc>
          <w:tcPr>
            <w:tcW w:w="1294" w:type="dxa"/>
            <w:vAlign w:val="center"/>
          </w:tcPr>
          <w:p w:rsidR="00406DEC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40530,1</w:t>
            </w:r>
          </w:p>
        </w:tc>
        <w:tc>
          <w:tcPr>
            <w:tcW w:w="1488" w:type="dxa"/>
            <w:vAlign w:val="center"/>
          </w:tcPr>
          <w:p w:rsidR="00406DEC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-22,4</w:t>
            </w:r>
          </w:p>
        </w:tc>
        <w:tc>
          <w:tcPr>
            <w:tcW w:w="1488" w:type="dxa"/>
            <w:vAlign w:val="center"/>
          </w:tcPr>
          <w:p w:rsidR="00406DEC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</w:tr>
      <w:tr w:rsidR="00406DEC" w:rsidRPr="00406DEC" w:rsidTr="00406DEC">
        <w:tc>
          <w:tcPr>
            <w:tcW w:w="2901" w:type="dxa"/>
            <w:vAlign w:val="center"/>
          </w:tcPr>
          <w:p w:rsidR="00406DEC" w:rsidRPr="00406DEC" w:rsidRDefault="00406DEC" w:rsidP="00406DE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 сплачених статутних капіталів</w:t>
            </w:r>
          </w:p>
        </w:tc>
        <w:tc>
          <w:tcPr>
            <w:tcW w:w="1389" w:type="dxa"/>
            <w:vAlign w:val="center"/>
          </w:tcPr>
          <w:p w:rsidR="00406DEC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14579,0</w:t>
            </w:r>
          </w:p>
        </w:tc>
        <w:tc>
          <w:tcPr>
            <w:tcW w:w="1294" w:type="dxa"/>
            <w:vAlign w:val="center"/>
          </w:tcPr>
          <w:p w:rsidR="00406DEC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15235,5</w:t>
            </w:r>
          </w:p>
        </w:tc>
        <w:tc>
          <w:tcPr>
            <w:tcW w:w="1294" w:type="dxa"/>
            <w:vAlign w:val="center"/>
          </w:tcPr>
          <w:p w:rsidR="00406DEC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15120,9</w:t>
            </w:r>
          </w:p>
        </w:tc>
        <w:tc>
          <w:tcPr>
            <w:tcW w:w="1488" w:type="dxa"/>
            <w:vAlign w:val="center"/>
          </w:tcPr>
          <w:p w:rsidR="00406DEC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488" w:type="dxa"/>
            <w:vAlign w:val="center"/>
          </w:tcPr>
          <w:p w:rsidR="00406DEC" w:rsidRPr="00406DEC" w:rsidRDefault="00406DEC" w:rsidP="00406D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-0,7</w:t>
            </w:r>
          </w:p>
        </w:tc>
      </w:tr>
    </w:tbl>
    <w:p w:rsidR="001D06C7" w:rsidRDefault="001D06C7" w:rsidP="001D06C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A9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Джерело:</w:t>
      </w:r>
      <w:r w:rsidRPr="001B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складено та розраховано за даними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Підсумки діяльності страхових компаній</w:t>
      </w:r>
      <w:r w:rsidRPr="001B7A95">
        <w:rPr>
          <w:rFonts w:ascii="Times New Roman" w:hAnsi="Times New Roman" w:cs="Times New Roman"/>
          <w:color w:val="000000" w:themeColor="text1"/>
          <w:sz w:val="28"/>
          <w:szCs w:val="28"/>
        </w:rPr>
        <w:t>» за період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1B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-2014 рр.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Національною комісією, що здійснює державне регулювання у сфері ринків фінансових послуг</w:t>
      </w:r>
      <w:r w:rsidRPr="001B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30EB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8430EB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</w:p>
    <w:p w:rsidR="004A3188" w:rsidRDefault="004A3188" w:rsidP="004A318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06B7" w:rsidRPr="008F34D7" w:rsidRDefault="000421F2" w:rsidP="008F34D7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Хоча в останні роки і відбулися позитивні зр</w:t>
      </w:r>
      <w:r w:rsidR="004C0D0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шення, </w:t>
      </w:r>
      <w:r w:rsidR="00CB385E">
        <w:rPr>
          <w:rFonts w:ascii="Times New Roman" w:hAnsi="Times New Roman" w:cs="Times New Roman"/>
          <w:color w:val="000000" w:themeColor="text1"/>
          <w:sz w:val="28"/>
          <w:szCs w:val="28"/>
        </w:rPr>
        <w:t>однак</w:t>
      </w:r>
      <w:r w:rsidR="00133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класичний страховий ринок України страждає від недовіри до страхування та відсутністю страхової культури у населення.</w:t>
      </w:r>
      <w:r w:rsidR="008F3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06B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Слабкий розвиток страхової культури обумовл</w:t>
      </w:r>
      <w:r w:rsidR="008F34D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юють</w:t>
      </w:r>
      <w:r w:rsidR="004D06B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наступн</w:t>
      </w:r>
      <w:r w:rsidR="008F34D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і</w:t>
      </w:r>
      <w:r w:rsidR="004D06B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фактор</w:t>
      </w:r>
      <w:r w:rsidR="008F34D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и</w:t>
      </w:r>
      <w:r w:rsidR="004D06B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: відсутність у </w:t>
      </w:r>
      <w:r w:rsidR="00CB385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осіб середнього віку </w:t>
      </w:r>
      <w:r w:rsidR="004D06B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та </w:t>
      </w:r>
      <w:r w:rsidR="00CB385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молоді </w:t>
      </w:r>
      <w:r w:rsidR="004D06B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досвіду у сфері страхування; низький рівень страхової освіти; залежність від економічного та соціального розвитку </w:t>
      </w:r>
      <w:r w:rsidR="00CB385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країни</w:t>
      </w:r>
      <w:r w:rsidR="004D06B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; </w:t>
      </w:r>
      <w:r w:rsidR="00CB385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при </w:t>
      </w:r>
      <w:r w:rsidR="004D06B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економічн</w:t>
      </w:r>
      <w:r w:rsidR="00CB385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ій </w:t>
      </w:r>
      <w:r w:rsidR="004D06B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нестабільності орієнтація населення на короткострокові</w:t>
      </w:r>
      <w:r w:rsidR="00CB385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грошові </w:t>
      </w:r>
      <w:r w:rsidR="004D06B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операції</w:t>
      </w:r>
      <w:r w:rsidR="008F34D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, спричинена економічною нестабільністю</w:t>
      </w:r>
      <w:r w:rsidR="004D06B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; </w:t>
      </w:r>
      <w:r w:rsidR="00CB385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слабка</w:t>
      </w:r>
      <w:r w:rsidR="004D06B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поінформованість про переваги страхування і страхових послуг з боку страхових компаній.</w:t>
      </w:r>
    </w:p>
    <w:p w:rsidR="00486E6E" w:rsidRPr="003722EA" w:rsidRDefault="006F444F" w:rsidP="001331FB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Суспільство сприймає страхову послугу </w:t>
      </w:r>
      <w:r w:rsidR="001331F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не зовсім в тій мірі,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оскільки </w:t>
      </w:r>
      <w:r w:rsidR="00A828D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вона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є не фізичним, а економічним способом захисту.</w:t>
      </w:r>
      <w:r w:rsidR="001331F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486E6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Саме маркетинг </w:t>
      </w:r>
      <w:r w:rsidR="001331F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націлений на </w:t>
      </w:r>
      <w:r w:rsidR="00486E6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підвищ</w:t>
      </w:r>
      <w:r w:rsidR="001331F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ення </w:t>
      </w:r>
      <w:r w:rsidR="00486E6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страхов</w:t>
      </w:r>
      <w:r w:rsidR="001331F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ої</w:t>
      </w:r>
      <w:r w:rsidR="00486E6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культур</w:t>
      </w:r>
      <w:r w:rsidR="001331F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и</w:t>
      </w:r>
      <w:r w:rsidR="00486E6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населення і </w:t>
      </w:r>
      <w:r w:rsidR="003722E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впли</w:t>
      </w:r>
      <w:r w:rsidR="001331F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</w:t>
      </w:r>
      <w:r w:rsidR="003722E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на усвідомлення важливості існування інституту страхування.</w:t>
      </w:r>
      <w:r w:rsidR="00486E6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3722E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На сьогоднішній </w:t>
      </w:r>
      <w:r w:rsidR="001331F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момент</w:t>
      </w:r>
      <w:r w:rsidR="003722E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страхові компанії прагнуть ефективно вирішувати дану проблему шляхом впровадження </w:t>
      </w:r>
      <w:r w:rsidR="007572B1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дієвого</w:t>
      </w:r>
      <w:r w:rsidR="003722E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механізму страхового маркетингу. </w:t>
      </w:r>
      <w:r w:rsidR="007572B1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</w:t>
      </w:r>
      <w:r w:rsidR="000A42CB" w:rsidRPr="00FC39AB">
        <w:rPr>
          <w:rFonts w:ascii="Times New Roman" w:hAnsi="Times New Roman" w:cs="Times New Roman"/>
          <w:color w:val="000000" w:themeColor="text1"/>
          <w:sz w:val="28"/>
          <w:szCs w:val="28"/>
        </w:rPr>
        <w:t>роведення ринкових досліджень займає перше місце в переліку інструментів</w:t>
      </w:r>
      <w:r w:rsidR="00693ABE" w:rsidRPr="00FC3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22EA">
        <w:rPr>
          <w:rFonts w:ascii="Times New Roman" w:hAnsi="Times New Roman" w:cs="Times New Roman"/>
          <w:color w:val="000000" w:themeColor="text1"/>
          <w:sz w:val="28"/>
          <w:szCs w:val="28"/>
        </w:rPr>
        <w:t>маркетингово</w:t>
      </w:r>
      <w:r w:rsidR="00A828DD">
        <w:rPr>
          <w:rFonts w:ascii="Times New Roman" w:hAnsi="Times New Roman" w:cs="Times New Roman"/>
          <w:color w:val="000000" w:themeColor="text1"/>
          <w:sz w:val="28"/>
          <w:szCs w:val="28"/>
        </w:rPr>
        <w:t>ї</w:t>
      </w:r>
      <w:r w:rsidR="003722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28DD">
        <w:rPr>
          <w:rFonts w:ascii="Times New Roman" w:hAnsi="Times New Roman" w:cs="Times New Roman"/>
          <w:color w:val="000000" w:themeColor="text1"/>
          <w:sz w:val="28"/>
          <w:szCs w:val="28"/>
        </w:rPr>
        <w:t>стратегії</w:t>
      </w:r>
      <w:r w:rsidR="000A42CB" w:rsidRPr="00FC3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51A6A" w:rsidRDefault="003F3672" w:rsidP="00A51A6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3672">
        <w:rPr>
          <w:rFonts w:ascii="Times New Roman" w:hAnsi="Times New Roman" w:cs="Times New Roman"/>
          <w:color w:val="000000" w:themeColor="text1"/>
          <w:sz w:val="28"/>
          <w:szCs w:val="28"/>
        </w:rPr>
        <w:t>Перш ніж виво</w:t>
      </w:r>
      <w:r w:rsidR="00FF5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дити страховий продукт на ринок,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страховики розробляють маркетингову стратегію</w:t>
      </w:r>
      <w:r w:rsidR="00A828D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якої залежить ефективність діяльності страхових компаній</w:t>
      </w:r>
      <w:r w:rsidR="00FF5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Маркетингова стратегія ґрунтується на </w:t>
      </w:r>
      <w:r w:rsidR="00FF5A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аналіз</w:t>
      </w:r>
      <w:r w:rsidR="00A828DD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FF5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кон’юнктури ринку, потенційних та наявних клієнт</w:t>
      </w:r>
      <w:r w:rsidR="00A828DD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="00FF5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страхових послуг, сегментації ринку та</w:t>
      </w:r>
      <w:r w:rsidR="009F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розробки ефективного </w:t>
      </w:r>
      <w:proofErr w:type="spellStart"/>
      <w:r w:rsidR="009F1872">
        <w:rPr>
          <w:rFonts w:ascii="Times New Roman" w:hAnsi="Times New Roman" w:cs="Times New Roman"/>
          <w:color w:val="000000" w:themeColor="text1"/>
          <w:sz w:val="28"/>
          <w:szCs w:val="28"/>
        </w:rPr>
        <w:t>маркетинг</w:t>
      </w:r>
      <w:r w:rsidR="00FF5A2E">
        <w:rPr>
          <w:rFonts w:ascii="Times New Roman" w:hAnsi="Times New Roman" w:cs="Times New Roman"/>
          <w:color w:val="000000" w:themeColor="text1"/>
          <w:sz w:val="28"/>
          <w:szCs w:val="28"/>
        </w:rPr>
        <w:t>-мікс</w:t>
      </w:r>
      <w:proofErr w:type="spellEnd"/>
      <w:r w:rsidR="00FF5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51A6A" w:rsidRDefault="008729CC" w:rsidP="00A51A6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A6A">
        <w:rPr>
          <w:rFonts w:ascii="Times New Roman" w:hAnsi="Times New Roman" w:cs="Times New Roman"/>
          <w:color w:val="000000" w:themeColor="text1"/>
          <w:sz w:val="28"/>
          <w:szCs w:val="28"/>
        </w:rPr>
        <w:t>Маркетингова стратегія страхової компанії</w:t>
      </w:r>
      <w:r w:rsidR="006B56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це комплексна реалізація </w:t>
      </w:r>
      <w:r w:rsidR="00A82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 щодо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отриман</w:t>
      </w:r>
      <w:r w:rsidR="00A828DD">
        <w:rPr>
          <w:rFonts w:ascii="Times New Roman" w:hAnsi="Times New Roman" w:cs="Times New Roman"/>
          <w:color w:val="000000" w:themeColor="text1"/>
          <w:sz w:val="28"/>
          <w:szCs w:val="28"/>
        </w:rPr>
        <w:t>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страховиками у процесі дослідження ринку</w:t>
      </w:r>
      <w:r w:rsidR="00A82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результаті проведення оцінки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матеріалів за станом ринку в динаміці та вироб</w:t>
      </w:r>
      <w:r w:rsidR="00A828DD">
        <w:rPr>
          <w:rFonts w:ascii="Times New Roman" w:hAnsi="Times New Roman" w:cs="Times New Roman"/>
          <w:color w:val="000000" w:themeColor="text1"/>
          <w:sz w:val="28"/>
          <w:szCs w:val="28"/>
        </w:rPr>
        <w:t>лення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оптимальн</w:t>
      </w:r>
      <w:r w:rsidR="00A828DD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28DD">
        <w:rPr>
          <w:rFonts w:ascii="Times New Roman" w:hAnsi="Times New Roman" w:cs="Times New Roman"/>
          <w:color w:val="000000" w:themeColor="text1"/>
          <w:sz w:val="28"/>
          <w:szCs w:val="28"/>
        </w:rPr>
        <w:t>алгоритму дій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страховика. </w:t>
      </w:r>
      <w:r w:rsidR="00A51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Вона реалізується за </w:t>
      </w:r>
      <w:r w:rsidR="00A51A6A" w:rsidRPr="00A51A6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51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допомогою таких інструментів [5]:</w:t>
      </w:r>
    </w:p>
    <w:p w:rsidR="00A51A6A" w:rsidRPr="00A51A6A" w:rsidRDefault="008729CC" w:rsidP="00A51A6A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дослідження та сегментація ринку;</w:t>
      </w:r>
    </w:p>
    <w:p w:rsidR="00A51A6A" w:rsidRPr="00A51A6A" w:rsidRDefault="008729CC" w:rsidP="00A51A6A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політика в галузі розробки страхових продуктів, позиціонування продукту;</w:t>
      </w:r>
    </w:p>
    <w:p w:rsidR="00A51A6A" w:rsidRPr="00A51A6A" w:rsidRDefault="008729CC" w:rsidP="00A51A6A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цінова політика;</w:t>
      </w:r>
    </w:p>
    <w:p w:rsidR="00A51A6A" w:rsidRPr="00A51A6A" w:rsidRDefault="008729CC" w:rsidP="00A51A6A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спосіб організації продажу страхових послуг, організація каналів збуту;</w:t>
      </w:r>
    </w:p>
    <w:p w:rsidR="008729CC" w:rsidRPr="00A51A6A" w:rsidRDefault="008729CC" w:rsidP="00A51A6A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політик</w:t>
      </w:r>
      <w:r w:rsidR="00A51A6A" w:rsidRPr="00A51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формування споживчого попиту</w:t>
      </w:r>
      <w:r w:rsidRPr="00A51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29CC" w:rsidRPr="00A51A6A" w:rsidRDefault="00A828DD" w:rsidP="008729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Страховий маркетинг</w:t>
      </w:r>
      <w:r w:rsidR="008729CC" w:rsidRPr="00A51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включає продуктов</w:t>
      </w:r>
      <w:r w:rsidR="00EB6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8729CC" w:rsidRPr="00A51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цінов</w:t>
      </w:r>
      <w:r w:rsidR="00EB6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8729CC" w:rsidRPr="00A51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8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ову</w:t>
      </w:r>
      <w:r w:rsidR="00C8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стратегі</w:t>
      </w:r>
      <w:r w:rsidR="00EB6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C8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29CC" w:rsidRPr="00A51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просування</w:t>
      </w:r>
      <w:r w:rsidR="00C8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1A6A" w:rsidRPr="00A51A6A" w:rsidRDefault="00EB65AD" w:rsidP="008729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F6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трахова послуга 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особливим</w:t>
      </w:r>
      <w:r w:rsidR="006F6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видом </w:t>
      </w:r>
      <w:r w:rsidR="00476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продукту</w:t>
      </w:r>
      <w:r w:rsidR="006F6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(потреба в ньому є слабо вираженою),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</w:t>
      </w:r>
      <w:r w:rsidR="006F6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характеризується високим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рівнем споживчої</w:t>
      </w:r>
      <w:r w:rsidR="006F6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корисності. Виходячи з цього, пріоритетним завданням страховиків є представлення свого товару на ринок. Продуктова стратегіє має бути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напрямлена</w:t>
      </w:r>
      <w:r w:rsidR="006F6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задоволення потреб споживачів страхових послуг, зручність та унікальність страхового продукту </w:t>
      </w:r>
    </w:p>
    <w:p w:rsidR="006F6F7B" w:rsidRPr="006F6F7B" w:rsidRDefault="008729CC" w:rsidP="008729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Цінова стратегія</w:t>
      </w:r>
      <w:r w:rsidRPr="006F6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6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передбачає поділ страхових </w:t>
      </w:r>
      <w:r w:rsidR="00476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послуг</w:t>
      </w:r>
      <w:r w:rsidR="006F6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A8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</w:t>
      </w:r>
      <w:r w:rsidR="00476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6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основного асортименту (складають основну частину прибутку страхових компаній) та </w:t>
      </w:r>
      <w:r w:rsidR="00A8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</w:t>
      </w:r>
      <w:r w:rsidR="006F6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додаткового асортименту (</w:t>
      </w:r>
      <w:r w:rsidR="00C8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доповнюю</w:t>
      </w:r>
      <w:r w:rsidR="00A8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C8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основні продукти</w:t>
      </w:r>
      <w:r w:rsidR="006F6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8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залежності від типу</w:t>
      </w:r>
      <w:r w:rsidR="00A8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виду</w:t>
      </w:r>
      <w:r w:rsidR="00C8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страхового продукту страхова компанія формує цінову політику</w:t>
      </w:r>
      <w:r w:rsidR="00A8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="00C8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застосовує </w:t>
      </w:r>
      <w:r w:rsidR="00476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відповідні </w:t>
      </w:r>
      <w:r w:rsidR="00C8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</w:t>
      </w:r>
      <w:r w:rsidR="00A8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8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1C60" w:rsidRPr="00C81C60" w:rsidRDefault="00C81C60" w:rsidP="00C81C6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Стратегія збуту</w:t>
      </w:r>
      <w:r w:rsidRPr="00C8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створює відповідні умови щодо реалізації страхового продукту на ринку. У своїй діяльності використовує наступні канали реалізації: офісний метод реалізації, через агентську мережу та </w:t>
      </w:r>
      <w:r w:rsidRPr="00C8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відокремлені підрозділи, через об’єднання страховиків, через посередників</w:t>
      </w:r>
      <w:r w:rsidR="00476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1C60" w:rsidRDefault="008729CC" w:rsidP="00C81C6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Стратегія просування</w:t>
      </w:r>
      <w:r w:rsidRPr="00C8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1C60" w:rsidRPr="00C8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передбачає використання </w:t>
      </w:r>
      <w:r w:rsidR="00A8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конкретного</w:t>
      </w:r>
      <w:r w:rsidRPr="00C8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виду реклами</w:t>
      </w:r>
      <w:r w:rsidR="00A8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</w:t>
      </w:r>
      <w:r w:rsidR="00C8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інформування потенційних споживачів та емоційни</w:t>
      </w:r>
      <w:r w:rsidR="00476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C8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вплив </w:t>
      </w:r>
      <w:r w:rsidR="00476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r w:rsidR="00C8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формуванн</w:t>
      </w:r>
      <w:r w:rsidR="00476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C8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чіткого</w:t>
      </w:r>
      <w:r w:rsidR="00C8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ставлення до страхового продукту.</w:t>
      </w:r>
    </w:p>
    <w:p w:rsidR="003F3672" w:rsidRDefault="00FF5A2E" w:rsidP="0080051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Отже, у сфері діяльності </w:t>
      </w:r>
      <w:r w:rsidR="00C81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страхового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маркетингу можна виділити наступні пріоритетні об’єкти уваги: страхове поле (потенційні клієнти та об’єкти страхування); канали розподілу страхових продуктів; якісні характеристики страхових продуктів; формування попиту. </w:t>
      </w:r>
    </w:p>
    <w:p w:rsidR="003F3672" w:rsidRDefault="006B566A" w:rsidP="0080051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Страховий маркетинг спрямований на досягнення високих кількісних та якісних показників діяльності страхових компаній, котрими є кільк</w:t>
      </w:r>
      <w:r w:rsidR="00A82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ість укладених договорів, розмір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охоплен</w:t>
      </w:r>
      <w:r w:rsidR="00A82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сегмент</w:t>
      </w:r>
      <w:r w:rsidR="00A828D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страхового поля, ступінь задоволення запитів клієнта, </w:t>
      </w:r>
      <w:r w:rsidR="00A82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рівень 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якість страхових послуг тощо.</w:t>
      </w:r>
    </w:p>
    <w:p w:rsidR="006B566A" w:rsidRDefault="004A744F" w:rsidP="0080051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744F">
        <w:rPr>
          <w:rFonts w:ascii="Times New Roman" w:hAnsi="Times New Roman" w:cs="Times New Roman"/>
          <w:color w:val="000000" w:themeColor="text1"/>
          <w:sz w:val="28"/>
          <w:szCs w:val="28"/>
        </w:rPr>
        <w:t>Нині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український</w:t>
      </w:r>
      <w:r w:rsidRPr="004A74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страховий маркетинг в повній мірі відповідає сучасному стану розвитку </w:t>
      </w:r>
      <w:r w:rsidR="00AE7DA3">
        <w:rPr>
          <w:rFonts w:ascii="Times New Roman" w:hAnsi="Times New Roman" w:cs="Times New Roman"/>
          <w:color w:val="000000" w:themeColor="text1"/>
          <w:sz w:val="28"/>
          <w:szCs w:val="28"/>
        </w:rPr>
        <w:t>вітчизняного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страхового ринку, що характеризується відсутністю системного підходу, одиничністю маркетингових дій, відірваністю від загального процесу надання страхових послуг. </w:t>
      </w:r>
      <w:r w:rsidR="00AE7DA3">
        <w:rPr>
          <w:rFonts w:ascii="Times New Roman" w:hAnsi="Times New Roman" w:cs="Times New Roman"/>
          <w:color w:val="000000" w:themeColor="text1"/>
          <w:sz w:val="28"/>
          <w:szCs w:val="28"/>
        </w:rPr>
        <w:t>Підтвердженням</w:t>
      </w:r>
      <w:r w:rsidR="00A82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цього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слугує наявність маркетингових підрозділів у провідних страхових компаніях, які займаються рекламою страхових </w:t>
      </w:r>
      <w:r w:rsidR="00AE7DA3">
        <w:rPr>
          <w:rFonts w:ascii="Times New Roman" w:hAnsi="Times New Roman" w:cs="Times New Roman"/>
          <w:color w:val="000000" w:themeColor="text1"/>
          <w:sz w:val="28"/>
          <w:szCs w:val="28"/>
        </w:rPr>
        <w:t>послуг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торгової марки, а не коорд</w:t>
      </w:r>
      <w:r w:rsidR="00AE7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инуванням маркетингових програм усіх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підрозділів. </w:t>
      </w:r>
    </w:p>
    <w:p w:rsidR="004A744F" w:rsidRDefault="004A744F" w:rsidP="0080051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етапі розвитку </w:t>
      </w:r>
      <w:r w:rsidR="00AE7DA3">
        <w:rPr>
          <w:rFonts w:ascii="Times New Roman" w:hAnsi="Times New Roman" w:cs="Times New Roman"/>
          <w:color w:val="000000" w:themeColor="text1"/>
          <w:sz w:val="28"/>
          <w:szCs w:val="28"/>
        </w:rPr>
        <w:t>національного</w:t>
      </w:r>
      <w:r w:rsidR="00C82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страхового маркетингу, при комерціалізації страхових продуктів українські страховики починають звертати </w:t>
      </w:r>
      <w:r w:rsidR="00AE7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увагу </w:t>
      </w:r>
      <w:r w:rsidR="00C8222C">
        <w:rPr>
          <w:rFonts w:ascii="Times New Roman" w:hAnsi="Times New Roman" w:cs="Times New Roman"/>
          <w:color w:val="000000" w:themeColor="text1"/>
          <w:sz w:val="28"/>
          <w:szCs w:val="28"/>
        </w:rPr>
        <w:t>не лише на зрос</w:t>
      </w:r>
      <w:r w:rsidR="00AE7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тання об’ємів продажів, а й на проникність </w:t>
      </w:r>
      <w:r w:rsidR="00C8222C">
        <w:rPr>
          <w:rFonts w:ascii="Times New Roman" w:hAnsi="Times New Roman" w:cs="Times New Roman"/>
          <w:color w:val="000000" w:themeColor="text1"/>
          <w:sz w:val="28"/>
          <w:szCs w:val="28"/>
        </w:rPr>
        <w:t>на ринок, відповідність</w:t>
      </w:r>
      <w:r w:rsidR="00A82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страхових</w:t>
      </w:r>
      <w:r w:rsidR="00C82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продуктів каналам розподілу.</w:t>
      </w:r>
    </w:p>
    <w:p w:rsidR="00662F4F" w:rsidRPr="004A744F" w:rsidRDefault="00662F4F" w:rsidP="00662F4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Конкуренція на ринку повинна сприяти пожвавленню маркетингової діяльності компаній, </w:t>
      </w:r>
      <w:r w:rsidR="00AE7DA3">
        <w:rPr>
          <w:rFonts w:ascii="Times New Roman" w:hAnsi="Times New Roman" w:cs="Times New Roman"/>
          <w:color w:val="000000" w:themeColor="text1"/>
          <w:sz w:val="28"/>
          <w:szCs w:val="28"/>
        </w:rPr>
        <w:t>які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свою чергу ставлять на меті підвищення рівня конкурентоспроможності та розширення </w:t>
      </w:r>
      <w:r w:rsidR="00A828DD">
        <w:rPr>
          <w:rFonts w:ascii="Times New Roman" w:hAnsi="Times New Roman" w:cs="Times New Roman"/>
          <w:color w:val="000000" w:themeColor="text1"/>
          <w:sz w:val="28"/>
          <w:szCs w:val="28"/>
        </w:rPr>
        <w:t>ринкової частки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8222C">
        <w:rPr>
          <w:rFonts w:ascii="Times New Roman" w:hAnsi="Times New Roman" w:cs="Times New Roman"/>
          <w:color w:val="000000" w:themeColor="text1"/>
          <w:sz w:val="28"/>
          <w:szCs w:val="28"/>
        </w:rPr>
        <w:t>Зростаюча конкурент</w:t>
      </w:r>
      <w:r w:rsidR="00A828D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C82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боротьба між страховими компаніями є </w:t>
      </w:r>
      <w:r w:rsidR="00A828DD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відповідним</w:t>
      </w:r>
      <w:r w:rsidR="00C82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222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імпульсом для орієнтації страховиків на потреби</w:t>
      </w:r>
      <w:r w:rsidR="004163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8222C">
        <w:rPr>
          <w:rFonts w:ascii="Times New Roman" w:hAnsi="Times New Roman" w:cs="Times New Roman"/>
          <w:color w:val="000000" w:themeColor="text1"/>
          <w:sz w:val="28"/>
          <w:szCs w:val="28"/>
        </w:rPr>
        <w:t>вподобанн</w:t>
      </w:r>
      <w:r w:rsidR="0041634A">
        <w:rPr>
          <w:rFonts w:ascii="Times New Roman" w:hAnsi="Times New Roman" w:cs="Times New Roman"/>
          <w:color w:val="000000" w:themeColor="text1"/>
          <w:sz w:val="28"/>
          <w:szCs w:val="28"/>
        </w:rPr>
        <w:t>я та</w:t>
      </w:r>
      <w:r w:rsidR="00C82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систему цінностей клієнтів.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Ключова роль страхового маркетингу полягає у дослідженні стимулів, мотивів, які впливають на поведінку і процес прийняття рішень потенційним</w:t>
      </w:r>
      <w:r w:rsidR="00AE7DA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страхувальник</w:t>
      </w:r>
      <w:r w:rsidR="00AE7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щодо</w:t>
      </w:r>
      <w:r w:rsidR="00AE7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отримання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страхових послуг. Це передбачає використання в маркетинговій діяльності страховиків сукупності методів та прийомів, що сприятимуть ефективному функціонуванн</w:t>
      </w:r>
      <w:r w:rsidR="0041634A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умовах невизначеного ринкового середовища.</w:t>
      </w:r>
    </w:p>
    <w:p w:rsidR="00662F4F" w:rsidRDefault="00A664DF" w:rsidP="00DE2DC7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допомогою аналі</w:t>
      </w:r>
      <w:r w:rsidRPr="00A66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теоретичних та практичних основ страхового маркетингу </w:t>
      </w:r>
      <w:r w:rsidR="00BC66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Україні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можна виокремити наступні напрямки йо</w:t>
      </w:r>
      <w:r w:rsidR="006C6163">
        <w:rPr>
          <w:rFonts w:ascii="Times New Roman" w:hAnsi="Times New Roman" w:cs="Times New Roman"/>
          <w:color w:val="000000" w:themeColor="text1"/>
          <w:sz w:val="28"/>
          <w:szCs w:val="28"/>
        </w:rPr>
        <w:t>го подальшого розвитку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664DF" w:rsidRDefault="006C6163" w:rsidP="00DE2DC7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впровадження</w:t>
      </w:r>
      <w:r w:rsidR="00A66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нових та вдосконалення вже існуючих маркетингових стратегій;</w:t>
      </w:r>
    </w:p>
    <w:p w:rsidR="00A664DF" w:rsidRDefault="00A664DF" w:rsidP="00DE2DC7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розробка </w:t>
      </w:r>
      <w:r w:rsidR="004163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маркетингових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інформаційних систем;</w:t>
      </w:r>
    </w:p>
    <w:p w:rsidR="00A664DF" w:rsidRDefault="00A664DF" w:rsidP="00DE2DC7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підвищення рівня страхової культури потенційних клієнтів;</w:t>
      </w:r>
    </w:p>
    <w:p w:rsidR="00A664DF" w:rsidRDefault="00A664DF" w:rsidP="00DE2DC7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укріплення довіри населення до страхових послуг.</w:t>
      </w:r>
    </w:p>
    <w:p w:rsidR="00A664DF" w:rsidRPr="00A664DF" w:rsidRDefault="00A664DF" w:rsidP="00DE2DC7">
      <w:pPr>
        <w:pStyle w:val="a3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Отже, підсумовуючи все вище </w:t>
      </w:r>
      <w:r w:rsidR="006C6163">
        <w:rPr>
          <w:rFonts w:ascii="Times New Roman" w:hAnsi="Times New Roman" w:cs="Times New Roman"/>
          <w:color w:val="000000" w:themeColor="text1"/>
          <w:sz w:val="28"/>
          <w:szCs w:val="28"/>
        </w:rPr>
        <w:t>зазначене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можна додати, що використання маркетингових послуг являється</w:t>
      </w:r>
      <w:r w:rsidR="009407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одним із найперспективніших напрямків розвитку стра</w:t>
      </w:r>
      <w:r w:rsidR="0041634A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9407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ового ринку в Україні. </w:t>
      </w:r>
      <w:r w:rsidR="0041634A">
        <w:rPr>
          <w:rFonts w:ascii="Times New Roman" w:hAnsi="Times New Roman" w:cs="Times New Roman"/>
          <w:color w:val="000000" w:themeColor="text1"/>
          <w:sz w:val="28"/>
          <w:szCs w:val="28"/>
        </w:rPr>
        <w:t>Крім того</w:t>
      </w:r>
      <w:r w:rsidR="009407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страховий маркетинг має можливість впливати на діяльність не лише окремої компанії, а й на страховий ринок в цілому, </w:t>
      </w:r>
      <w:r w:rsidR="004163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 </w:t>
      </w:r>
      <w:r w:rsidR="009407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дозволяє покращити </w:t>
      </w:r>
      <w:r w:rsidR="00DE2DC7">
        <w:rPr>
          <w:rFonts w:ascii="Times New Roman" w:hAnsi="Times New Roman" w:cs="Times New Roman"/>
          <w:color w:val="000000" w:themeColor="text1"/>
          <w:sz w:val="28"/>
          <w:szCs w:val="28"/>
        </w:rPr>
        <w:t>відносини між страховиками та страхувальниками.</w:t>
      </w:r>
    </w:p>
    <w:p w:rsidR="00DE2DC7" w:rsidRDefault="00E367A0" w:rsidP="0080051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E2DC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Висновки.</w:t>
      </w:r>
      <w:r w:rsidR="00525073" w:rsidRPr="00DE2DC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DE2DC7" w:rsidRPr="00DE2D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Розширення діапазону використання </w:t>
      </w:r>
      <w:r w:rsidR="00DE2D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маркетингу є одним </w:t>
      </w:r>
      <w:r w:rsidR="004163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і</w:t>
      </w:r>
      <w:r w:rsidR="00DE2D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 найбільш актуальних питань у страховому бізнесі. В Україні існує ряд перешкод, які гальмують розвиток страхового сектору, проте проаналізувавши переваги маркетингу у страхові діяльності, можна з впевненістю сказати, що його застосування значно підвищит</w:t>
      </w:r>
      <w:r w:rsidR="00810C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ь</w:t>
      </w:r>
      <w:r w:rsidR="00DE2D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ефективність надання послуг. В свою чергу це позначиться </w:t>
      </w:r>
      <w:r w:rsidR="009D67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діяльності страхових компаній, покращиться якість наданих послуг, підвищить</w:t>
      </w:r>
      <w:r w:rsidR="004163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ся</w:t>
      </w:r>
      <w:r w:rsidR="009D67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рівень страхової культури</w:t>
      </w:r>
      <w:r w:rsidR="004163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9D67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810C73" w:rsidRPr="00DE2DC7" w:rsidRDefault="00810C73" w:rsidP="0080051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Наявна ситуація на ринку страхових послуг підштовхує компанії до вдосконалення своєї діяльності, використовуючи в свою чергу довгострокові стратегії розвитку. Продумана організація збуду та активна комунікація з потенційними страхувальниками є </w:t>
      </w:r>
      <w:r w:rsidR="00C902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вирішальним чинником у досягненні успіху. Виживання в конкурентній боротьбі зобов’язує страхові </w:t>
      </w:r>
      <w:r w:rsidR="004163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компанії </w:t>
      </w:r>
      <w:r w:rsidR="00C902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практикувати нові види обслуговування, постійно звертати увагу на інтереси та побажання клієнтів тощо. Цим і пояснюється необхідність страховиків діяти на </w:t>
      </w:r>
      <w:r w:rsidR="004163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сучасному </w:t>
      </w:r>
      <w:r w:rsidR="00C902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ринку відповідно теорії та практиці сучасного маркетингу.</w:t>
      </w:r>
    </w:p>
    <w:p w:rsidR="00DE2DC7" w:rsidRDefault="00DE2DC7" w:rsidP="009F187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</w:pPr>
    </w:p>
    <w:p w:rsidR="00E367A0" w:rsidRPr="00DE2DC7" w:rsidRDefault="00E367A0" w:rsidP="000D20B3">
      <w:pPr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E2DC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СПИСОК ВИКОРИСТАНИХ ДЖЕРЕЛ</w:t>
      </w:r>
    </w:p>
    <w:p w:rsidR="00977A08" w:rsidRPr="00DE2DC7" w:rsidRDefault="00977A08" w:rsidP="001D06C7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Rutkowski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Adam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Badania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rynku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jako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podstawowy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element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działalności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marketingowej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ubezpieczyciela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Wiadomości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Ubezpieczeniowe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. – 1985. – № 6. – s.</w:t>
      </w:r>
      <w:r w:rsidRPr="00DE2D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 </w:t>
      </w:r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22.</w:t>
      </w:r>
    </w:p>
    <w:p w:rsidR="00977A08" w:rsidRPr="00DE2DC7" w:rsidRDefault="00977A08" w:rsidP="000D20B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Багиев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Г.Л.,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Тарасевич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В.М. Маркетинг: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Учебник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вузов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3-е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изд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–СПб. :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Питер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, 2010. – 576 с.</w:t>
      </w:r>
    </w:p>
    <w:p w:rsidR="00977A08" w:rsidRPr="00DE2DC7" w:rsidRDefault="00977A08" w:rsidP="000D20B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Базилевич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Д. Страхування</w:t>
      </w:r>
      <w:r w:rsidRPr="00DE2D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Підручник / За ред.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В.Д. Базил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евича – К. : Знання-Прес, 2008. – 1019 с.</w:t>
      </w:r>
    </w:p>
    <w:p w:rsidR="00977A08" w:rsidRPr="00DE2DC7" w:rsidRDefault="00977A08" w:rsidP="000D20B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Воблый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К.Г.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Основы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экономии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страхования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Репринтное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издание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М.: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Издательский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 “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Анкил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”, 1995. – 232 с</w:t>
      </w:r>
    </w:p>
    <w:p w:rsidR="00977A08" w:rsidRPr="00DE2DC7" w:rsidRDefault="00977A08" w:rsidP="000D20B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Долгошея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 Н. О. Страхування в запитаннях та відповідях [Текст] :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навч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посіб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. / Н. О. 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Долгошея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К. : Центр учбової літератури,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2010. – 318 </w:t>
      </w:r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</w:p>
    <w:p w:rsidR="00977A08" w:rsidRPr="00DE2DC7" w:rsidRDefault="00977A08" w:rsidP="000D20B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Заруба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О.Д. Страхова справа: Підручник. – К.</w:t>
      </w:r>
      <w:r w:rsidRPr="00DE2D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: Товариство “Знання”, 1998. – 314 с.</w:t>
      </w:r>
    </w:p>
    <w:p w:rsidR="00977A08" w:rsidRPr="00DE2DC7" w:rsidRDefault="00977A08" w:rsidP="000D20B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Манэсъ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Основы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страхового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дъла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переводъ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съ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нъмецкаго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редакцiей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съ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дополненіями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М.И.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Ушакова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E2D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Изданіе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М.В.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Кечеджи-Шаповалова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С-Петербургъ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, 1909. – 244 с.</w:t>
      </w:r>
    </w:p>
    <w:p w:rsidR="00977A08" w:rsidRPr="00DE2DC7" w:rsidRDefault="00977A08" w:rsidP="000D20B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Орланюк-Малицкая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Л.А. О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понятиях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факторах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финансовой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устойчивости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страховых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компаний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Л.А.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Орланюк-Малицкая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Вестник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финансовой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академии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. – 1998. – № 1. – С. 33–38.</w:t>
      </w:r>
    </w:p>
    <w:p w:rsidR="00977A08" w:rsidRPr="00DE2DC7" w:rsidRDefault="00977A08" w:rsidP="000D20B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2D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Павленко А. Ф.,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Войчак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А. В. Маркетинг: Підручник. - К.: КНЕУ, 2003. - 246 с.</w:t>
      </w:r>
    </w:p>
    <w:p w:rsidR="00977A08" w:rsidRDefault="00977A08" w:rsidP="001D06C7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D06C7">
        <w:rPr>
          <w:rFonts w:ascii="Times New Roman" w:hAnsi="Times New Roman" w:cs="Times New Roman"/>
          <w:color w:val="000000" w:themeColor="text1"/>
          <w:sz w:val="28"/>
          <w:szCs w:val="28"/>
        </w:rPr>
        <w:t>Спицын</w:t>
      </w:r>
      <w:proofErr w:type="spellEnd"/>
      <w:r w:rsidRPr="001D06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 О., </w:t>
      </w:r>
      <w:proofErr w:type="spellStart"/>
      <w:r w:rsidRPr="001D06C7">
        <w:rPr>
          <w:rFonts w:ascii="Times New Roman" w:hAnsi="Times New Roman" w:cs="Times New Roman"/>
          <w:color w:val="000000" w:themeColor="text1"/>
          <w:sz w:val="28"/>
          <w:szCs w:val="28"/>
        </w:rPr>
        <w:t>Спицын</w:t>
      </w:r>
      <w:proofErr w:type="spellEnd"/>
      <w:r w:rsidRPr="001D06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Я. О. Маркетинг в </w:t>
      </w:r>
      <w:proofErr w:type="spellStart"/>
      <w:r w:rsidRPr="001D06C7">
        <w:rPr>
          <w:rFonts w:ascii="Times New Roman" w:hAnsi="Times New Roman" w:cs="Times New Roman"/>
          <w:color w:val="000000" w:themeColor="text1"/>
          <w:sz w:val="28"/>
          <w:szCs w:val="28"/>
        </w:rPr>
        <w:t>банке</w:t>
      </w:r>
      <w:proofErr w:type="spellEnd"/>
      <w:r w:rsidRPr="001D06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Тернопіль : </w:t>
      </w:r>
      <w:proofErr w:type="spellStart"/>
      <w:r w:rsidRPr="001D06C7">
        <w:rPr>
          <w:rFonts w:ascii="Times New Roman" w:hAnsi="Times New Roman" w:cs="Times New Roman"/>
          <w:color w:val="000000" w:themeColor="text1"/>
          <w:sz w:val="28"/>
          <w:szCs w:val="28"/>
        </w:rPr>
        <w:t>Тарнекс</w:t>
      </w:r>
      <w:proofErr w:type="spellEnd"/>
      <w:r w:rsidRPr="001D06C7">
        <w:rPr>
          <w:rFonts w:ascii="Times New Roman" w:hAnsi="Times New Roman" w:cs="Times New Roman"/>
          <w:color w:val="000000" w:themeColor="text1"/>
          <w:sz w:val="28"/>
          <w:szCs w:val="28"/>
        </w:rPr>
        <w:t>. – 1993. – 230 с.</w:t>
      </w:r>
    </w:p>
    <w:p w:rsidR="00977A08" w:rsidRPr="00DE2DC7" w:rsidRDefault="00977A08" w:rsidP="000D20B3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Старостіна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А.О. Маркетинг: теорія, світовий досвід, українська практика: Підручник / А.О.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Старостіна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Н.П.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Гончарова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Є.В.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Крикавський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ін.; за ред. А.О. Старостиної. – К.: Знання, 2009. – 1071 с.</w:t>
      </w:r>
    </w:p>
    <w:p w:rsidR="00977A08" w:rsidRPr="00DE2DC7" w:rsidRDefault="001F619A" w:rsidP="000D20B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hyperlink r:id="rId12" w:tooltip="Пошук за автором" w:history="1">
        <w:proofErr w:type="spellStart"/>
        <w:r w:rsidR="00977A08" w:rsidRPr="00DE2DC7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Шелехов</w:t>
        </w:r>
        <w:proofErr w:type="spellEnd"/>
        <w:r w:rsidR="00977A08" w:rsidRPr="00DE2DC7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К. В.</w:t>
        </w:r>
      </w:hyperlink>
      <w:r w:rsidR="00977A08" w:rsidRPr="00DE2DC7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 Корпоративне страхування здоров’я персоналу як сучасний інструмент інвестування у людський капітал / К. В. </w:t>
      </w:r>
      <w:proofErr w:type="spellStart"/>
      <w:r w:rsidR="00977A08" w:rsidRPr="00DE2DC7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Шелехов</w:t>
      </w:r>
      <w:proofErr w:type="spellEnd"/>
      <w:r w:rsidR="00977A08" w:rsidRPr="00DE2DC7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// </w:t>
      </w:r>
      <w:hyperlink r:id="rId13" w:tooltip="Періодичне видання" w:history="1">
        <w:r w:rsidR="00977A08" w:rsidRPr="00DE2DC7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Економічний вісник Національного технічного університету України «Київський політехнічний інститут»</w:t>
        </w:r>
      </w:hyperlink>
      <w:r w:rsidR="00977A08" w:rsidRPr="00DE2DC7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. </w:t>
      </w:r>
      <w:r w:rsidR="00977A08"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77A08" w:rsidRPr="00DE2DC7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2014. </w:t>
      </w:r>
      <w:r w:rsidR="00977A08"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77A08" w:rsidRPr="00DE2DC7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№ 11. </w:t>
      </w:r>
      <w:r w:rsidR="00977A08"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77A08" w:rsidRPr="00DE2DC7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С. 312-322.</w:t>
      </w:r>
    </w:p>
    <w:p w:rsidR="00977A08" w:rsidRPr="00DE2DC7" w:rsidRDefault="00977A08" w:rsidP="000D20B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Шеремет А.Д. Методика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финансового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анализа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Учебное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пособие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А.Д. Шеремет. – 3-е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изд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доп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. – М.</w:t>
      </w:r>
      <w:r w:rsidRPr="00DE2D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: ИНФРА-М, 2001 – 536 с</w:t>
      </w:r>
    </w:p>
    <w:p w:rsidR="00977A08" w:rsidRPr="00DE2DC7" w:rsidRDefault="00977A08" w:rsidP="000D20B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Шихов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А.К., </w:t>
      </w:r>
      <w:proofErr w:type="spell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Шихов</w:t>
      </w:r>
      <w:proofErr w:type="spellEnd"/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А.А. Страхування і страхове право. Питання та відповіді. – М.</w:t>
      </w:r>
      <w:r w:rsidRPr="00DE2D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DE2DC7">
        <w:rPr>
          <w:rFonts w:ascii="Times New Roman" w:hAnsi="Times New Roman" w:cs="Times New Roman"/>
          <w:color w:val="000000" w:themeColor="text1"/>
          <w:sz w:val="28"/>
          <w:szCs w:val="28"/>
        </w:rPr>
        <w:t>: Юриспруденція, 2008.</w:t>
      </w:r>
      <w:r w:rsidRPr="00DE2DC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977A08" w:rsidRPr="00DE2DC7" w:rsidRDefault="00977A08" w:rsidP="000D20B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2D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Эванс Дж., Берман Б. «Маркетинг» пер. с англ. – М.</w:t>
      </w:r>
      <w:proofErr w:type="gramStart"/>
      <w:r w:rsidRPr="00DE2D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:</w:t>
      </w:r>
      <w:proofErr w:type="gramEnd"/>
      <w:r w:rsidRPr="00DE2D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Сирин, 2002. – 308 с.</w:t>
      </w:r>
    </w:p>
    <w:p w:rsidR="00F2210A" w:rsidRDefault="00F2210A" w:rsidP="00F2210A">
      <w:pPr>
        <w:pStyle w:val="a3"/>
        <w:tabs>
          <w:tab w:val="left" w:pos="1134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210A" w:rsidRPr="00F2210A" w:rsidRDefault="00F2210A" w:rsidP="00F2210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2210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Summary</w:t>
      </w:r>
    </w:p>
    <w:p w:rsidR="00F2210A" w:rsidRDefault="0041634A" w:rsidP="00F2210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2210A" w:rsidRPr="00F2210A">
        <w:rPr>
          <w:rFonts w:ascii="Times New Roman" w:hAnsi="Times New Roman" w:cs="Times New Roman"/>
          <w:sz w:val="28"/>
          <w:szCs w:val="28"/>
          <w:lang w:val="en-US"/>
        </w:rPr>
        <w:t xml:space="preserve">he </w:t>
      </w:r>
      <w:r w:rsidRPr="00F2210A">
        <w:rPr>
          <w:rFonts w:ascii="Times New Roman" w:hAnsi="Times New Roman" w:cs="Times New Roman"/>
          <w:sz w:val="28"/>
          <w:szCs w:val="28"/>
          <w:lang w:val="en-US"/>
        </w:rPr>
        <w:t>article analyzes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210A">
        <w:rPr>
          <w:rFonts w:ascii="Times New Roman" w:hAnsi="Times New Roman" w:cs="Times New Roman"/>
          <w:sz w:val="28"/>
          <w:szCs w:val="28"/>
          <w:lang w:val="en-US"/>
        </w:rPr>
        <w:t>the current state of the insurance market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2210A">
        <w:rPr>
          <w:rFonts w:ascii="Times New Roman" w:hAnsi="Times New Roman" w:cs="Times New Roman"/>
          <w:sz w:val="28"/>
          <w:szCs w:val="28"/>
          <w:lang w:val="en-US"/>
        </w:rPr>
        <w:t>discusses</w:t>
      </w:r>
      <w:r w:rsidR="00F2210A" w:rsidRPr="00F2210A">
        <w:rPr>
          <w:rFonts w:ascii="Times New Roman" w:hAnsi="Times New Roman" w:cs="Times New Roman"/>
          <w:sz w:val="28"/>
          <w:szCs w:val="28"/>
          <w:lang w:val="en-US"/>
        </w:rPr>
        <w:t xml:space="preserve"> the benefits of the introduction of the insurance marketing activities of domestic insurance companies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="00F2210A" w:rsidRPr="00F2210A">
        <w:rPr>
          <w:rFonts w:ascii="Times New Roman" w:hAnsi="Times New Roman" w:cs="Times New Roman"/>
          <w:sz w:val="28"/>
          <w:szCs w:val="28"/>
          <w:lang w:val="en-US"/>
        </w:rPr>
        <w:t xml:space="preserve"> propose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2210A" w:rsidRPr="00F2210A">
        <w:rPr>
          <w:rFonts w:ascii="Times New Roman" w:hAnsi="Times New Roman" w:cs="Times New Roman"/>
          <w:sz w:val="28"/>
          <w:szCs w:val="28"/>
          <w:lang w:val="en-US"/>
        </w:rPr>
        <w:t xml:space="preserve"> future directions of development of the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national </w:t>
      </w:r>
      <w:r w:rsidR="00F2210A" w:rsidRPr="00F2210A">
        <w:rPr>
          <w:rFonts w:ascii="Times New Roman" w:hAnsi="Times New Roman" w:cs="Times New Roman"/>
          <w:sz w:val="28"/>
          <w:szCs w:val="28"/>
          <w:lang w:val="en-US"/>
        </w:rPr>
        <w:t>insurance marketing.</w:t>
      </w:r>
    </w:p>
    <w:p w:rsidR="0073783A" w:rsidRPr="0073783A" w:rsidRDefault="0073783A" w:rsidP="0073783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73783A" w:rsidRPr="0073783A" w:rsidSect="00BC660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80113"/>
    <w:multiLevelType w:val="hybridMultilevel"/>
    <w:tmpl w:val="28B62220"/>
    <w:lvl w:ilvl="0" w:tplc="804C50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C63C63"/>
    <w:multiLevelType w:val="hybridMultilevel"/>
    <w:tmpl w:val="28B62220"/>
    <w:lvl w:ilvl="0" w:tplc="804C50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2E7B6D"/>
    <w:multiLevelType w:val="hybridMultilevel"/>
    <w:tmpl w:val="A39AFD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3AB2790"/>
    <w:multiLevelType w:val="hybridMultilevel"/>
    <w:tmpl w:val="90885736"/>
    <w:lvl w:ilvl="0" w:tplc="C9D0E68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0EF1B86"/>
    <w:multiLevelType w:val="multilevel"/>
    <w:tmpl w:val="57582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8055C2"/>
    <w:multiLevelType w:val="hybridMultilevel"/>
    <w:tmpl w:val="54B4D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7EEF"/>
    <w:rsid w:val="000421F2"/>
    <w:rsid w:val="0009716F"/>
    <w:rsid w:val="000A42CB"/>
    <w:rsid w:val="000D20B3"/>
    <w:rsid w:val="001331FB"/>
    <w:rsid w:val="00164331"/>
    <w:rsid w:val="001D06C7"/>
    <w:rsid w:val="001F619A"/>
    <w:rsid w:val="00215AEB"/>
    <w:rsid w:val="00294807"/>
    <w:rsid w:val="002F73E3"/>
    <w:rsid w:val="00324CE6"/>
    <w:rsid w:val="00325320"/>
    <w:rsid w:val="003713D8"/>
    <w:rsid w:val="003722EA"/>
    <w:rsid w:val="003F3672"/>
    <w:rsid w:val="00406DEC"/>
    <w:rsid w:val="0041634A"/>
    <w:rsid w:val="00424AF8"/>
    <w:rsid w:val="00476C85"/>
    <w:rsid w:val="00484FFD"/>
    <w:rsid w:val="00486E6E"/>
    <w:rsid w:val="004A3188"/>
    <w:rsid w:val="004A6EF0"/>
    <w:rsid w:val="004A744F"/>
    <w:rsid w:val="004C0D04"/>
    <w:rsid w:val="004D06B7"/>
    <w:rsid w:val="004E76E3"/>
    <w:rsid w:val="0050275B"/>
    <w:rsid w:val="00525073"/>
    <w:rsid w:val="006137EE"/>
    <w:rsid w:val="00617C6F"/>
    <w:rsid w:val="00662F4F"/>
    <w:rsid w:val="00693ABE"/>
    <w:rsid w:val="006A3885"/>
    <w:rsid w:val="006B566A"/>
    <w:rsid w:val="006C6163"/>
    <w:rsid w:val="006F03E1"/>
    <w:rsid w:val="006F444F"/>
    <w:rsid w:val="006F6F7B"/>
    <w:rsid w:val="0073783A"/>
    <w:rsid w:val="007512F8"/>
    <w:rsid w:val="007572B1"/>
    <w:rsid w:val="007D7243"/>
    <w:rsid w:val="00800516"/>
    <w:rsid w:val="00810C73"/>
    <w:rsid w:val="008729CC"/>
    <w:rsid w:val="00882AEB"/>
    <w:rsid w:val="008F34D7"/>
    <w:rsid w:val="00940713"/>
    <w:rsid w:val="009754FA"/>
    <w:rsid w:val="00977A08"/>
    <w:rsid w:val="009C3185"/>
    <w:rsid w:val="009D6762"/>
    <w:rsid w:val="009F1872"/>
    <w:rsid w:val="00A07EEF"/>
    <w:rsid w:val="00A51A6A"/>
    <w:rsid w:val="00A6441C"/>
    <w:rsid w:val="00A6526B"/>
    <w:rsid w:val="00A664DF"/>
    <w:rsid w:val="00A828DD"/>
    <w:rsid w:val="00AD4D55"/>
    <w:rsid w:val="00AE7DA3"/>
    <w:rsid w:val="00B25C1A"/>
    <w:rsid w:val="00BC6608"/>
    <w:rsid w:val="00C248C6"/>
    <w:rsid w:val="00C81C60"/>
    <w:rsid w:val="00C8222C"/>
    <w:rsid w:val="00C833D2"/>
    <w:rsid w:val="00C902B4"/>
    <w:rsid w:val="00C9164A"/>
    <w:rsid w:val="00CB385E"/>
    <w:rsid w:val="00D3437D"/>
    <w:rsid w:val="00D40AA4"/>
    <w:rsid w:val="00DE2DC7"/>
    <w:rsid w:val="00DF4E66"/>
    <w:rsid w:val="00E027A8"/>
    <w:rsid w:val="00E367A0"/>
    <w:rsid w:val="00E77C2C"/>
    <w:rsid w:val="00EB65AD"/>
    <w:rsid w:val="00F2210A"/>
    <w:rsid w:val="00F57E16"/>
    <w:rsid w:val="00F6227D"/>
    <w:rsid w:val="00FC39AB"/>
    <w:rsid w:val="00FC3D41"/>
    <w:rsid w:val="00FF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EE"/>
    <w:rPr>
      <w:lang w:val="uk-UA"/>
    </w:rPr>
  </w:style>
  <w:style w:type="paragraph" w:styleId="1">
    <w:name w:val="heading 1"/>
    <w:basedOn w:val="a"/>
    <w:link w:val="10"/>
    <w:uiPriority w:val="9"/>
    <w:qFormat/>
    <w:rsid w:val="00C833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67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rsid w:val="00A6441C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Times New Roman" w:eastAsiaTheme="minorEastAsia" w:hAnsi="Times New Roman" w:cs="Times New Roman"/>
      <w:sz w:val="28"/>
      <w:szCs w:val="28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6441C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A6441C"/>
  </w:style>
  <w:style w:type="paragraph" w:styleId="a3">
    <w:name w:val="List Paragraph"/>
    <w:basedOn w:val="a"/>
    <w:uiPriority w:val="34"/>
    <w:qFormat/>
    <w:rsid w:val="00A644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3D8"/>
    <w:rPr>
      <w:rFonts w:ascii="Tahoma" w:hAnsi="Tahoma" w:cs="Tahoma"/>
      <w:sz w:val="16"/>
      <w:szCs w:val="16"/>
      <w:lang w:val="uk-UA"/>
    </w:rPr>
  </w:style>
  <w:style w:type="character" w:styleId="a6">
    <w:name w:val="Strong"/>
    <w:basedOn w:val="a0"/>
    <w:uiPriority w:val="22"/>
    <w:qFormat/>
    <w:rsid w:val="00800516"/>
    <w:rPr>
      <w:b/>
      <w:bCs/>
    </w:rPr>
  </w:style>
  <w:style w:type="table" w:styleId="a7">
    <w:name w:val="Table Grid"/>
    <w:basedOn w:val="a1"/>
    <w:uiPriority w:val="59"/>
    <w:rsid w:val="004A3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2F73E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833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67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rsid w:val="00A6441C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Times New Roman" w:eastAsiaTheme="minorEastAsia" w:hAnsi="Times New Roman" w:cs="Times New Roman"/>
      <w:sz w:val="28"/>
      <w:szCs w:val="28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6441C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A6441C"/>
  </w:style>
  <w:style w:type="paragraph" w:styleId="a3">
    <w:name w:val="List Paragraph"/>
    <w:basedOn w:val="a"/>
    <w:uiPriority w:val="34"/>
    <w:qFormat/>
    <w:rsid w:val="00A644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3D8"/>
    <w:rPr>
      <w:rFonts w:ascii="Tahoma" w:hAnsi="Tahoma" w:cs="Tahoma"/>
      <w:sz w:val="16"/>
      <w:szCs w:val="16"/>
      <w:lang w:val="uk-UA"/>
    </w:rPr>
  </w:style>
  <w:style w:type="character" w:styleId="a6">
    <w:name w:val="Strong"/>
    <w:basedOn w:val="a0"/>
    <w:uiPriority w:val="22"/>
    <w:qFormat/>
    <w:rsid w:val="008005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2699" TargetMode="Externa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A8%D0%B5%D0%BB%D0%B5%D1%85%D0%BE%D0%B2%20%D0%9A$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24F6DED-CB67-4C1F-B7EC-8D41804D9211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A243E62F-9CF1-4D93-BF91-1749ABFEDE3E}">
      <dgm:prSet phldrT="[Текст]" custT="1"/>
      <dgm:spPr>
        <a:ln w="6350"/>
      </dgm:spPr>
      <dgm:t>
        <a:bodyPr/>
        <a:lstStyle/>
        <a:p>
          <a:pPr algn="ctr"/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1. Вивчення ринку</a:t>
          </a:r>
        </a:p>
      </dgm:t>
    </dgm:pt>
    <dgm:pt modelId="{7A6898BD-F15E-493C-AD05-377BDE1A4DA4}" type="parTrans" cxnId="{5C72987F-61C3-466F-835D-F367E1744F60}">
      <dgm:prSet/>
      <dgm:spPr/>
      <dgm:t>
        <a:bodyPr/>
        <a:lstStyle/>
        <a:p>
          <a:pPr algn="ctr"/>
          <a:endParaRPr lang="ru-RU"/>
        </a:p>
      </dgm:t>
    </dgm:pt>
    <dgm:pt modelId="{DB4A87E0-9558-4C50-8695-DB4745438C48}" type="sibTrans" cxnId="{5C72987F-61C3-466F-835D-F367E1744F60}">
      <dgm:prSet custT="1"/>
      <dgm:spPr>
        <a:ln w="6350"/>
      </dgm:spPr>
      <dgm:t>
        <a:bodyPr/>
        <a:lstStyle/>
        <a:p>
          <a:pPr algn="ctr"/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1E816B8-15FA-4FDC-8F5F-63433B8400C1}">
      <dgm:prSet phldrT="[Текст]" custT="1"/>
      <dgm:spPr>
        <a:ln w="6350"/>
      </dgm:spPr>
      <dgm:t>
        <a:bodyPr/>
        <a:lstStyle/>
        <a:p>
          <a:pPr algn="ctr"/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2. Розвиток нових видів страхових послуг</a:t>
          </a:r>
        </a:p>
      </dgm:t>
    </dgm:pt>
    <dgm:pt modelId="{69B7C681-7DF3-4D29-8909-68B5C7109ABE}" type="parTrans" cxnId="{65C05085-8026-4B9F-A060-58BD405F7ED2}">
      <dgm:prSet/>
      <dgm:spPr/>
      <dgm:t>
        <a:bodyPr/>
        <a:lstStyle/>
        <a:p>
          <a:pPr algn="ctr"/>
          <a:endParaRPr lang="ru-RU"/>
        </a:p>
      </dgm:t>
    </dgm:pt>
    <dgm:pt modelId="{1D969BF1-E87B-4B6F-B54C-315148E0B3FD}" type="sibTrans" cxnId="{65C05085-8026-4B9F-A060-58BD405F7ED2}">
      <dgm:prSet custT="1"/>
      <dgm:spPr>
        <a:ln w="6350"/>
      </dgm:spPr>
      <dgm:t>
        <a:bodyPr/>
        <a:lstStyle/>
        <a:p>
          <a:pPr algn="ctr"/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1A2E214-7334-46EA-9EB9-7AE850CDE12E}">
      <dgm:prSet phldrT="[Текст]" custT="1"/>
      <dgm:spPr>
        <a:ln w="6350"/>
      </dgm:spPr>
      <dgm:t>
        <a:bodyPr/>
        <a:lstStyle/>
        <a:p>
          <a:pPr algn="ctr"/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3. Створення попиту на ринку</a:t>
          </a:r>
        </a:p>
      </dgm:t>
    </dgm:pt>
    <dgm:pt modelId="{2FCCA68D-22A6-4FEE-A185-9B3BF7C9C0E9}" type="parTrans" cxnId="{48F52B0D-7D2F-4E47-B45C-5A557B224969}">
      <dgm:prSet/>
      <dgm:spPr/>
      <dgm:t>
        <a:bodyPr/>
        <a:lstStyle/>
        <a:p>
          <a:pPr algn="ctr"/>
          <a:endParaRPr lang="ru-RU"/>
        </a:p>
      </dgm:t>
    </dgm:pt>
    <dgm:pt modelId="{B3CF3B53-6830-4995-94F4-1275EA16FDCA}" type="sibTrans" cxnId="{48F52B0D-7D2F-4E47-B45C-5A557B224969}">
      <dgm:prSet custT="1"/>
      <dgm:spPr>
        <a:ln w="6350"/>
      </dgm:spPr>
      <dgm:t>
        <a:bodyPr/>
        <a:lstStyle/>
        <a:p>
          <a:pPr algn="ctr"/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0432449-C213-4B5D-BDEA-650D1164FDC0}">
      <dgm:prSet custT="1"/>
      <dgm:spPr>
        <a:ln w="6350"/>
      </dgm:spPr>
      <dgm:t>
        <a:bodyPr/>
        <a:lstStyle/>
        <a:p>
          <a:pPr algn="ctr"/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4. Процес фізичного розподілу послуг</a:t>
          </a:r>
        </a:p>
      </dgm:t>
    </dgm:pt>
    <dgm:pt modelId="{3D174B84-AAEC-4713-A22F-87C54C552703}" type="parTrans" cxnId="{8F5D4186-7701-481E-8115-6FD5B2EAA88D}">
      <dgm:prSet/>
      <dgm:spPr/>
      <dgm:t>
        <a:bodyPr/>
        <a:lstStyle/>
        <a:p>
          <a:pPr algn="ctr"/>
          <a:endParaRPr lang="ru-RU"/>
        </a:p>
      </dgm:t>
    </dgm:pt>
    <dgm:pt modelId="{6EF8FCC7-547F-4B54-A049-5391961E29D4}" type="sibTrans" cxnId="{8F5D4186-7701-481E-8115-6FD5B2EAA88D}">
      <dgm:prSet/>
      <dgm:spPr/>
      <dgm:t>
        <a:bodyPr/>
        <a:lstStyle/>
        <a:p>
          <a:pPr algn="ctr"/>
          <a:endParaRPr lang="ru-RU"/>
        </a:p>
      </dgm:t>
    </dgm:pt>
    <dgm:pt modelId="{A5B4F2DC-77A1-4281-81E2-A7EE83FB5068}" type="pres">
      <dgm:prSet presAssocID="{B24F6DED-CB67-4C1F-B7EC-8D41804D9211}" presName="Name0" presStyleCnt="0">
        <dgm:presLayoutVars>
          <dgm:dir/>
          <dgm:resizeHandles val="exact"/>
        </dgm:presLayoutVars>
      </dgm:prSet>
      <dgm:spPr/>
    </dgm:pt>
    <dgm:pt modelId="{C227759F-BF5B-4D38-A67D-03E164B62C01}" type="pres">
      <dgm:prSet presAssocID="{A243E62F-9CF1-4D93-BF91-1749ABFEDE3E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E6E1BE2-2329-4EA0-A469-8737E802F61C}" type="pres">
      <dgm:prSet presAssocID="{DB4A87E0-9558-4C50-8695-DB4745438C48}" presName="sibTrans" presStyleLbl="sibTrans2D1" presStyleIdx="0" presStyleCnt="3"/>
      <dgm:spPr/>
      <dgm:t>
        <a:bodyPr/>
        <a:lstStyle/>
        <a:p>
          <a:endParaRPr lang="ru-RU"/>
        </a:p>
      </dgm:t>
    </dgm:pt>
    <dgm:pt modelId="{CF3A530F-0A83-449C-A735-3FEF584A746B}" type="pres">
      <dgm:prSet presAssocID="{DB4A87E0-9558-4C50-8695-DB4745438C48}" presName="connectorText" presStyleLbl="sibTrans2D1" presStyleIdx="0" presStyleCnt="3"/>
      <dgm:spPr/>
      <dgm:t>
        <a:bodyPr/>
        <a:lstStyle/>
        <a:p>
          <a:endParaRPr lang="ru-RU"/>
        </a:p>
      </dgm:t>
    </dgm:pt>
    <dgm:pt modelId="{EB6649EB-DA2D-455B-888E-3EC91EFEDC71}" type="pres">
      <dgm:prSet presAssocID="{B1E816B8-15FA-4FDC-8F5F-63433B8400C1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5AA9B17-BB12-4FCF-9F78-A0EF51B2E178}" type="pres">
      <dgm:prSet presAssocID="{1D969BF1-E87B-4B6F-B54C-315148E0B3FD}" presName="sibTrans" presStyleLbl="sibTrans2D1" presStyleIdx="1" presStyleCnt="3"/>
      <dgm:spPr/>
      <dgm:t>
        <a:bodyPr/>
        <a:lstStyle/>
        <a:p>
          <a:endParaRPr lang="ru-RU"/>
        </a:p>
      </dgm:t>
    </dgm:pt>
    <dgm:pt modelId="{79B6FECA-9C90-40E0-86AC-1E96B7096F16}" type="pres">
      <dgm:prSet presAssocID="{1D969BF1-E87B-4B6F-B54C-315148E0B3FD}" presName="connectorText" presStyleLbl="sibTrans2D1" presStyleIdx="1" presStyleCnt="3"/>
      <dgm:spPr/>
      <dgm:t>
        <a:bodyPr/>
        <a:lstStyle/>
        <a:p>
          <a:endParaRPr lang="ru-RU"/>
        </a:p>
      </dgm:t>
    </dgm:pt>
    <dgm:pt modelId="{D8413E46-DDCA-4784-8F48-CC23D4690F28}" type="pres">
      <dgm:prSet presAssocID="{D1A2E214-7334-46EA-9EB9-7AE850CDE12E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1B8FDAB-2187-40B9-913F-226FD09EFB9C}" type="pres">
      <dgm:prSet presAssocID="{B3CF3B53-6830-4995-94F4-1275EA16FDCA}" presName="sibTrans" presStyleLbl="sibTrans2D1" presStyleIdx="2" presStyleCnt="3"/>
      <dgm:spPr/>
      <dgm:t>
        <a:bodyPr/>
        <a:lstStyle/>
        <a:p>
          <a:endParaRPr lang="ru-RU"/>
        </a:p>
      </dgm:t>
    </dgm:pt>
    <dgm:pt modelId="{AEFAC0B1-1CD5-4A75-A7DF-2EDBD7575BA2}" type="pres">
      <dgm:prSet presAssocID="{B3CF3B53-6830-4995-94F4-1275EA16FDCA}" presName="connectorText" presStyleLbl="sibTrans2D1" presStyleIdx="2" presStyleCnt="3"/>
      <dgm:spPr/>
      <dgm:t>
        <a:bodyPr/>
        <a:lstStyle/>
        <a:p>
          <a:endParaRPr lang="ru-RU"/>
        </a:p>
      </dgm:t>
    </dgm:pt>
    <dgm:pt modelId="{9332D869-E89A-41AA-849D-FDAD490047C7}" type="pres">
      <dgm:prSet presAssocID="{80432449-C213-4B5D-BDEA-650D1164FDC0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872BEDA5-FB95-41F8-8629-F17EEFC1F949}" type="presOf" srcId="{DB4A87E0-9558-4C50-8695-DB4745438C48}" destId="{CF3A530F-0A83-449C-A735-3FEF584A746B}" srcOrd="1" destOrd="0" presId="urn:microsoft.com/office/officeart/2005/8/layout/process1"/>
    <dgm:cxn modelId="{74E99E0D-0E76-4BA0-87D3-98A3F1D4F0C9}" type="presOf" srcId="{1D969BF1-E87B-4B6F-B54C-315148E0B3FD}" destId="{79B6FECA-9C90-40E0-86AC-1E96B7096F16}" srcOrd="1" destOrd="0" presId="urn:microsoft.com/office/officeart/2005/8/layout/process1"/>
    <dgm:cxn modelId="{B70A4D84-D9D0-408D-8E2F-2CF34A64B2DD}" type="presOf" srcId="{1D969BF1-E87B-4B6F-B54C-315148E0B3FD}" destId="{C5AA9B17-BB12-4FCF-9F78-A0EF51B2E178}" srcOrd="0" destOrd="0" presId="urn:microsoft.com/office/officeart/2005/8/layout/process1"/>
    <dgm:cxn modelId="{6DBD20DC-DF1F-4C72-A8E2-098070944230}" type="presOf" srcId="{80432449-C213-4B5D-BDEA-650D1164FDC0}" destId="{9332D869-E89A-41AA-849D-FDAD490047C7}" srcOrd="0" destOrd="0" presId="urn:microsoft.com/office/officeart/2005/8/layout/process1"/>
    <dgm:cxn modelId="{8F5D4186-7701-481E-8115-6FD5B2EAA88D}" srcId="{B24F6DED-CB67-4C1F-B7EC-8D41804D9211}" destId="{80432449-C213-4B5D-BDEA-650D1164FDC0}" srcOrd="3" destOrd="0" parTransId="{3D174B84-AAEC-4713-A22F-87C54C552703}" sibTransId="{6EF8FCC7-547F-4B54-A049-5391961E29D4}"/>
    <dgm:cxn modelId="{A068534A-328E-4C4E-A7E3-60997B7D9727}" type="presOf" srcId="{B24F6DED-CB67-4C1F-B7EC-8D41804D9211}" destId="{A5B4F2DC-77A1-4281-81E2-A7EE83FB5068}" srcOrd="0" destOrd="0" presId="urn:microsoft.com/office/officeart/2005/8/layout/process1"/>
    <dgm:cxn modelId="{6BAFFE81-8EB1-4CF4-B4A8-23AE835B23CC}" type="presOf" srcId="{B3CF3B53-6830-4995-94F4-1275EA16FDCA}" destId="{D1B8FDAB-2187-40B9-913F-226FD09EFB9C}" srcOrd="0" destOrd="0" presId="urn:microsoft.com/office/officeart/2005/8/layout/process1"/>
    <dgm:cxn modelId="{2ED80303-6584-48B4-AC98-54ADD4FA7DEF}" type="presOf" srcId="{B1E816B8-15FA-4FDC-8F5F-63433B8400C1}" destId="{EB6649EB-DA2D-455B-888E-3EC91EFEDC71}" srcOrd="0" destOrd="0" presId="urn:microsoft.com/office/officeart/2005/8/layout/process1"/>
    <dgm:cxn modelId="{48D3451B-7D5F-4AFB-98F3-431CA52105F4}" type="presOf" srcId="{A243E62F-9CF1-4D93-BF91-1749ABFEDE3E}" destId="{C227759F-BF5B-4D38-A67D-03E164B62C01}" srcOrd="0" destOrd="0" presId="urn:microsoft.com/office/officeart/2005/8/layout/process1"/>
    <dgm:cxn modelId="{80F67085-0F06-45C6-B245-0EA51A89C49E}" type="presOf" srcId="{D1A2E214-7334-46EA-9EB9-7AE850CDE12E}" destId="{D8413E46-DDCA-4784-8F48-CC23D4690F28}" srcOrd="0" destOrd="0" presId="urn:microsoft.com/office/officeart/2005/8/layout/process1"/>
    <dgm:cxn modelId="{D2BF9BE6-5557-4D98-9470-D885346F692F}" type="presOf" srcId="{B3CF3B53-6830-4995-94F4-1275EA16FDCA}" destId="{AEFAC0B1-1CD5-4A75-A7DF-2EDBD7575BA2}" srcOrd="1" destOrd="0" presId="urn:microsoft.com/office/officeart/2005/8/layout/process1"/>
    <dgm:cxn modelId="{D49B4DF2-B7E5-4F89-ABF9-394F370BC12F}" type="presOf" srcId="{DB4A87E0-9558-4C50-8695-DB4745438C48}" destId="{BE6E1BE2-2329-4EA0-A469-8737E802F61C}" srcOrd="0" destOrd="0" presId="urn:microsoft.com/office/officeart/2005/8/layout/process1"/>
    <dgm:cxn modelId="{48F52B0D-7D2F-4E47-B45C-5A557B224969}" srcId="{B24F6DED-CB67-4C1F-B7EC-8D41804D9211}" destId="{D1A2E214-7334-46EA-9EB9-7AE850CDE12E}" srcOrd="2" destOrd="0" parTransId="{2FCCA68D-22A6-4FEE-A185-9B3BF7C9C0E9}" sibTransId="{B3CF3B53-6830-4995-94F4-1275EA16FDCA}"/>
    <dgm:cxn modelId="{5C72987F-61C3-466F-835D-F367E1744F60}" srcId="{B24F6DED-CB67-4C1F-B7EC-8D41804D9211}" destId="{A243E62F-9CF1-4D93-BF91-1749ABFEDE3E}" srcOrd="0" destOrd="0" parTransId="{7A6898BD-F15E-493C-AD05-377BDE1A4DA4}" sibTransId="{DB4A87E0-9558-4C50-8695-DB4745438C48}"/>
    <dgm:cxn modelId="{65C05085-8026-4B9F-A060-58BD405F7ED2}" srcId="{B24F6DED-CB67-4C1F-B7EC-8D41804D9211}" destId="{B1E816B8-15FA-4FDC-8F5F-63433B8400C1}" srcOrd="1" destOrd="0" parTransId="{69B7C681-7DF3-4D29-8909-68B5C7109ABE}" sibTransId="{1D969BF1-E87B-4B6F-B54C-315148E0B3FD}"/>
    <dgm:cxn modelId="{0A700A43-8E7A-477F-B643-9B1FFCAB44B6}" type="presParOf" srcId="{A5B4F2DC-77A1-4281-81E2-A7EE83FB5068}" destId="{C227759F-BF5B-4D38-A67D-03E164B62C01}" srcOrd="0" destOrd="0" presId="urn:microsoft.com/office/officeart/2005/8/layout/process1"/>
    <dgm:cxn modelId="{97330302-9D2A-47A8-BC5C-7C3D94B4FD37}" type="presParOf" srcId="{A5B4F2DC-77A1-4281-81E2-A7EE83FB5068}" destId="{BE6E1BE2-2329-4EA0-A469-8737E802F61C}" srcOrd="1" destOrd="0" presId="urn:microsoft.com/office/officeart/2005/8/layout/process1"/>
    <dgm:cxn modelId="{71EEDBC4-22EA-456C-B44B-4C4BBCB7DC95}" type="presParOf" srcId="{BE6E1BE2-2329-4EA0-A469-8737E802F61C}" destId="{CF3A530F-0A83-449C-A735-3FEF584A746B}" srcOrd="0" destOrd="0" presId="urn:microsoft.com/office/officeart/2005/8/layout/process1"/>
    <dgm:cxn modelId="{04BBBB43-B48B-4C2A-86E1-C0CB84A6799C}" type="presParOf" srcId="{A5B4F2DC-77A1-4281-81E2-A7EE83FB5068}" destId="{EB6649EB-DA2D-455B-888E-3EC91EFEDC71}" srcOrd="2" destOrd="0" presId="urn:microsoft.com/office/officeart/2005/8/layout/process1"/>
    <dgm:cxn modelId="{CB8ED223-5CF7-4CB3-8C6D-733430CFA7A7}" type="presParOf" srcId="{A5B4F2DC-77A1-4281-81E2-A7EE83FB5068}" destId="{C5AA9B17-BB12-4FCF-9F78-A0EF51B2E178}" srcOrd="3" destOrd="0" presId="urn:microsoft.com/office/officeart/2005/8/layout/process1"/>
    <dgm:cxn modelId="{AAA5E467-61F3-4B20-9B68-5116814524F4}" type="presParOf" srcId="{C5AA9B17-BB12-4FCF-9F78-A0EF51B2E178}" destId="{79B6FECA-9C90-40E0-86AC-1E96B7096F16}" srcOrd="0" destOrd="0" presId="urn:microsoft.com/office/officeart/2005/8/layout/process1"/>
    <dgm:cxn modelId="{71D07FEB-852D-4C92-AE87-95E1C1AB5821}" type="presParOf" srcId="{A5B4F2DC-77A1-4281-81E2-A7EE83FB5068}" destId="{D8413E46-DDCA-4784-8F48-CC23D4690F28}" srcOrd="4" destOrd="0" presId="urn:microsoft.com/office/officeart/2005/8/layout/process1"/>
    <dgm:cxn modelId="{7D6F6600-36CA-43B6-806F-81644E6A9BFE}" type="presParOf" srcId="{A5B4F2DC-77A1-4281-81E2-A7EE83FB5068}" destId="{D1B8FDAB-2187-40B9-913F-226FD09EFB9C}" srcOrd="5" destOrd="0" presId="urn:microsoft.com/office/officeart/2005/8/layout/process1"/>
    <dgm:cxn modelId="{800AF6A1-9C78-4D9B-BEFB-F4B5EBFC8AEA}" type="presParOf" srcId="{D1B8FDAB-2187-40B9-913F-226FD09EFB9C}" destId="{AEFAC0B1-1CD5-4A75-A7DF-2EDBD7575BA2}" srcOrd="0" destOrd="0" presId="urn:microsoft.com/office/officeart/2005/8/layout/process1"/>
    <dgm:cxn modelId="{95E30E97-4056-4C89-AD85-E683842271AE}" type="presParOf" srcId="{A5B4F2DC-77A1-4281-81E2-A7EE83FB5068}" destId="{9332D869-E89A-41AA-849D-FDAD490047C7}" srcOrd="6" destOrd="0" presId="urn:microsoft.com/office/officeart/2005/8/layout/process1"/>
  </dgm:cxnLst>
  <dgm:bg/>
  <dgm:whole>
    <a:ln w="3175"/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27759F-BF5B-4D38-A67D-03E164B62C01}">
      <dsp:nvSpPr>
        <dsp:cNvPr id="0" name=""/>
        <dsp:cNvSpPr/>
      </dsp:nvSpPr>
      <dsp:spPr>
        <a:xfrm>
          <a:off x="2411" y="40253"/>
          <a:ext cx="1054149" cy="78072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1. Вивчення ринку</a:t>
          </a:r>
        </a:p>
      </dsp:txBody>
      <dsp:txXfrm>
        <a:off x="25278" y="63120"/>
        <a:ext cx="1008415" cy="734995"/>
      </dsp:txXfrm>
    </dsp:sp>
    <dsp:sp modelId="{BE6E1BE2-2329-4EA0-A469-8737E802F61C}">
      <dsp:nvSpPr>
        <dsp:cNvPr id="0" name=""/>
        <dsp:cNvSpPr/>
      </dsp:nvSpPr>
      <dsp:spPr>
        <a:xfrm>
          <a:off x="1161975" y="299903"/>
          <a:ext cx="223479" cy="261429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 w="6350"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161975" y="352189"/>
        <a:ext cx="156435" cy="156857"/>
      </dsp:txXfrm>
    </dsp:sp>
    <dsp:sp modelId="{EB6649EB-DA2D-455B-888E-3EC91EFEDC71}">
      <dsp:nvSpPr>
        <dsp:cNvPr id="0" name=""/>
        <dsp:cNvSpPr/>
      </dsp:nvSpPr>
      <dsp:spPr>
        <a:xfrm>
          <a:off x="1478220" y="40253"/>
          <a:ext cx="1054149" cy="78072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2. Розвиток нових видів страхових послуг</a:t>
          </a:r>
        </a:p>
      </dsp:txBody>
      <dsp:txXfrm>
        <a:off x="1501087" y="63120"/>
        <a:ext cx="1008415" cy="734995"/>
      </dsp:txXfrm>
    </dsp:sp>
    <dsp:sp modelId="{C5AA9B17-BB12-4FCF-9F78-A0EF51B2E178}">
      <dsp:nvSpPr>
        <dsp:cNvPr id="0" name=""/>
        <dsp:cNvSpPr/>
      </dsp:nvSpPr>
      <dsp:spPr>
        <a:xfrm>
          <a:off x="2637785" y="299903"/>
          <a:ext cx="223479" cy="261429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 w="6350"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637785" y="352189"/>
        <a:ext cx="156435" cy="156857"/>
      </dsp:txXfrm>
    </dsp:sp>
    <dsp:sp modelId="{D8413E46-DDCA-4784-8F48-CC23D4690F28}">
      <dsp:nvSpPr>
        <dsp:cNvPr id="0" name=""/>
        <dsp:cNvSpPr/>
      </dsp:nvSpPr>
      <dsp:spPr>
        <a:xfrm>
          <a:off x="2954029" y="40253"/>
          <a:ext cx="1054149" cy="78072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3. Створення попиту на ринку</a:t>
          </a:r>
        </a:p>
      </dsp:txBody>
      <dsp:txXfrm>
        <a:off x="2976896" y="63120"/>
        <a:ext cx="1008415" cy="734995"/>
      </dsp:txXfrm>
    </dsp:sp>
    <dsp:sp modelId="{D1B8FDAB-2187-40B9-913F-226FD09EFB9C}">
      <dsp:nvSpPr>
        <dsp:cNvPr id="0" name=""/>
        <dsp:cNvSpPr/>
      </dsp:nvSpPr>
      <dsp:spPr>
        <a:xfrm>
          <a:off x="4113594" y="299903"/>
          <a:ext cx="223479" cy="261429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 w="6350"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113594" y="352189"/>
        <a:ext cx="156435" cy="156857"/>
      </dsp:txXfrm>
    </dsp:sp>
    <dsp:sp modelId="{9332D869-E89A-41AA-849D-FDAD490047C7}">
      <dsp:nvSpPr>
        <dsp:cNvPr id="0" name=""/>
        <dsp:cNvSpPr/>
      </dsp:nvSpPr>
      <dsp:spPr>
        <a:xfrm>
          <a:off x="4429839" y="40253"/>
          <a:ext cx="1054149" cy="78072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4. Процес фізичного розподілу послуг</a:t>
          </a:r>
        </a:p>
      </dsp:txBody>
      <dsp:txXfrm>
        <a:off x="4452706" y="63120"/>
        <a:ext cx="1008415" cy="7349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F91BB-6C38-4803-B730-9DEDB74AC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2695</Words>
  <Characters>15368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</cp:lastModifiedBy>
  <cp:revision>21</cp:revision>
  <cp:lastPrinted>2015-11-14T08:38:00Z</cp:lastPrinted>
  <dcterms:created xsi:type="dcterms:W3CDTF">2015-10-25T09:35:00Z</dcterms:created>
  <dcterms:modified xsi:type="dcterms:W3CDTF">2020-03-22T20:00:00Z</dcterms:modified>
</cp:coreProperties>
</file>