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607.7952755905511"/>
        <w:jc w:val="center"/>
        <w:rPr>
          <w:rFonts w:ascii="Times New Roman" w:cs="Times New Roman" w:eastAsia="Times New Roman" w:hAnsi="Times New Roman"/>
          <w:b w:val="1"/>
          <w:color w:val="0000ff"/>
          <w:sz w:val="34"/>
          <w:szCs w:val="34"/>
        </w:rPr>
      </w:pPr>
      <w:r w:rsidDel="00000000" w:rsidR="00000000" w:rsidRPr="00000000">
        <w:rPr>
          <w:rFonts w:ascii="Times New Roman" w:cs="Times New Roman" w:eastAsia="Times New Roman" w:hAnsi="Times New Roman"/>
          <w:b w:val="1"/>
          <w:sz w:val="28"/>
          <w:szCs w:val="28"/>
          <w:rtl w:val="0"/>
        </w:rPr>
        <w:t xml:space="preserve">SHAREHOLDERS AGREEMENT</w:t>
      </w:r>
      <w:r w:rsidDel="00000000" w:rsidR="00000000" w:rsidRPr="00000000">
        <w:rPr>
          <w:rtl w:val="0"/>
        </w:rPr>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240" w:befor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after="240" w:befor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240" w:befor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40" w:befor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240" w:befor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after="240" w:befor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DATE:__________</w:t>
      </w:r>
      <w:r w:rsidDel="00000000" w:rsidR="00000000" w:rsidRPr="00000000">
        <w:rPr>
          <w:rtl w:val="0"/>
        </w:rPr>
      </w:r>
    </w:p>
    <w:p w:rsidR="00000000" w:rsidDel="00000000" w:rsidP="00000000" w:rsidRDefault="00000000" w:rsidRPr="00000000" w14:paraId="00000019">
      <w:pPr>
        <w:pStyle w:val="Heading1"/>
        <w:keepNext w:val="0"/>
        <w:keepLines w:val="0"/>
        <w:spacing w:after="80" w:before="0" w:lineRule="auto"/>
        <w:ind w:left="-283.46456692913375" w:right="-607.7952755905511" w:firstLine="0"/>
        <w:jc w:val="center"/>
        <w:rPr/>
      </w:pPr>
      <w:bookmarkStart w:colFirst="0" w:colLast="0" w:name="_dshrm59hoxq5" w:id="0"/>
      <w:bookmarkEnd w:id="0"/>
      <w:r w:rsidDel="00000000" w:rsidR="00000000" w:rsidRPr="00000000">
        <w:rPr>
          <w:rFonts w:ascii="Times New Roman" w:cs="Times New Roman" w:eastAsia="Times New Roman" w:hAnsi="Times New Roman"/>
          <w:b w:val="1"/>
          <w:sz w:val="24"/>
          <w:szCs w:val="24"/>
          <w:rtl w:val="0"/>
        </w:rPr>
        <w:t xml:space="preserve">CONTENTS</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Definitions</w:t>
      </w:r>
    </w:p>
    <w:p w:rsidR="00000000" w:rsidDel="00000000" w:rsidP="00000000" w:rsidRDefault="00000000" w:rsidRPr="00000000" w14:paraId="0000001B">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Interpretation</w:t>
      </w:r>
    </w:p>
    <w:p w:rsidR="00000000" w:rsidDel="00000000" w:rsidP="00000000" w:rsidRDefault="00000000" w:rsidRPr="00000000" w14:paraId="0000001C">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Relationship of parties</w:t>
      </w:r>
    </w:p>
    <w:p w:rsidR="00000000" w:rsidDel="00000000" w:rsidP="00000000" w:rsidRDefault="00000000" w:rsidRPr="00000000" w14:paraId="0000001D">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Shareholders' detail</w:t>
      </w:r>
    </w:p>
    <w:p w:rsidR="00000000" w:rsidDel="00000000" w:rsidP="00000000" w:rsidRDefault="00000000" w:rsidRPr="00000000" w14:paraId="0000001E">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Special voting rights</w:t>
      </w:r>
    </w:p>
    <w:p w:rsidR="00000000" w:rsidDel="00000000" w:rsidP="00000000" w:rsidRDefault="00000000" w:rsidRPr="00000000" w14:paraId="0000001F">
      <w:pPr>
        <w:numPr>
          <w:ilvl w:val="0"/>
          <w:numId w:val="2"/>
        </w:numPr>
        <w:ind w:left="283.46456692913375" w:right="-607.7952755905511" w:hanging="1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Meeting of Shareholders</w:t>
      </w:r>
    </w:p>
    <w:p w:rsidR="00000000" w:rsidDel="00000000" w:rsidP="00000000" w:rsidRDefault="00000000" w:rsidRPr="00000000" w14:paraId="00000020">
      <w:pPr>
        <w:numPr>
          <w:ilvl w:val="0"/>
          <w:numId w:val="2"/>
        </w:numPr>
        <w:ind w:left="283.46456692913375" w:right="-607.7952755905511" w:hanging="1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Board of Directors</w:t>
      </w:r>
    </w:p>
    <w:p w:rsidR="00000000" w:rsidDel="00000000" w:rsidP="00000000" w:rsidRDefault="00000000" w:rsidRPr="00000000" w14:paraId="00000021">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Appointment and removal of Directors</w:t>
      </w:r>
    </w:p>
    <w:p w:rsidR="00000000" w:rsidDel="00000000" w:rsidP="00000000" w:rsidRDefault="00000000" w:rsidRPr="00000000" w14:paraId="00000022">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Duties of Directors</w:t>
      </w:r>
    </w:p>
    <w:p w:rsidR="00000000" w:rsidDel="00000000" w:rsidP="00000000" w:rsidRDefault="00000000" w:rsidRPr="00000000" w14:paraId="00000023">
      <w:pPr>
        <w:numPr>
          <w:ilvl w:val="0"/>
          <w:numId w:val="2"/>
        </w:numPr>
        <w:ind w:left="283.46456692913375" w:right="-607.7952755905511" w:hanging="1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Confidant </w:t>
      </w:r>
    </w:p>
    <w:p w:rsidR="00000000" w:rsidDel="00000000" w:rsidP="00000000" w:rsidRDefault="00000000" w:rsidRPr="00000000" w14:paraId="00000024">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Company's obligations</w:t>
      </w:r>
    </w:p>
    <w:p w:rsidR="00000000" w:rsidDel="00000000" w:rsidP="00000000" w:rsidRDefault="00000000" w:rsidRPr="00000000" w14:paraId="00000025">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Shareholders' obligations</w:t>
      </w:r>
    </w:p>
    <w:p w:rsidR="00000000" w:rsidDel="00000000" w:rsidP="00000000" w:rsidRDefault="00000000" w:rsidRPr="00000000" w14:paraId="00000026">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Dividend policy and procedure</w:t>
      </w:r>
    </w:p>
    <w:p w:rsidR="00000000" w:rsidDel="00000000" w:rsidP="00000000" w:rsidRDefault="00000000" w:rsidRPr="00000000" w14:paraId="00000027">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Existing Intellectual Property</w:t>
      </w:r>
    </w:p>
    <w:p w:rsidR="00000000" w:rsidDel="00000000" w:rsidP="00000000" w:rsidRDefault="00000000" w:rsidRPr="00000000" w14:paraId="00000028">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Intellectual Property</w:t>
      </w:r>
    </w:p>
    <w:p w:rsidR="00000000" w:rsidDel="00000000" w:rsidP="00000000" w:rsidRDefault="00000000" w:rsidRPr="00000000" w14:paraId="00000029">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Assets introduced by a shareholder</w:t>
      </w:r>
    </w:p>
    <w:p w:rsidR="00000000" w:rsidDel="00000000" w:rsidP="00000000" w:rsidRDefault="00000000" w:rsidRPr="00000000" w14:paraId="0000002A">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Confidentiality</w:t>
      </w:r>
    </w:p>
    <w:p w:rsidR="00000000" w:rsidDel="00000000" w:rsidP="00000000" w:rsidRDefault="00000000" w:rsidRPr="00000000" w14:paraId="0000002B">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provisions relating to shares</w:t>
      </w:r>
    </w:p>
    <w:p w:rsidR="00000000" w:rsidDel="00000000" w:rsidP="00000000" w:rsidRDefault="00000000" w:rsidRPr="00000000" w14:paraId="0000002C">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Exit provisions: co-operate to find a buyer</w:t>
      </w:r>
    </w:p>
    <w:p w:rsidR="00000000" w:rsidDel="00000000" w:rsidP="00000000" w:rsidRDefault="00000000" w:rsidRPr="00000000" w14:paraId="0000002D">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Share sale by single shareholder</w:t>
      </w:r>
    </w:p>
    <w:p w:rsidR="00000000" w:rsidDel="00000000" w:rsidP="00000000" w:rsidRDefault="00000000" w:rsidRPr="00000000" w14:paraId="0000002E">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Procedure after transfer</w:t>
      </w:r>
    </w:p>
    <w:p w:rsidR="00000000" w:rsidDel="00000000" w:rsidP="00000000" w:rsidRDefault="00000000" w:rsidRPr="00000000" w14:paraId="0000002F">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Shareholder's continuing rights and obligations</w:t>
      </w:r>
    </w:p>
    <w:p w:rsidR="00000000" w:rsidDel="00000000" w:rsidP="00000000" w:rsidRDefault="00000000" w:rsidRPr="00000000" w14:paraId="00000030">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Restrictions on shareholder after transfer</w:t>
      </w:r>
    </w:p>
    <w:p w:rsidR="00000000" w:rsidDel="00000000" w:rsidP="00000000" w:rsidRDefault="00000000" w:rsidRPr="00000000" w14:paraId="00000031">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Transfer of shares on death or incapacity</w:t>
      </w:r>
    </w:p>
    <w:p w:rsidR="00000000" w:rsidDel="00000000" w:rsidP="00000000" w:rsidRDefault="00000000" w:rsidRPr="00000000" w14:paraId="00000032">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Transfer of shares on bankruptcy</w:t>
      </w:r>
    </w:p>
    <w:p w:rsidR="00000000" w:rsidDel="00000000" w:rsidP="00000000" w:rsidRDefault="00000000" w:rsidRPr="00000000" w14:paraId="00000033">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Publicity</w:t>
      </w:r>
    </w:p>
    <w:p w:rsidR="00000000" w:rsidDel="00000000" w:rsidP="00000000" w:rsidRDefault="00000000" w:rsidRPr="00000000" w14:paraId="00000034">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Conflict with the Articles</w:t>
      </w:r>
    </w:p>
    <w:p w:rsidR="00000000" w:rsidDel="00000000" w:rsidP="00000000" w:rsidRDefault="00000000" w:rsidRPr="00000000" w14:paraId="00000035">
      <w:pPr>
        <w:numPr>
          <w:ilvl w:val="0"/>
          <w:numId w:val="2"/>
        </w:numPr>
        <w:spacing w:line="240" w:lineRule="auto"/>
        <w:ind w:left="283.46456692913375" w:right="-607.7952755905511" w:hanging="1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Miscellaneous matters</w:t>
      </w:r>
    </w:p>
    <w:p w:rsidR="00000000" w:rsidDel="00000000" w:rsidP="00000000" w:rsidRDefault="00000000" w:rsidRPr="00000000" w14:paraId="00000036">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40" w:lineRule="auto"/>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40" w:lineRule="auto"/>
        <w:ind w:right="-607.795275590551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spacing w:line="240"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Company type: </w:t>
      </w:r>
      <w:r w:rsidDel="00000000" w:rsidR="00000000" w:rsidRPr="00000000">
        <w:rPr>
          <w:rFonts w:ascii="Times New Roman" w:cs="Times New Roman" w:eastAsia="Times New Roman" w:hAnsi="Times New Roman"/>
          <w:b w:val="1"/>
          <w:color w:val="0b0c0c"/>
          <w:highlight w:val="white"/>
          <w:rtl w:val="0"/>
        </w:rPr>
        <w:t xml:space="preserve">________________________</w:t>
      </w: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50">
      <w:pPr>
        <w:spacing w:line="240" w:lineRule="auto"/>
        <w:ind w:right="-607.7952755905511"/>
        <w:jc w:val="both"/>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rtl w:val="0"/>
        </w:rPr>
        <w:t xml:space="preserve">The Company's registered office is: _________________________________________</w:t>
      </w:r>
      <w:r w:rsidDel="00000000" w:rsidR="00000000" w:rsidRPr="00000000">
        <w:rPr>
          <w:rtl w:val="0"/>
        </w:rPr>
      </w:r>
    </w:p>
    <w:p w:rsidR="00000000" w:rsidDel="00000000" w:rsidP="00000000" w:rsidRDefault="00000000" w:rsidRPr="00000000" w14:paraId="00000051">
      <w:pPr>
        <w:spacing w:line="240" w:lineRule="auto"/>
        <w:ind w:right="-607.795275590551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Shareholders are:</w:t>
      </w:r>
    </w:p>
    <w:p w:rsidR="00000000" w:rsidDel="00000000" w:rsidP="00000000" w:rsidRDefault="00000000" w:rsidRPr="00000000" w14:paraId="00000052">
      <w:pPr>
        <w:spacing w:line="240" w:lineRule="auto"/>
        <w:ind w:right="-607.7952755905511"/>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[name]       </w:t>
        <w:tab/>
        <w:t xml:space="preserve">of    </w:t>
        <w:tab/>
        <w:t xml:space="preserve">[address]</w:t>
      </w:r>
    </w:p>
    <w:p w:rsidR="00000000" w:rsidDel="00000000" w:rsidP="00000000" w:rsidRDefault="00000000" w:rsidRPr="00000000" w14:paraId="00000053">
      <w:pPr>
        <w:spacing w:line="240" w:lineRule="auto"/>
        <w:ind w:right="-607.7952755905511"/>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[name]       </w:t>
        <w:tab/>
        <w:t xml:space="preserve">of    </w:t>
        <w:tab/>
        <w:t xml:space="preserve">[address]</w:t>
      </w:r>
    </w:p>
    <w:p w:rsidR="00000000" w:rsidDel="00000000" w:rsidP="00000000" w:rsidRDefault="00000000" w:rsidRPr="00000000" w14:paraId="00000054">
      <w:pPr>
        <w:spacing w:line="240" w:lineRule="auto"/>
        <w:ind w:right="-607.7952755905511"/>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[name]       </w:t>
        <w:tab/>
        <w:t xml:space="preserve">of    </w:t>
        <w:tab/>
        <w:t xml:space="preserve"> [address]</w:t>
      </w:r>
    </w:p>
    <w:p w:rsidR="00000000" w:rsidDel="00000000" w:rsidP="00000000" w:rsidRDefault="00000000" w:rsidRPr="00000000" w14:paraId="00000055">
      <w:pPr>
        <w:spacing w:line="240" w:lineRule="auto"/>
        <w:ind w:right="-607.7952755905511"/>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i w:val="1"/>
          <w:rtl w:val="0"/>
        </w:rPr>
        <w:t xml:space="preserve">[name]       </w:t>
        <w:tab/>
        <w:t xml:space="preserve">of    </w:t>
        <w:tab/>
        <w:t xml:space="preserve">[address]</w:t>
      </w:r>
      <w:r w:rsidDel="00000000" w:rsidR="00000000" w:rsidRPr="00000000">
        <w:rPr>
          <w:rtl w:val="0"/>
        </w:rPr>
      </w:r>
    </w:p>
    <w:p w:rsidR="00000000" w:rsidDel="00000000" w:rsidP="00000000" w:rsidRDefault="00000000" w:rsidRPr="00000000" w14:paraId="00000056">
      <w:pPr>
        <w:spacing w:line="240" w:lineRule="auto"/>
        <w:ind w:right="-607.795275590551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background to this agreement is:</w:t>
      </w:r>
    </w:p>
    <w:p w:rsidR="00000000" w:rsidDel="00000000" w:rsidP="00000000" w:rsidRDefault="00000000" w:rsidRPr="00000000" w14:paraId="00000057">
      <w:pPr>
        <w:spacing w:line="240" w:lineRule="auto"/>
        <w:ind w:left="360" w:right="-607.7952755905511"/>
        <w:jc w:val="both"/>
        <w:rPr>
          <w:rFonts w:ascii="Times New Roman" w:cs="Times New Roman" w:eastAsia="Times New Roman" w:hAnsi="Times New Roman"/>
          <w:color w:val="0000ff"/>
        </w:rPr>
      </w:pPr>
      <w:r w:rsidDel="00000000" w:rsidR="00000000" w:rsidRPr="00000000">
        <w:rPr>
          <w:rFonts w:ascii="Times New Roman" w:cs="Times New Roman" w:eastAsia="Times New Roman" w:hAnsi="Times New Roman"/>
          <w:rtl w:val="0"/>
        </w:rPr>
        <w:t xml:space="preserve">A______________________</w:t>
      </w:r>
      <w:r w:rsidDel="00000000" w:rsidR="00000000" w:rsidRPr="00000000">
        <w:rPr>
          <w:rFonts w:ascii="Times New Roman" w:cs="Times New Roman" w:eastAsia="Times New Roman" w:hAnsi="Times New Roman"/>
          <w:color w:val="0b0c0c"/>
          <w:highlight w:val="white"/>
          <w:rtl w:val="0"/>
        </w:rPr>
        <w:t xml:space="preserve"> </w:t>
      </w:r>
      <w:r w:rsidDel="00000000" w:rsidR="00000000" w:rsidRPr="00000000">
        <w:rPr>
          <w:rFonts w:ascii="Times New Roman" w:cs="Times New Roman" w:eastAsia="Times New Roman" w:hAnsi="Times New Roman"/>
          <w:rtl w:val="0"/>
        </w:rPr>
        <w:t xml:space="preserve">is a private limited company, register number </w:t>
      </w:r>
      <w:r w:rsidDel="00000000" w:rsidR="00000000" w:rsidRPr="00000000">
        <w:rPr>
          <w:rFonts w:ascii="Times New Roman" w:cs="Times New Roman" w:eastAsia="Times New Roman" w:hAnsi="Times New Roman"/>
          <w:b w:val="1"/>
          <w:color w:val="0b0c0c"/>
          <w:highlight w:val="white"/>
          <w:rtl w:val="0"/>
        </w:rPr>
        <w:t xml:space="preserve">_______</w:t>
      </w:r>
      <w:r w:rsidDel="00000000" w:rsidR="00000000" w:rsidRPr="00000000">
        <w:rPr>
          <w:rFonts w:ascii="Times New Roman" w:cs="Times New Roman" w:eastAsia="Times New Roman" w:hAnsi="Times New Roman"/>
          <w:color w:val="0000ff"/>
          <w:rtl w:val="0"/>
        </w:rPr>
        <w:t xml:space="preserve">, </w:t>
      </w:r>
      <w:r w:rsidDel="00000000" w:rsidR="00000000" w:rsidRPr="00000000">
        <w:rPr>
          <w:rFonts w:ascii="Times New Roman" w:cs="Times New Roman" w:eastAsia="Times New Roman" w:hAnsi="Times New Roman"/>
          <w:rtl w:val="0"/>
        </w:rPr>
        <w:t xml:space="preserve">incorporated in England and Wales on </w:t>
      </w:r>
      <w:r w:rsidDel="00000000" w:rsidR="00000000" w:rsidRPr="00000000">
        <w:rPr>
          <w:rFonts w:ascii="Times New Roman" w:cs="Times New Roman" w:eastAsia="Times New Roman" w:hAnsi="Times New Roman"/>
          <w:b w:val="1"/>
          <w:color w:val="0b0c0c"/>
          <w:highlight w:val="white"/>
          <w:rtl w:val="0"/>
        </w:rPr>
        <w:t xml:space="preserve">_______________</w:t>
      </w:r>
      <w:r w:rsidDel="00000000" w:rsidR="00000000" w:rsidRPr="00000000">
        <w:rPr>
          <w:rFonts w:ascii="Times New Roman" w:cs="Times New Roman" w:eastAsia="Times New Roman" w:hAnsi="Times New Roman"/>
          <w:color w:val="0000ff"/>
          <w:rtl w:val="0"/>
        </w:rPr>
        <w:t xml:space="preserve">.</w:t>
      </w:r>
    </w:p>
    <w:p w:rsidR="00000000" w:rsidDel="00000000" w:rsidP="00000000" w:rsidRDefault="00000000" w:rsidRPr="00000000" w14:paraId="00000058">
      <w:pPr>
        <w:spacing w:line="240" w:lineRule="auto"/>
        <w:ind w:left="360"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parties have agreed these terms in order to regulate the relationship between them.</w:t>
      </w:r>
    </w:p>
    <w:p w:rsidR="00000000" w:rsidDel="00000000" w:rsidP="00000000" w:rsidRDefault="00000000" w:rsidRPr="00000000" w14:paraId="00000059">
      <w:pPr>
        <w:spacing w:line="240" w:lineRule="auto"/>
        <w:ind w:right="-607.7952755905511"/>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1"/>
          <w:rtl w:val="0"/>
        </w:rPr>
        <w:t xml:space="preserve">These are the terms of the agreement:</w:t>
      </w:r>
      <w:r w:rsidDel="00000000" w:rsidR="00000000" w:rsidRPr="00000000">
        <w:rPr>
          <w:rtl w:val="0"/>
        </w:rPr>
      </w:r>
    </w:p>
    <w:p w:rsidR="00000000" w:rsidDel="00000000" w:rsidP="00000000" w:rsidRDefault="00000000" w:rsidRPr="00000000" w14:paraId="0000005A">
      <w:pPr>
        <w:pStyle w:val="Heading1"/>
        <w:keepNext w:val="0"/>
        <w:keepLines w:val="0"/>
        <w:numPr>
          <w:ilvl w:val="0"/>
          <w:numId w:val="1"/>
        </w:numPr>
        <w:spacing w:after="0" w:before="0" w:line="240" w:lineRule="auto"/>
        <w:ind w:left="283.46456692913375" w:right="-607.7952755905511" w:hanging="150"/>
        <w:jc w:val="both"/>
        <w:rPr>
          <w:rFonts w:ascii="Times New Roman" w:cs="Times New Roman" w:eastAsia="Times New Roman" w:hAnsi="Times New Roman"/>
          <w:b w:val="1"/>
          <w:sz w:val="24"/>
          <w:szCs w:val="24"/>
        </w:rPr>
      </w:pPr>
      <w:bookmarkStart w:colFirst="0" w:colLast="0" w:name="_r0y16i2i8xp7" w:id="1"/>
      <w:bookmarkEnd w:id="1"/>
      <w:r w:rsidDel="00000000" w:rsidR="00000000" w:rsidRPr="00000000">
        <w:rPr>
          <w:rFonts w:ascii="Times New Roman" w:cs="Times New Roman" w:eastAsia="Times New Roman" w:hAnsi="Times New Roman"/>
          <w:b w:val="1"/>
          <w:sz w:val="24"/>
          <w:szCs w:val="24"/>
          <w:rtl w:val="0"/>
        </w:rPr>
        <w:t xml:space="preserve">Definitions</w:t>
      </w:r>
    </w:p>
    <w:p w:rsidR="00000000" w:rsidDel="00000000" w:rsidP="00000000" w:rsidRDefault="00000000" w:rsidRPr="00000000" w14:paraId="0000005B">
      <w:pPr>
        <w:numPr>
          <w:ilvl w:val="1"/>
          <w:numId w:val="1"/>
        </w:numPr>
        <w:spacing w:line="240" w:lineRule="auto"/>
        <w:ind w:left="425.19685039370086" w:right="-607.7952755905511" w:hanging="16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definitions apply unless the context requires a different interpretation.</w:t>
      </w:r>
    </w:p>
    <w:p w:rsidR="00000000" w:rsidDel="00000000" w:rsidP="00000000" w:rsidRDefault="00000000" w:rsidRPr="00000000" w14:paraId="0000005C">
      <w:pPr>
        <w:numPr>
          <w:ilvl w:val="1"/>
          <w:numId w:val="1"/>
        </w:numPr>
        <w:spacing w:line="240" w:lineRule="auto"/>
        <w:ind w:left="425.19685039370086" w:right="-607.7952755905511" w:hanging="16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Act</w:t>
      </w:r>
      <w:r w:rsidDel="00000000" w:rsidR="00000000" w:rsidRPr="00000000">
        <w:rPr>
          <w:rFonts w:ascii="Times New Roman" w:cs="Times New Roman" w:eastAsia="Times New Roman" w:hAnsi="Times New Roman"/>
          <w:rtl w:val="0"/>
        </w:rPr>
        <w:t xml:space="preserve"> - means the Companies Act 2006 and any subsequent additions, amendments or related regulations.</w:t>
      </w:r>
    </w:p>
    <w:p w:rsidR="00000000" w:rsidDel="00000000" w:rsidP="00000000" w:rsidRDefault="00000000" w:rsidRPr="00000000" w14:paraId="0000005D">
      <w:pPr>
        <w:numPr>
          <w:ilvl w:val="1"/>
          <w:numId w:val="1"/>
        </w:numPr>
        <w:spacing w:line="240" w:lineRule="auto"/>
        <w:ind w:left="425.19685039370086" w:right="-607.7952755905511" w:hanging="16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Articles</w:t>
      </w:r>
      <w:r w:rsidDel="00000000" w:rsidR="00000000" w:rsidRPr="00000000">
        <w:rPr>
          <w:rFonts w:ascii="Times New Roman" w:cs="Times New Roman" w:eastAsia="Times New Roman" w:hAnsi="Times New Roman"/>
          <w:rtl w:val="0"/>
        </w:rPr>
        <w:t xml:space="preserve"> - mean articles of association of the Company.</w:t>
      </w:r>
    </w:p>
    <w:p w:rsidR="00000000" w:rsidDel="00000000" w:rsidP="00000000" w:rsidRDefault="00000000" w:rsidRPr="00000000" w14:paraId="0000005E">
      <w:pPr>
        <w:numPr>
          <w:ilvl w:val="1"/>
          <w:numId w:val="1"/>
        </w:numPr>
        <w:ind w:left="425.19685039370086"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Beneficiaries - </w:t>
      </w:r>
      <w:r w:rsidDel="00000000" w:rsidR="00000000" w:rsidRPr="00000000">
        <w:rPr>
          <w:rFonts w:ascii="Times New Roman" w:cs="Times New Roman" w:eastAsia="Times New Roman" w:hAnsi="Times New Roman"/>
          <w:rtl w:val="0"/>
        </w:rPr>
        <w:t xml:space="preserve">mean those shareholders who own the shares of the Company.</w:t>
      </w:r>
    </w:p>
    <w:p w:rsidR="00000000" w:rsidDel="00000000" w:rsidP="00000000" w:rsidRDefault="00000000" w:rsidRPr="00000000" w14:paraId="0000005F">
      <w:pPr>
        <w:numPr>
          <w:ilvl w:val="1"/>
          <w:numId w:val="1"/>
        </w:numPr>
        <w:spacing w:line="240" w:lineRule="auto"/>
        <w:ind w:left="425.19685039370086" w:right="-607.7952755905511" w:hanging="16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Business</w:t>
      </w:r>
      <w:r w:rsidDel="00000000" w:rsidR="00000000" w:rsidRPr="00000000">
        <w:rPr>
          <w:rFonts w:ascii="Times New Roman" w:cs="Times New Roman" w:eastAsia="Times New Roman" w:hAnsi="Times New Roman"/>
          <w:rtl w:val="0"/>
        </w:rPr>
        <w:t xml:space="preserve"> - means the business organization  of </w:t>
      </w:r>
      <w:r w:rsidDel="00000000" w:rsidR="00000000" w:rsidRPr="00000000">
        <w:rPr>
          <w:rFonts w:ascii="Times New Roman" w:cs="Times New Roman" w:eastAsia="Times New Roman" w:hAnsi="Times New Roman"/>
          <w:color w:val="0b0c0c"/>
          <w:highlight w:val="white"/>
          <w:rtl w:val="0"/>
        </w:rPr>
        <w:t xml:space="preserve">Business and domestic software development, Information technology consultancy activities.</w:t>
      </w:r>
    </w:p>
    <w:p w:rsidR="00000000" w:rsidDel="00000000" w:rsidP="00000000" w:rsidRDefault="00000000" w:rsidRPr="00000000" w14:paraId="00000060">
      <w:pPr>
        <w:numPr>
          <w:ilvl w:val="1"/>
          <w:numId w:val="1"/>
        </w:numPr>
        <w:ind w:left="425.19685039370086" w:right="-607.7952755905511" w:hanging="165"/>
        <w:jc w:val="both"/>
        <w:rPr>
          <w:rFonts w:ascii="Times New Roman" w:cs="Times New Roman" w:eastAsia="Times New Roman" w:hAnsi="Times New Roman"/>
          <w:color w:val="0b0c0c"/>
          <w:highlight w:val="white"/>
        </w:rPr>
      </w:pPr>
      <w:r w:rsidDel="00000000" w:rsidR="00000000" w:rsidRPr="00000000">
        <w:rPr>
          <w:rFonts w:ascii="Times New Roman" w:cs="Times New Roman" w:eastAsia="Times New Roman" w:hAnsi="Times New Roman"/>
          <w:b w:val="1"/>
          <w:rtl w:val="0"/>
        </w:rPr>
        <w:t xml:space="preserve">Confidant - </w:t>
      </w:r>
      <w:r w:rsidDel="00000000" w:rsidR="00000000" w:rsidRPr="00000000">
        <w:rPr>
          <w:rFonts w:ascii="Times New Roman" w:cs="Times New Roman" w:eastAsia="Times New Roman" w:hAnsi="Times New Roman"/>
          <w:rtl w:val="0"/>
        </w:rPr>
        <w:t xml:space="preserve">means personal representatives or other authorized person who represents the interests of a shareholder based on a power of attorney provided.</w:t>
      </w:r>
    </w:p>
    <w:p w:rsidR="00000000" w:rsidDel="00000000" w:rsidP="00000000" w:rsidRDefault="00000000" w:rsidRPr="00000000" w14:paraId="00000061">
      <w:pPr>
        <w:numPr>
          <w:ilvl w:val="1"/>
          <w:numId w:val="1"/>
        </w:numPr>
        <w:spacing w:line="240" w:lineRule="auto"/>
        <w:ind w:left="425.19685039370086" w:right="-607.7952755905511" w:hanging="16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 Information</w:t>
      </w:r>
      <w:r w:rsidDel="00000000" w:rsidR="00000000" w:rsidRPr="00000000">
        <w:rPr>
          <w:rFonts w:ascii="Times New Roman" w:cs="Times New Roman" w:eastAsia="Times New Roman" w:hAnsi="Times New Roman"/>
          <w:rtl w:val="0"/>
        </w:rPr>
        <w:t xml:space="preserve"> is:</w:t>
      </w:r>
    </w:p>
    <w:p w:rsidR="00000000" w:rsidDel="00000000" w:rsidP="00000000" w:rsidRDefault="00000000" w:rsidRPr="00000000" w14:paraId="00000062">
      <w:pPr>
        <w:numPr>
          <w:ilvl w:val="2"/>
          <w:numId w:val="1"/>
        </w:numPr>
        <w:spacing w:line="240" w:lineRule="auto"/>
        <w:ind w:left="1133.858267716535" w:right="-607.7952755905511"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means all information, including personal data, as defined in applicable law, owned by any data subject whom a party to this agreement may contact in relation to the subject of this agreement or the business of the Company;</w:t>
      </w:r>
    </w:p>
    <w:p w:rsidR="00000000" w:rsidDel="00000000" w:rsidP="00000000" w:rsidRDefault="00000000" w:rsidRPr="00000000" w14:paraId="00000063">
      <w:pPr>
        <w:numPr>
          <w:ilvl w:val="2"/>
          <w:numId w:val="1"/>
        </w:numPr>
        <w:spacing w:line="240" w:lineRule="auto"/>
        <w:ind w:left="1133.858267716535" w:right="-607.7952755905511"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which may give a commercially competitive advantage to any other person. It includes, among other things: information about staff, their performance, and their personal contact information, data, or information relating to suppliers, product plans, marketing strategies, finance, performance, operations, customer relationships, customer profiles, sales estimates, business plans; information created or arising from this agreement; information owned by a third party and respecting  which a party has an obligation of non-disclosure;</w:t>
      </w:r>
    </w:p>
    <w:p w:rsidR="00000000" w:rsidDel="00000000" w:rsidP="00000000" w:rsidRDefault="00000000" w:rsidRPr="00000000" w14:paraId="00000064">
      <w:pPr>
        <w:numPr>
          <w:ilvl w:val="2"/>
          <w:numId w:val="1"/>
        </w:numPr>
        <w:spacing w:line="240" w:lineRule="auto"/>
        <w:ind w:left="1133.858267716535" w:right="-607.7952755905511"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comment, or implication published on any Internet social medium;</w:t>
      </w:r>
    </w:p>
    <w:p w:rsidR="00000000" w:rsidDel="00000000" w:rsidP="00000000" w:rsidRDefault="00000000" w:rsidRPr="00000000" w14:paraId="00000065">
      <w:pPr>
        <w:numPr>
          <w:ilvl w:val="2"/>
          <w:numId w:val="1"/>
        </w:numPr>
        <w:spacing w:line="240" w:lineRule="auto"/>
        <w:ind w:left="1133.858267716535" w:right="-607.7952755905511"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or information relating to processes, formulae, procedures, designs, drawings, apparatus, specifications, and all other scientific and regulatory data;</w:t>
      </w:r>
    </w:p>
    <w:p w:rsidR="00000000" w:rsidDel="00000000" w:rsidP="00000000" w:rsidRDefault="00000000" w:rsidRPr="00000000" w14:paraId="00000066">
      <w:pPr>
        <w:numPr>
          <w:ilvl w:val="2"/>
          <w:numId w:val="1"/>
        </w:numPr>
        <w:spacing w:line="240" w:lineRule="auto"/>
        <w:ind w:left="1133.858267716535" w:right="-607.7952755905511" w:hanging="1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information about the Intellectual Property and the know-how of the Company;</w:t>
      </w:r>
    </w:p>
    <w:p w:rsidR="00000000" w:rsidDel="00000000" w:rsidP="00000000" w:rsidRDefault="00000000" w:rsidRPr="00000000" w14:paraId="00000067">
      <w:pPr>
        <w:numPr>
          <w:ilvl w:val="2"/>
          <w:numId w:val="1"/>
        </w:numPr>
        <w:spacing w:line="240" w:lineRule="auto"/>
        <w:ind w:left="1133.858267716535" w:right="-607.7952755905511"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does not include information that it is reasonably necessary to disclose to a customer or other person in the usual course of business, so far as that information is disclosed in those circumstances.</w:t>
      </w:r>
    </w:p>
    <w:p w:rsidR="00000000" w:rsidDel="00000000" w:rsidP="00000000" w:rsidRDefault="00000000" w:rsidRPr="00000000" w14:paraId="00000068">
      <w:pPr>
        <w:numPr>
          <w:ilvl w:val="1"/>
          <w:numId w:val="1"/>
        </w:numPr>
        <w:spacing w:line="240" w:lineRule="auto"/>
        <w:ind w:left="425.19685039370086"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Director</w:t>
      </w:r>
      <w:r w:rsidDel="00000000" w:rsidR="00000000" w:rsidRPr="00000000">
        <w:rPr>
          <w:rFonts w:ascii="Times New Roman" w:cs="Times New Roman" w:eastAsia="Times New Roman" w:hAnsi="Times New Roman"/>
          <w:rtl w:val="0"/>
        </w:rPr>
        <w:t xml:space="preserve"> - means a director of the Company.</w:t>
      </w:r>
    </w:p>
    <w:p w:rsidR="00000000" w:rsidDel="00000000" w:rsidP="00000000" w:rsidRDefault="00000000" w:rsidRPr="00000000" w14:paraId="00000069">
      <w:pPr>
        <w:numPr>
          <w:ilvl w:val="1"/>
          <w:numId w:val="1"/>
        </w:numPr>
        <w:spacing w:line="240" w:lineRule="auto"/>
        <w:ind w:left="425.19685039370086"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Fair Price - </w:t>
      </w:r>
      <w:r w:rsidDel="00000000" w:rsidR="00000000" w:rsidRPr="00000000">
        <w:rPr>
          <w:rFonts w:ascii="Times New Roman" w:cs="Times New Roman" w:eastAsia="Times New Roman" w:hAnsi="Times New Roman"/>
          <w:rtl w:val="0"/>
        </w:rPr>
        <w:t xml:space="preserve">means the price of the Sale Shares or Transferred Shares as confirmed by an accountant.</w:t>
      </w:r>
    </w:p>
    <w:p w:rsidR="00000000" w:rsidDel="00000000" w:rsidP="00000000" w:rsidRDefault="00000000" w:rsidRPr="00000000" w14:paraId="0000006A">
      <w:pPr>
        <w:numPr>
          <w:ilvl w:val="1"/>
          <w:numId w:val="1"/>
        </w:numPr>
        <w:spacing w:line="240" w:lineRule="auto"/>
        <w:ind w:left="425.19685039370086"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Intellectual Property</w:t>
      </w:r>
      <w:r w:rsidDel="00000000" w:rsidR="00000000" w:rsidRPr="00000000">
        <w:rPr>
          <w:rFonts w:ascii="Times New Roman" w:cs="Times New Roman" w:eastAsia="Times New Roman" w:hAnsi="Times New Roman"/>
          <w:rtl w:val="0"/>
        </w:rPr>
        <w:t xml:space="preserve"> - means intellectual property of every sort, whether registered or registrable in any country, including intellectual property of all kinds coming into existence after today; and including, among others, patents, trademarks, unregistered marks, designs, copyrights, software, domain names, discoveries, creations, and inventions.</w:t>
      </w:r>
    </w:p>
    <w:p w:rsidR="00000000" w:rsidDel="00000000" w:rsidP="00000000" w:rsidRDefault="00000000" w:rsidRPr="00000000" w14:paraId="0000006B">
      <w:pPr>
        <w:numPr>
          <w:ilvl w:val="1"/>
          <w:numId w:val="1"/>
        </w:numPr>
        <w:ind w:left="425.19685039370086"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Sale Notice - </w:t>
      </w:r>
      <w:r w:rsidDel="00000000" w:rsidR="00000000" w:rsidRPr="00000000">
        <w:rPr>
          <w:rFonts w:ascii="Times New Roman" w:cs="Times New Roman" w:eastAsia="Times New Roman" w:hAnsi="Times New Roman"/>
          <w:rtl w:val="0"/>
        </w:rPr>
        <w:t xml:space="preserve">means a notice sent by a shareholder of the Company specifying information in relation to the Sale Shares.</w:t>
      </w:r>
    </w:p>
    <w:p w:rsidR="00000000" w:rsidDel="00000000" w:rsidP="00000000" w:rsidRDefault="00000000" w:rsidRPr="00000000" w14:paraId="0000006C">
      <w:pPr>
        <w:numPr>
          <w:ilvl w:val="1"/>
          <w:numId w:val="1"/>
        </w:numPr>
        <w:ind w:left="425.19685039370086" w:hanging="16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Sale Price</w:t>
      </w:r>
      <w:r w:rsidDel="00000000" w:rsidR="00000000" w:rsidRPr="00000000">
        <w:rPr>
          <w:rFonts w:ascii="Times New Roman" w:cs="Times New Roman" w:eastAsia="Times New Roman" w:hAnsi="Times New Roman"/>
          <w:rtl w:val="0"/>
        </w:rPr>
        <w:t xml:space="preserve"> - means the price specified in a Sale Notice.</w:t>
      </w:r>
    </w:p>
    <w:p w:rsidR="00000000" w:rsidDel="00000000" w:rsidP="00000000" w:rsidRDefault="00000000" w:rsidRPr="00000000" w14:paraId="0000006D">
      <w:pPr>
        <w:numPr>
          <w:ilvl w:val="1"/>
          <w:numId w:val="1"/>
        </w:numPr>
        <w:ind w:left="425.19685039370086" w:hanging="16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Sale Shares</w:t>
      </w:r>
      <w:r w:rsidDel="00000000" w:rsidR="00000000" w:rsidRPr="00000000">
        <w:rPr>
          <w:rFonts w:ascii="Times New Roman" w:cs="Times New Roman" w:eastAsia="Times New Roman" w:hAnsi="Times New Roman"/>
          <w:rtl w:val="0"/>
        </w:rPr>
        <w:t xml:space="preserve"> - mean the process of the sale or transfer of shares by a shareholder to a third party.</w:t>
      </w:r>
    </w:p>
    <w:p w:rsidR="00000000" w:rsidDel="00000000" w:rsidP="00000000" w:rsidRDefault="00000000" w:rsidRPr="00000000" w14:paraId="0000006E">
      <w:pPr>
        <w:numPr>
          <w:ilvl w:val="1"/>
          <w:numId w:val="1"/>
        </w:numPr>
        <w:spacing w:line="240" w:lineRule="auto"/>
        <w:ind w:left="425.19685039370086"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Transfer Date - </w:t>
      </w:r>
      <w:r w:rsidDel="00000000" w:rsidR="00000000" w:rsidRPr="00000000">
        <w:rPr>
          <w:rFonts w:ascii="Times New Roman" w:cs="Times New Roman" w:eastAsia="Times New Roman" w:hAnsi="Times New Roman"/>
          <w:rtl w:val="0"/>
        </w:rPr>
        <w:t xml:space="preserve">means the date on which a shareholder transfers shares, in accordance with the provisions of this Agreement.</w:t>
      </w:r>
    </w:p>
    <w:p w:rsidR="00000000" w:rsidDel="00000000" w:rsidP="00000000" w:rsidRDefault="00000000" w:rsidRPr="00000000" w14:paraId="0000006F">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283.46456692913375" w:hanging="149.99999999999997"/>
      </w:pPr>
      <w:rPr>
        <w:u w:val="none"/>
      </w:rPr>
    </w:lvl>
    <w:lvl w:ilvl="1">
      <w:start w:val="1"/>
      <w:numFmt w:val="decimal"/>
      <w:lvlText w:val="%1.%2."/>
      <w:lvlJc w:val="right"/>
      <w:pPr>
        <w:ind w:left="425.19685039370086" w:hanging="165"/>
      </w:pPr>
      <w:rPr>
        <w:u w:val="none"/>
      </w:rPr>
    </w:lvl>
    <w:lvl w:ilvl="2">
      <w:start w:val="1"/>
      <w:numFmt w:val="decimal"/>
      <w:lvlText w:val="%1.%2.%3."/>
      <w:lvlJc w:val="right"/>
      <w:pPr>
        <w:ind w:left="1133.858267716535" w:hanging="179.9999999999999"/>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283.46456692913375" w:hanging="149.99999999999997"/>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