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D2" w:rsidRPr="0076000E" w:rsidRDefault="007F4BD2" w:rsidP="007F4BD2">
      <w:pPr>
        <w:jc w:val="right"/>
        <w:rPr>
          <w:color w:val="003366"/>
        </w:rPr>
      </w:pPr>
      <w:r>
        <w:rPr>
          <w:noProof/>
          <w:lang w:val="ru-RU" w:eastAsia="ru-RU"/>
        </w:rPr>
        <w:drawing>
          <wp:anchor distT="0" distB="0" distL="114300" distR="114300" simplePos="0" relativeHeight="251659264" behindDoc="0" locked="0" layoutInCell="1" allowOverlap="1" wp14:anchorId="3091CA4C" wp14:editId="640AA358">
            <wp:simplePos x="0" y="0"/>
            <wp:positionH relativeFrom="margin">
              <wp:posOffset>5368925</wp:posOffset>
            </wp:positionH>
            <wp:positionV relativeFrom="paragraph">
              <wp:posOffset>-495935</wp:posOffset>
            </wp:positionV>
            <wp:extent cx="733425" cy="708660"/>
            <wp:effectExtent l="0" t="0" r="9525" b="0"/>
            <wp:wrapNone/>
            <wp:docPr id="2" name="Рисунок 2" descr="Описание: Описание: Описание: Описание: cid:image004.jpg@01CCFC43.AEE6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cid:image004.jpg@01CCFC43.AEE679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2B62" w:rsidRPr="00884E5D" w:rsidRDefault="001C2B62" w:rsidP="00884E5D">
      <w:pPr>
        <w:rPr>
          <w:b/>
          <w:lang w:val="ru-RU"/>
        </w:rPr>
      </w:pPr>
      <w:bookmarkStart w:id="0" w:name="_GoBack"/>
      <w:bookmarkEnd w:id="0"/>
    </w:p>
    <w:p w:rsidR="00DD3A6E" w:rsidRDefault="00DD3A6E" w:rsidP="007F4BD2">
      <w:pPr>
        <w:jc w:val="center"/>
        <w:rPr>
          <w:b/>
          <w:sz w:val="28"/>
          <w:szCs w:val="28"/>
          <w:lang w:val="ru-RU"/>
        </w:rPr>
      </w:pPr>
    </w:p>
    <w:tbl>
      <w:tblPr>
        <w:tblStyle w:val="a6"/>
        <w:tblW w:w="9753" w:type="dxa"/>
        <w:tblInd w:w="-147" w:type="dxa"/>
        <w:tblLook w:val="04A0" w:firstRow="1" w:lastRow="0" w:firstColumn="1" w:lastColumn="0" w:noHBand="0" w:noVBand="1"/>
      </w:tblPr>
      <w:tblGrid>
        <w:gridCol w:w="4933"/>
        <w:gridCol w:w="4820"/>
      </w:tblGrid>
      <w:tr w:rsidR="00005471" w:rsidRPr="00E34369" w:rsidTr="009F1715">
        <w:tc>
          <w:tcPr>
            <w:tcW w:w="4933" w:type="dxa"/>
          </w:tcPr>
          <w:p w:rsidR="00005471" w:rsidRPr="001C2B62" w:rsidRDefault="00005471" w:rsidP="00C02CDF">
            <w:pPr>
              <w:kinsoku w:val="0"/>
              <w:overflowPunct w:val="0"/>
              <w:autoSpaceDE w:val="0"/>
              <w:autoSpaceDN w:val="0"/>
              <w:adjustRightInd w:val="0"/>
              <w:spacing w:line="287" w:lineRule="exact"/>
              <w:jc w:val="center"/>
              <w:rPr>
                <w:b/>
                <w:bCs/>
                <w:iCs/>
                <w:sz w:val="22"/>
                <w:szCs w:val="22"/>
                <w:lang w:val="ru-RU"/>
              </w:rPr>
            </w:pPr>
            <w:r w:rsidRPr="001C2B62">
              <w:rPr>
                <w:b/>
                <w:bCs/>
                <w:iCs/>
                <w:sz w:val="22"/>
                <w:szCs w:val="22"/>
                <w:lang w:val="ru-RU"/>
              </w:rPr>
              <w:t>ОРИГИНАЛ</w:t>
            </w:r>
          </w:p>
        </w:tc>
        <w:tc>
          <w:tcPr>
            <w:tcW w:w="4820" w:type="dxa"/>
          </w:tcPr>
          <w:p w:rsidR="00005471" w:rsidRPr="009F1715" w:rsidRDefault="00005471" w:rsidP="009F1715">
            <w:pPr>
              <w:kinsoku w:val="0"/>
              <w:overflowPunct w:val="0"/>
              <w:autoSpaceDE w:val="0"/>
              <w:autoSpaceDN w:val="0"/>
              <w:adjustRightInd w:val="0"/>
              <w:spacing w:line="287" w:lineRule="exact"/>
              <w:jc w:val="center"/>
              <w:rPr>
                <w:b/>
                <w:bCs/>
                <w:iCs/>
                <w:sz w:val="22"/>
                <w:szCs w:val="22"/>
                <w:lang w:val="ru-RU"/>
              </w:rPr>
            </w:pPr>
            <w:r w:rsidRPr="009F1715">
              <w:rPr>
                <w:b/>
                <w:bCs/>
                <w:iCs/>
                <w:sz w:val="22"/>
                <w:szCs w:val="22"/>
                <w:lang w:val="ru-RU"/>
              </w:rPr>
              <w:t>ПЕРЕВОД</w:t>
            </w:r>
          </w:p>
        </w:tc>
      </w:tr>
      <w:tr w:rsidR="00005471" w:rsidRPr="009B410A" w:rsidTr="009F1715">
        <w:tc>
          <w:tcPr>
            <w:tcW w:w="4933" w:type="dxa"/>
          </w:tcPr>
          <w:p w:rsidR="00005471" w:rsidRPr="001C2B62" w:rsidRDefault="00005471" w:rsidP="00C02CDF">
            <w:pPr>
              <w:kinsoku w:val="0"/>
              <w:overflowPunct w:val="0"/>
              <w:autoSpaceDE w:val="0"/>
              <w:autoSpaceDN w:val="0"/>
              <w:adjustRightInd w:val="0"/>
              <w:spacing w:line="287" w:lineRule="exact"/>
              <w:jc w:val="both"/>
              <w:rPr>
                <w:b/>
                <w:bCs/>
                <w:iCs/>
                <w:sz w:val="22"/>
                <w:szCs w:val="22"/>
              </w:rPr>
            </w:pPr>
            <w:bookmarkStart w:id="1" w:name="bookmark2"/>
            <w:bookmarkStart w:id="2" w:name="2.1.1_General_workflow_to_be_achieved_fo"/>
            <w:bookmarkStart w:id="3" w:name="1"/>
            <w:bookmarkStart w:id="4" w:name="2_Description_of_Process_Indicators"/>
            <w:bookmarkStart w:id="5" w:name="2.1_Acidification_Phase"/>
            <w:bookmarkStart w:id="6" w:name="bookmark0"/>
            <w:bookmarkStart w:id="7" w:name="bookmark1"/>
            <w:bookmarkEnd w:id="1"/>
            <w:bookmarkEnd w:id="2"/>
            <w:bookmarkEnd w:id="3"/>
            <w:bookmarkEnd w:id="4"/>
            <w:bookmarkEnd w:id="5"/>
            <w:bookmarkEnd w:id="6"/>
            <w:bookmarkEnd w:id="7"/>
            <w:r w:rsidRPr="001C2B62">
              <w:rPr>
                <w:b/>
                <w:bCs/>
                <w:iCs/>
                <w:sz w:val="22"/>
                <w:szCs w:val="22"/>
              </w:rPr>
              <w:t>ISL Production of Uranium. Acidification Phase</w:t>
            </w:r>
          </w:p>
        </w:tc>
        <w:tc>
          <w:tcPr>
            <w:tcW w:w="4820" w:type="dxa"/>
          </w:tcPr>
          <w:p w:rsidR="00005471" w:rsidRPr="009E4678" w:rsidRDefault="009E4678" w:rsidP="009E4678">
            <w:pPr>
              <w:kinsoku w:val="0"/>
              <w:overflowPunct w:val="0"/>
              <w:autoSpaceDE w:val="0"/>
              <w:autoSpaceDN w:val="0"/>
              <w:adjustRightInd w:val="0"/>
              <w:spacing w:line="287" w:lineRule="exact"/>
              <w:rPr>
                <w:b/>
                <w:bCs/>
                <w:iCs/>
                <w:szCs w:val="28"/>
                <w:lang w:val="ru-RU"/>
              </w:rPr>
            </w:pPr>
            <w:r>
              <w:rPr>
                <w:b/>
                <w:bCs/>
                <w:iCs/>
                <w:szCs w:val="28"/>
                <w:lang w:val="uk-UA"/>
              </w:rPr>
              <w:t>Добыча урана подземным выщелачиванием. Этап закисления</w:t>
            </w:r>
          </w:p>
        </w:tc>
      </w:tr>
      <w:tr w:rsidR="00005471" w:rsidRPr="009B410A" w:rsidTr="009F1715">
        <w:tc>
          <w:tcPr>
            <w:tcW w:w="4933" w:type="dxa"/>
          </w:tcPr>
          <w:p w:rsidR="00005471" w:rsidRPr="001C2B62" w:rsidRDefault="00005471" w:rsidP="00C02CDF">
            <w:pPr>
              <w:kinsoku w:val="0"/>
              <w:overflowPunct w:val="0"/>
              <w:autoSpaceDE w:val="0"/>
              <w:autoSpaceDN w:val="0"/>
              <w:adjustRightInd w:val="0"/>
              <w:spacing w:line="287" w:lineRule="exact"/>
              <w:jc w:val="both"/>
              <w:rPr>
                <w:bCs/>
                <w:iCs/>
                <w:sz w:val="22"/>
                <w:szCs w:val="22"/>
              </w:rPr>
            </w:pPr>
            <w:r w:rsidRPr="001C2B62">
              <w:rPr>
                <w:bCs/>
                <w:iCs/>
                <w:sz w:val="22"/>
                <w:szCs w:val="22"/>
              </w:rPr>
              <w:t xml:space="preserve">The objective of the acidification phase is to lower pH down to 2.0, value at which the uranium is supposed to start dissolving and appearing in the PR solutions. </w:t>
            </w:r>
          </w:p>
          <w:p w:rsidR="00005471" w:rsidRPr="001C2B62" w:rsidRDefault="00005471" w:rsidP="00C02CDF">
            <w:pPr>
              <w:kinsoku w:val="0"/>
              <w:overflowPunct w:val="0"/>
              <w:autoSpaceDE w:val="0"/>
              <w:autoSpaceDN w:val="0"/>
              <w:adjustRightInd w:val="0"/>
              <w:spacing w:line="287" w:lineRule="exact"/>
              <w:jc w:val="both"/>
              <w:rPr>
                <w:bCs/>
                <w:iCs/>
                <w:sz w:val="22"/>
                <w:szCs w:val="22"/>
              </w:rPr>
            </w:pPr>
            <w:r w:rsidRPr="001C2B62">
              <w:rPr>
                <w:bCs/>
                <w:iCs/>
                <w:sz w:val="22"/>
                <w:szCs w:val="22"/>
              </w:rPr>
              <w:t>Since this acidification goes with the addition of sulfuric acid, at increasing concentrations (several steps at 5, 15 and 20 g/L for instance), it is important to control such a cost for the operation that has to handle various blocks each of different behaviors.</w:t>
            </w:r>
          </w:p>
          <w:p w:rsidR="00005471" w:rsidRPr="001C2B62" w:rsidRDefault="00005471" w:rsidP="00C02CDF">
            <w:pPr>
              <w:kinsoku w:val="0"/>
              <w:overflowPunct w:val="0"/>
              <w:autoSpaceDE w:val="0"/>
              <w:autoSpaceDN w:val="0"/>
              <w:adjustRightInd w:val="0"/>
              <w:spacing w:line="287" w:lineRule="exact"/>
              <w:rPr>
                <w:bCs/>
                <w:iCs/>
                <w:sz w:val="22"/>
                <w:szCs w:val="22"/>
              </w:rPr>
            </w:pPr>
          </w:p>
          <w:p w:rsidR="00005471" w:rsidRPr="001C2B62" w:rsidRDefault="00005471" w:rsidP="00C02CDF">
            <w:pPr>
              <w:kinsoku w:val="0"/>
              <w:overflowPunct w:val="0"/>
              <w:autoSpaceDE w:val="0"/>
              <w:autoSpaceDN w:val="0"/>
              <w:adjustRightInd w:val="0"/>
              <w:spacing w:line="287" w:lineRule="exact"/>
              <w:rPr>
                <w:bCs/>
                <w:iCs/>
                <w:sz w:val="22"/>
                <w:szCs w:val="22"/>
              </w:rPr>
            </w:pPr>
          </w:p>
          <w:p w:rsidR="00005471" w:rsidRPr="001C2B62" w:rsidRDefault="00005471" w:rsidP="00C02CDF">
            <w:pPr>
              <w:kinsoku w:val="0"/>
              <w:overflowPunct w:val="0"/>
              <w:autoSpaceDE w:val="0"/>
              <w:autoSpaceDN w:val="0"/>
              <w:adjustRightInd w:val="0"/>
              <w:spacing w:line="287" w:lineRule="exact"/>
              <w:jc w:val="both"/>
              <w:rPr>
                <w:bCs/>
                <w:iCs/>
                <w:sz w:val="22"/>
                <w:szCs w:val="22"/>
              </w:rPr>
            </w:pPr>
            <w:r w:rsidRPr="001C2B62">
              <w:rPr>
                <w:bCs/>
                <w:iCs/>
                <w:sz w:val="22"/>
                <w:szCs w:val="22"/>
              </w:rPr>
              <w:t>That is why three types of indicators have been defined here:</w:t>
            </w:r>
          </w:p>
          <w:p w:rsidR="00005471" w:rsidRPr="001C2B62" w:rsidRDefault="00005471" w:rsidP="00C02CDF">
            <w:pPr>
              <w:kinsoku w:val="0"/>
              <w:overflowPunct w:val="0"/>
              <w:autoSpaceDE w:val="0"/>
              <w:autoSpaceDN w:val="0"/>
              <w:adjustRightInd w:val="0"/>
              <w:spacing w:line="287" w:lineRule="exact"/>
              <w:jc w:val="both"/>
              <w:rPr>
                <w:bCs/>
                <w:iCs/>
                <w:sz w:val="22"/>
                <w:szCs w:val="22"/>
              </w:rPr>
            </w:pPr>
          </w:p>
          <w:p w:rsidR="00005471" w:rsidRPr="001C2B62" w:rsidRDefault="00005471" w:rsidP="00005471">
            <w:pPr>
              <w:pStyle w:val="a3"/>
              <w:numPr>
                <w:ilvl w:val="0"/>
                <w:numId w:val="2"/>
              </w:numPr>
              <w:kinsoku w:val="0"/>
              <w:overflowPunct w:val="0"/>
              <w:autoSpaceDE w:val="0"/>
              <w:autoSpaceDN w:val="0"/>
              <w:adjustRightInd w:val="0"/>
              <w:spacing w:after="0" w:line="287" w:lineRule="exact"/>
              <w:jc w:val="both"/>
              <w:rPr>
                <w:rFonts w:ascii="Times New Roman" w:hAnsi="Times New Roman"/>
                <w:bCs/>
                <w:iCs/>
                <w:lang w:val="en-US"/>
              </w:rPr>
            </w:pPr>
            <w:r w:rsidRPr="001C2B62">
              <w:rPr>
                <w:rFonts w:ascii="Times New Roman" w:hAnsi="Times New Roman"/>
                <w:bCs/>
                <w:iCs/>
                <w:lang w:val="en-US"/>
              </w:rPr>
              <w:t>A budget indicator controlling the real acid addition compared to the budgeted addition.</w:t>
            </w:r>
          </w:p>
          <w:p w:rsidR="00005471" w:rsidRPr="001C2B62" w:rsidRDefault="00005471" w:rsidP="00005471">
            <w:pPr>
              <w:pStyle w:val="a3"/>
              <w:numPr>
                <w:ilvl w:val="0"/>
                <w:numId w:val="2"/>
              </w:numPr>
              <w:kinsoku w:val="0"/>
              <w:overflowPunct w:val="0"/>
              <w:autoSpaceDE w:val="0"/>
              <w:autoSpaceDN w:val="0"/>
              <w:adjustRightInd w:val="0"/>
              <w:spacing w:after="0" w:line="287" w:lineRule="exact"/>
              <w:jc w:val="both"/>
              <w:rPr>
                <w:rFonts w:ascii="Times New Roman" w:hAnsi="Times New Roman"/>
                <w:bCs/>
                <w:iCs/>
                <w:lang w:val="en-US"/>
              </w:rPr>
            </w:pPr>
            <w:r w:rsidRPr="001C2B62">
              <w:rPr>
                <w:rFonts w:ascii="Times New Roman" w:hAnsi="Times New Roman"/>
                <w:bCs/>
                <w:iCs/>
                <w:lang w:val="en-US"/>
              </w:rPr>
              <w:t>A metallurgical indication of whether the acidification phase runs “normally”, in terms of decrease in pH and apparition of uranium in PR solutions.</w:t>
            </w:r>
          </w:p>
          <w:p w:rsidR="00005471" w:rsidRPr="001C2B62" w:rsidRDefault="00005471" w:rsidP="00131351">
            <w:pPr>
              <w:pStyle w:val="a3"/>
              <w:numPr>
                <w:ilvl w:val="0"/>
                <w:numId w:val="2"/>
              </w:numPr>
              <w:kinsoku w:val="0"/>
              <w:overflowPunct w:val="0"/>
              <w:autoSpaceDE w:val="0"/>
              <w:autoSpaceDN w:val="0"/>
              <w:adjustRightInd w:val="0"/>
              <w:spacing w:after="0" w:line="287" w:lineRule="exact"/>
              <w:jc w:val="both"/>
              <w:rPr>
                <w:rFonts w:ascii="Times New Roman" w:hAnsi="Times New Roman"/>
                <w:bCs/>
                <w:iCs/>
                <w:lang w:val="en-US"/>
              </w:rPr>
            </w:pPr>
            <w:r w:rsidRPr="001C2B62">
              <w:rPr>
                <w:rFonts w:ascii="Times New Roman" w:hAnsi="Times New Roman"/>
                <w:bCs/>
                <w:iCs/>
                <w:lang w:val="en-US"/>
              </w:rPr>
              <w:t>A follow-up of instructions given by ISR department to the operators of the well field.</w:t>
            </w:r>
          </w:p>
        </w:tc>
        <w:tc>
          <w:tcPr>
            <w:tcW w:w="4820" w:type="dxa"/>
          </w:tcPr>
          <w:p w:rsidR="00005471" w:rsidRDefault="009E4678" w:rsidP="00C02CDF">
            <w:pPr>
              <w:kinsoku w:val="0"/>
              <w:overflowPunct w:val="0"/>
              <w:autoSpaceDE w:val="0"/>
              <w:autoSpaceDN w:val="0"/>
              <w:adjustRightInd w:val="0"/>
              <w:spacing w:line="287" w:lineRule="exact"/>
              <w:jc w:val="both"/>
              <w:rPr>
                <w:bCs/>
                <w:iCs/>
                <w:szCs w:val="28"/>
                <w:lang w:val="ru-RU"/>
              </w:rPr>
            </w:pPr>
            <w:r>
              <w:rPr>
                <w:bCs/>
                <w:iCs/>
                <w:szCs w:val="28"/>
                <w:lang w:val="ru-RU"/>
              </w:rPr>
              <w:t xml:space="preserve">Целью этапа закисления является понижение </w:t>
            </w:r>
            <w:r w:rsidR="007A1ACC">
              <w:rPr>
                <w:bCs/>
                <w:iCs/>
                <w:szCs w:val="28"/>
                <w:lang w:val="ru-RU"/>
              </w:rPr>
              <w:t xml:space="preserve">уровня </w:t>
            </w:r>
            <w:r>
              <w:rPr>
                <w:bCs/>
                <w:iCs/>
                <w:szCs w:val="28"/>
                <w:lang w:val="ru-RU"/>
              </w:rPr>
              <w:t xml:space="preserve">рН до </w:t>
            </w:r>
            <w:r w:rsidR="007A1ACC">
              <w:rPr>
                <w:bCs/>
                <w:iCs/>
                <w:szCs w:val="28"/>
                <w:lang w:val="ru-RU"/>
              </w:rPr>
              <w:t xml:space="preserve">значения </w:t>
            </w:r>
            <w:r>
              <w:rPr>
                <w:bCs/>
                <w:iCs/>
                <w:szCs w:val="28"/>
                <w:lang w:val="ru-RU"/>
              </w:rPr>
              <w:t>2.0</w:t>
            </w:r>
            <w:r w:rsidRPr="009E4678">
              <w:rPr>
                <w:bCs/>
                <w:iCs/>
                <w:szCs w:val="28"/>
                <w:lang w:val="ru-RU"/>
              </w:rPr>
              <w:t xml:space="preserve">, </w:t>
            </w:r>
            <w:r w:rsidR="007A1ACC">
              <w:rPr>
                <w:bCs/>
                <w:iCs/>
                <w:szCs w:val="28"/>
                <w:lang w:val="ru-RU"/>
              </w:rPr>
              <w:t xml:space="preserve">при котором уран начнет растворятся и появляться в </w:t>
            </w:r>
            <w:r w:rsidR="007A1ACC">
              <w:rPr>
                <w:bCs/>
                <w:iCs/>
                <w:szCs w:val="28"/>
              </w:rPr>
              <w:t>PR</w:t>
            </w:r>
            <w:r w:rsidR="007A1ACC">
              <w:rPr>
                <w:bCs/>
                <w:iCs/>
                <w:szCs w:val="28"/>
                <w:lang w:val="ru-RU"/>
              </w:rPr>
              <w:t xml:space="preserve">-растворах. Так как это закисление проводится с добавлением серной кислоты, при увеличении концентрации (в несколько шагов, к примеру – 5, 15 и 20 грамм/литр) важно контролировать стоимость операции, при которой должны обрабатываться блоки различных режимов. </w:t>
            </w:r>
          </w:p>
          <w:p w:rsidR="007A1ACC" w:rsidRDefault="007A1ACC" w:rsidP="00C02CDF">
            <w:pPr>
              <w:kinsoku w:val="0"/>
              <w:overflowPunct w:val="0"/>
              <w:autoSpaceDE w:val="0"/>
              <w:autoSpaceDN w:val="0"/>
              <w:adjustRightInd w:val="0"/>
              <w:spacing w:line="287" w:lineRule="exact"/>
              <w:jc w:val="both"/>
              <w:rPr>
                <w:bCs/>
                <w:iCs/>
                <w:szCs w:val="28"/>
                <w:lang w:val="ru-RU"/>
              </w:rPr>
            </w:pPr>
          </w:p>
          <w:p w:rsidR="007A1ACC" w:rsidRDefault="007A1ACC" w:rsidP="00C02CDF">
            <w:pPr>
              <w:kinsoku w:val="0"/>
              <w:overflowPunct w:val="0"/>
              <w:autoSpaceDE w:val="0"/>
              <w:autoSpaceDN w:val="0"/>
              <w:adjustRightInd w:val="0"/>
              <w:spacing w:line="287" w:lineRule="exact"/>
              <w:jc w:val="both"/>
              <w:rPr>
                <w:bCs/>
                <w:iCs/>
                <w:szCs w:val="28"/>
                <w:lang w:val="ru-RU"/>
              </w:rPr>
            </w:pPr>
            <w:r>
              <w:rPr>
                <w:bCs/>
                <w:iCs/>
                <w:szCs w:val="28"/>
                <w:lang w:val="ru-RU"/>
              </w:rPr>
              <w:t>По этой причине были определены три типа индикаторов:</w:t>
            </w:r>
          </w:p>
          <w:p w:rsidR="00DB0106" w:rsidRDefault="00DB0106" w:rsidP="007A1ACC">
            <w:pPr>
              <w:pStyle w:val="a3"/>
              <w:numPr>
                <w:ilvl w:val="0"/>
                <w:numId w:val="2"/>
              </w:numPr>
              <w:kinsoku w:val="0"/>
              <w:overflowPunct w:val="0"/>
              <w:autoSpaceDE w:val="0"/>
              <w:autoSpaceDN w:val="0"/>
              <w:adjustRightInd w:val="0"/>
              <w:spacing w:after="0" w:line="287" w:lineRule="exact"/>
              <w:jc w:val="both"/>
              <w:rPr>
                <w:rFonts w:ascii="Times New Roman" w:hAnsi="Times New Roman"/>
                <w:bCs/>
                <w:iCs/>
              </w:rPr>
            </w:pPr>
            <w:r>
              <w:rPr>
                <w:rFonts w:ascii="Times New Roman" w:hAnsi="Times New Roman"/>
                <w:bCs/>
                <w:iCs/>
              </w:rPr>
              <w:t>Индикатор бюджета, контролирующий реальное количество добавленной кислоты в сравнении с количеством, предусмотренным бюджетом.</w:t>
            </w:r>
          </w:p>
          <w:p w:rsidR="00DB0106" w:rsidRPr="00DB0106" w:rsidRDefault="00DB0106" w:rsidP="007A1ACC">
            <w:pPr>
              <w:pStyle w:val="a3"/>
              <w:numPr>
                <w:ilvl w:val="0"/>
                <w:numId w:val="2"/>
              </w:numPr>
              <w:kinsoku w:val="0"/>
              <w:overflowPunct w:val="0"/>
              <w:autoSpaceDE w:val="0"/>
              <w:autoSpaceDN w:val="0"/>
              <w:adjustRightInd w:val="0"/>
              <w:spacing w:after="0" w:line="287" w:lineRule="exact"/>
              <w:jc w:val="both"/>
              <w:rPr>
                <w:rFonts w:ascii="Times New Roman" w:hAnsi="Times New Roman"/>
                <w:bCs/>
                <w:iCs/>
              </w:rPr>
            </w:pPr>
            <w:r>
              <w:rPr>
                <w:rFonts w:ascii="Times New Roman" w:hAnsi="Times New Roman"/>
                <w:bCs/>
                <w:iCs/>
              </w:rPr>
              <w:t xml:space="preserve"> Металлургический индикатор того, «нормально» ли проходит этап подкисления в плане снижения уровня рН и появления урана в </w:t>
            </w:r>
            <w:r>
              <w:rPr>
                <w:rFonts w:ascii="Times New Roman" w:hAnsi="Times New Roman"/>
                <w:bCs/>
                <w:iCs/>
                <w:lang w:val="en-US"/>
              </w:rPr>
              <w:t>PR</w:t>
            </w:r>
            <w:r w:rsidRPr="00DB0106">
              <w:rPr>
                <w:rFonts w:ascii="Times New Roman" w:hAnsi="Times New Roman"/>
                <w:bCs/>
                <w:iCs/>
              </w:rPr>
              <w:t xml:space="preserve"> </w:t>
            </w:r>
            <w:r>
              <w:rPr>
                <w:rFonts w:ascii="Times New Roman" w:hAnsi="Times New Roman"/>
                <w:bCs/>
                <w:iCs/>
                <w:lang w:val="uk-UA"/>
              </w:rPr>
              <w:t>растворах.</w:t>
            </w:r>
          </w:p>
          <w:p w:rsidR="007A1ACC" w:rsidRPr="007A1ACC" w:rsidRDefault="00DB0106" w:rsidP="007A1ACC">
            <w:pPr>
              <w:pStyle w:val="a3"/>
              <w:numPr>
                <w:ilvl w:val="0"/>
                <w:numId w:val="2"/>
              </w:numPr>
              <w:kinsoku w:val="0"/>
              <w:overflowPunct w:val="0"/>
              <w:autoSpaceDE w:val="0"/>
              <w:autoSpaceDN w:val="0"/>
              <w:adjustRightInd w:val="0"/>
              <w:spacing w:after="0" w:line="287" w:lineRule="exact"/>
              <w:jc w:val="both"/>
              <w:rPr>
                <w:rFonts w:ascii="Times New Roman" w:hAnsi="Times New Roman"/>
                <w:bCs/>
                <w:iCs/>
              </w:rPr>
            </w:pPr>
            <w:r>
              <w:rPr>
                <w:rFonts w:ascii="Times New Roman" w:hAnsi="Times New Roman"/>
                <w:bCs/>
                <w:iCs/>
              </w:rPr>
              <w:t xml:space="preserve">  Выполнение указаний, данных отделом </w:t>
            </w:r>
            <w:r w:rsidR="00EE4A11">
              <w:rPr>
                <w:rFonts w:ascii="Times New Roman" w:hAnsi="Times New Roman"/>
                <w:bCs/>
                <w:iCs/>
              </w:rPr>
              <w:t>скважинного выщелачивания работникам на месторождении.</w:t>
            </w:r>
          </w:p>
        </w:tc>
      </w:tr>
      <w:tr w:rsidR="00005471" w:rsidRPr="008203A7" w:rsidTr="009F1715">
        <w:tc>
          <w:tcPr>
            <w:tcW w:w="4933" w:type="dxa"/>
          </w:tcPr>
          <w:p w:rsidR="00005471" w:rsidRPr="001C2B62" w:rsidRDefault="001C2B62" w:rsidP="00C02CDF">
            <w:pPr>
              <w:kinsoku w:val="0"/>
              <w:overflowPunct w:val="0"/>
              <w:autoSpaceDE w:val="0"/>
              <w:autoSpaceDN w:val="0"/>
              <w:adjustRightInd w:val="0"/>
              <w:spacing w:line="287" w:lineRule="exact"/>
              <w:rPr>
                <w:b/>
                <w:bCs/>
                <w:i/>
                <w:iCs/>
                <w:sz w:val="22"/>
                <w:szCs w:val="22"/>
              </w:rPr>
            </w:pPr>
            <w:r w:rsidRPr="001C2B62">
              <w:rPr>
                <w:b/>
                <w:sz w:val="22"/>
                <w:szCs w:val="22"/>
              </w:rPr>
              <w:t>Pricing</w:t>
            </w:r>
          </w:p>
        </w:tc>
        <w:tc>
          <w:tcPr>
            <w:tcW w:w="4820" w:type="dxa"/>
          </w:tcPr>
          <w:p w:rsidR="00005471" w:rsidRPr="00EE4A11" w:rsidRDefault="00EE4A11" w:rsidP="00EE4A11">
            <w:pPr>
              <w:kinsoku w:val="0"/>
              <w:overflowPunct w:val="0"/>
              <w:autoSpaceDE w:val="0"/>
              <w:autoSpaceDN w:val="0"/>
              <w:adjustRightInd w:val="0"/>
              <w:spacing w:line="287" w:lineRule="exact"/>
              <w:rPr>
                <w:b/>
                <w:bCs/>
                <w:iCs/>
                <w:szCs w:val="28"/>
                <w:lang w:val="ru-RU"/>
              </w:rPr>
            </w:pPr>
            <w:r>
              <w:rPr>
                <w:b/>
                <w:bCs/>
                <w:iCs/>
                <w:szCs w:val="28"/>
                <w:lang w:val="ru-RU"/>
              </w:rPr>
              <w:t>Ценообразование</w:t>
            </w:r>
          </w:p>
        </w:tc>
      </w:tr>
      <w:tr w:rsidR="00005471" w:rsidRPr="009B410A" w:rsidTr="009F1715">
        <w:tc>
          <w:tcPr>
            <w:tcW w:w="4933" w:type="dxa"/>
          </w:tcPr>
          <w:p w:rsidR="00005471" w:rsidRPr="001C2B62" w:rsidRDefault="00005471" w:rsidP="00C02CDF">
            <w:pPr>
              <w:spacing w:before="120" w:after="120"/>
              <w:ind w:left="34"/>
              <w:jc w:val="both"/>
              <w:rPr>
                <w:rFonts w:eastAsia="MS Mincho"/>
                <w:sz w:val="22"/>
                <w:szCs w:val="22"/>
                <w:lang w:val="en-GB"/>
              </w:rPr>
            </w:pPr>
            <w:r w:rsidRPr="001C2B62">
              <w:rPr>
                <w:rFonts w:eastAsia="MS Mincho"/>
                <w:sz w:val="22"/>
                <w:szCs w:val="22"/>
                <w:lang w:val="en-GB"/>
              </w:rPr>
              <w:t>Price of the Product is defined in USD per pound of U3O8 in accordance with the following formula:</w:t>
            </w:r>
          </w:p>
          <w:p w:rsidR="00005471" w:rsidRPr="001C2B62" w:rsidRDefault="00005471" w:rsidP="00C02CDF">
            <w:pPr>
              <w:tabs>
                <w:tab w:val="left" w:pos="1260"/>
              </w:tabs>
              <w:ind w:left="34"/>
              <w:jc w:val="both"/>
              <w:rPr>
                <w:rFonts w:eastAsia="MS Mincho"/>
                <w:sz w:val="22"/>
                <w:szCs w:val="22"/>
                <w:lang w:val="en-GB"/>
              </w:rPr>
            </w:pPr>
            <w:r w:rsidRPr="001C2B62">
              <w:rPr>
                <w:rFonts w:eastAsia="MS Mincho"/>
                <w:sz w:val="22"/>
                <w:szCs w:val="22"/>
                <w:lang w:val="en-GB"/>
              </w:rPr>
              <w:t>P = SP * (100 – D) : 100% – T</w:t>
            </w:r>
          </w:p>
          <w:p w:rsidR="00005471" w:rsidRPr="001C2B62" w:rsidRDefault="00005471" w:rsidP="00C02CDF">
            <w:pPr>
              <w:tabs>
                <w:tab w:val="left" w:pos="1260"/>
                <w:tab w:val="center" w:pos="4680"/>
              </w:tabs>
              <w:ind w:left="34"/>
              <w:jc w:val="both"/>
              <w:rPr>
                <w:rFonts w:eastAsia="MS Mincho"/>
                <w:sz w:val="22"/>
                <w:szCs w:val="22"/>
              </w:rPr>
            </w:pPr>
          </w:p>
          <w:p w:rsidR="00005471" w:rsidRPr="001C2B62" w:rsidRDefault="00005471" w:rsidP="00C02CDF">
            <w:pPr>
              <w:tabs>
                <w:tab w:val="left" w:pos="1260"/>
                <w:tab w:val="center" w:pos="4680"/>
              </w:tabs>
              <w:ind w:left="34"/>
              <w:jc w:val="both"/>
              <w:rPr>
                <w:rFonts w:eastAsia="MS Mincho"/>
                <w:sz w:val="22"/>
                <w:szCs w:val="22"/>
                <w:lang w:val="en-GB"/>
              </w:rPr>
            </w:pPr>
            <w:r w:rsidRPr="001C2B62">
              <w:rPr>
                <w:rFonts w:eastAsia="MS Mincho"/>
                <w:sz w:val="22"/>
                <w:szCs w:val="22"/>
                <w:lang w:val="en-GB"/>
              </w:rPr>
              <w:t>Where</w:t>
            </w:r>
          </w:p>
          <w:p w:rsidR="00005471" w:rsidRPr="001C2B62" w:rsidRDefault="00005471" w:rsidP="00C02CDF">
            <w:pPr>
              <w:tabs>
                <w:tab w:val="left" w:pos="1260"/>
                <w:tab w:val="center" w:pos="4536"/>
              </w:tabs>
              <w:ind w:left="743" w:hanging="709"/>
              <w:jc w:val="both"/>
              <w:rPr>
                <w:rFonts w:eastAsia="MS Mincho"/>
                <w:sz w:val="22"/>
                <w:szCs w:val="22"/>
                <w:lang w:val="en-GB"/>
              </w:rPr>
            </w:pPr>
            <w:r w:rsidRPr="001C2B62">
              <w:rPr>
                <w:rFonts w:eastAsia="MS Mincho"/>
                <w:sz w:val="22"/>
                <w:szCs w:val="22"/>
                <w:lang w:val="en-GB"/>
              </w:rPr>
              <w:t xml:space="preserve">SP: </w:t>
            </w:r>
            <w:r w:rsidRPr="001C2B62">
              <w:rPr>
                <w:rFonts w:eastAsia="MS Mincho"/>
                <w:sz w:val="22"/>
                <w:szCs w:val="22"/>
                <w:lang w:val="en-GB"/>
              </w:rPr>
              <w:tab/>
              <w:t>average value of spot prices indicators for uranium concentrates (in USD per pound of U308) from official information sources on the date of title transfer to the Buyer. If spot prices indicators for uranium concentrates from official information sources are not published on the date of title transfer to the Buyer then last published values of spot prices indicators for uranium concentrates from official information sources are applied.</w:t>
            </w:r>
          </w:p>
          <w:p w:rsidR="00005471" w:rsidRPr="001C2B62" w:rsidRDefault="00005471" w:rsidP="00C02CDF">
            <w:pPr>
              <w:tabs>
                <w:tab w:val="left" w:pos="1260"/>
                <w:tab w:val="center" w:pos="4680"/>
              </w:tabs>
              <w:ind w:left="743" w:hanging="709"/>
              <w:jc w:val="both"/>
              <w:rPr>
                <w:rFonts w:eastAsia="MS Mincho"/>
                <w:sz w:val="22"/>
                <w:szCs w:val="22"/>
                <w:lang w:val="en-GB"/>
              </w:rPr>
            </w:pPr>
            <w:r w:rsidRPr="001C2B62">
              <w:rPr>
                <w:rFonts w:eastAsia="MS Mincho"/>
                <w:sz w:val="22"/>
                <w:szCs w:val="22"/>
                <w:lang w:val="en-GB"/>
              </w:rPr>
              <w:t xml:space="preserve">D: </w:t>
            </w:r>
            <w:r w:rsidRPr="001C2B62">
              <w:rPr>
                <w:rFonts w:eastAsia="MS Mincho"/>
                <w:sz w:val="22"/>
                <w:szCs w:val="22"/>
                <w:lang w:val="en-GB"/>
              </w:rPr>
              <w:tab/>
              <w:t>Discount defined in % offered by the Seller to the Buyer, it shall not exceed 8%.</w:t>
            </w:r>
          </w:p>
          <w:p w:rsidR="00005471" w:rsidRPr="001C2B62" w:rsidRDefault="00005471" w:rsidP="00C02CDF">
            <w:pPr>
              <w:kinsoku w:val="0"/>
              <w:overflowPunct w:val="0"/>
              <w:autoSpaceDE w:val="0"/>
              <w:autoSpaceDN w:val="0"/>
              <w:adjustRightInd w:val="0"/>
              <w:spacing w:line="287" w:lineRule="exact"/>
              <w:ind w:left="743" w:hanging="709"/>
              <w:jc w:val="both"/>
              <w:rPr>
                <w:b/>
                <w:bCs/>
                <w:i/>
                <w:iCs/>
                <w:sz w:val="22"/>
                <w:szCs w:val="22"/>
              </w:rPr>
            </w:pPr>
            <w:r w:rsidRPr="001C2B62">
              <w:rPr>
                <w:rFonts w:eastAsia="MS Mincho"/>
                <w:sz w:val="22"/>
                <w:szCs w:val="22"/>
                <w:lang w:val="en-GB"/>
              </w:rPr>
              <w:t xml:space="preserve">T: </w:t>
            </w:r>
            <w:r w:rsidRPr="001C2B62">
              <w:rPr>
                <w:rFonts w:eastAsia="MS Mincho"/>
                <w:sz w:val="22"/>
                <w:szCs w:val="22"/>
                <w:lang w:val="en-GB"/>
              </w:rPr>
              <w:tab/>
              <w:t xml:space="preserve">Differential is the amount of adjustment applied to adapt the delivery prices or Prices from official information sources to the </w:t>
            </w:r>
            <w:r w:rsidRPr="001C2B62">
              <w:rPr>
                <w:rFonts w:eastAsia="MS Mincho"/>
                <w:sz w:val="22"/>
                <w:szCs w:val="22"/>
                <w:lang w:val="en-GB"/>
              </w:rPr>
              <w:lastRenderedPageBreak/>
              <w:t>comparable economic conditions. The calculated differential must be corroborated through documentation or official information sources.</w:t>
            </w:r>
          </w:p>
        </w:tc>
        <w:tc>
          <w:tcPr>
            <w:tcW w:w="4820" w:type="dxa"/>
          </w:tcPr>
          <w:p w:rsidR="00005471" w:rsidRDefault="00EE4A11" w:rsidP="00C02CDF">
            <w:pPr>
              <w:tabs>
                <w:tab w:val="left" w:pos="1260"/>
              </w:tabs>
              <w:ind w:left="34"/>
              <w:jc w:val="both"/>
              <w:rPr>
                <w:rFonts w:eastAsia="MS Mincho"/>
                <w:lang w:val="ru-RU"/>
              </w:rPr>
            </w:pPr>
            <w:r>
              <w:rPr>
                <w:rFonts w:eastAsia="MS Mincho"/>
                <w:lang w:val="ru-RU"/>
              </w:rPr>
              <w:lastRenderedPageBreak/>
              <w:t xml:space="preserve">Цена Продукта определяется в долларах США за фунт </w:t>
            </w:r>
            <w:r>
              <w:rPr>
                <w:rFonts w:eastAsia="MS Mincho"/>
              </w:rPr>
              <w:t>U</w:t>
            </w:r>
            <w:r w:rsidRPr="00EE4A11">
              <w:rPr>
                <w:rFonts w:eastAsia="MS Mincho"/>
                <w:lang w:val="ru-RU"/>
              </w:rPr>
              <w:t>3</w:t>
            </w:r>
            <w:r>
              <w:rPr>
                <w:rFonts w:eastAsia="MS Mincho"/>
              </w:rPr>
              <w:t>O</w:t>
            </w:r>
            <w:r w:rsidRPr="00EE4A11">
              <w:rPr>
                <w:rFonts w:eastAsia="MS Mincho"/>
                <w:lang w:val="ru-RU"/>
              </w:rPr>
              <w:t xml:space="preserve">8 </w:t>
            </w:r>
            <w:r>
              <w:rPr>
                <w:rFonts w:eastAsia="MS Mincho"/>
                <w:lang w:val="ru-RU"/>
              </w:rPr>
              <w:t xml:space="preserve">в соответствии со следующей формулой: </w:t>
            </w:r>
          </w:p>
          <w:p w:rsidR="00EE4A11" w:rsidRPr="00EE4A11" w:rsidRDefault="00EE4A11" w:rsidP="00EE4A11">
            <w:pPr>
              <w:tabs>
                <w:tab w:val="left" w:pos="1260"/>
              </w:tabs>
              <w:ind w:left="34"/>
              <w:jc w:val="both"/>
              <w:rPr>
                <w:rFonts w:eastAsia="MS Mincho"/>
                <w:sz w:val="22"/>
                <w:szCs w:val="22"/>
                <w:lang w:val="ru-RU"/>
              </w:rPr>
            </w:pPr>
            <w:r w:rsidRPr="001C2B62">
              <w:rPr>
                <w:rFonts w:eastAsia="MS Mincho"/>
                <w:sz w:val="22"/>
                <w:szCs w:val="22"/>
                <w:lang w:val="en-GB"/>
              </w:rPr>
              <w:t>P</w:t>
            </w:r>
            <w:r w:rsidRPr="00EE4A11">
              <w:rPr>
                <w:rFonts w:eastAsia="MS Mincho"/>
                <w:sz w:val="22"/>
                <w:szCs w:val="22"/>
                <w:lang w:val="ru-RU"/>
              </w:rPr>
              <w:t xml:space="preserve"> = </w:t>
            </w:r>
            <w:r w:rsidRPr="001C2B62">
              <w:rPr>
                <w:rFonts w:eastAsia="MS Mincho"/>
                <w:sz w:val="22"/>
                <w:szCs w:val="22"/>
                <w:lang w:val="en-GB"/>
              </w:rPr>
              <w:t>SP</w:t>
            </w:r>
            <w:r w:rsidRPr="00EE4A11">
              <w:rPr>
                <w:rFonts w:eastAsia="MS Mincho"/>
                <w:sz w:val="22"/>
                <w:szCs w:val="22"/>
                <w:lang w:val="ru-RU"/>
              </w:rPr>
              <w:t xml:space="preserve"> * (100 – </w:t>
            </w:r>
            <w:r w:rsidRPr="001C2B62">
              <w:rPr>
                <w:rFonts w:eastAsia="MS Mincho"/>
                <w:sz w:val="22"/>
                <w:szCs w:val="22"/>
                <w:lang w:val="en-GB"/>
              </w:rPr>
              <w:t>D</w:t>
            </w:r>
            <w:r w:rsidRPr="00EE4A11">
              <w:rPr>
                <w:rFonts w:eastAsia="MS Mincho"/>
                <w:sz w:val="22"/>
                <w:szCs w:val="22"/>
                <w:lang w:val="ru-RU"/>
              </w:rPr>
              <w:t xml:space="preserve">) : 100% – </w:t>
            </w:r>
            <w:r w:rsidRPr="001C2B62">
              <w:rPr>
                <w:rFonts w:eastAsia="MS Mincho"/>
                <w:sz w:val="22"/>
                <w:szCs w:val="22"/>
                <w:lang w:val="en-GB"/>
              </w:rPr>
              <w:t>T</w:t>
            </w:r>
          </w:p>
          <w:p w:rsidR="00EE4A11" w:rsidRDefault="00EE4A11" w:rsidP="00EE4A11">
            <w:pPr>
              <w:tabs>
                <w:tab w:val="left" w:pos="1260"/>
              </w:tabs>
              <w:jc w:val="both"/>
              <w:rPr>
                <w:rFonts w:eastAsia="MS Mincho"/>
                <w:lang w:val="ru-RU"/>
              </w:rPr>
            </w:pPr>
            <w:r>
              <w:rPr>
                <w:rFonts w:eastAsia="MS Mincho"/>
                <w:lang w:val="ru-RU"/>
              </w:rPr>
              <w:t>Где</w:t>
            </w:r>
          </w:p>
          <w:p w:rsidR="00876915" w:rsidRDefault="00EE4A11" w:rsidP="00EE4A11">
            <w:pPr>
              <w:tabs>
                <w:tab w:val="left" w:pos="1260"/>
              </w:tabs>
              <w:jc w:val="both"/>
              <w:rPr>
                <w:rFonts w:eastAsia="MS Mincho"/>
                <w:lang w:val="ru-RU"/>
              </w:rPr>
            </w:pPr>
            <w:r>
              <w:rPr>
                <w:rFonts w:eastAsia="MS Mincho"/>
              </w:rPr>
              <w:t>SP</w:t>
            </w:r>
            <w:r w:rsidRPr="00EE4A11">
              <w:rPr>
                <w:rFonts w:eastAsia="MS Mincho"/>
                <w:lang w:val="ru-RU"/>
              </w:rPr>
              <w:t xml:space="preserve">: </w:t>
            </w:r>
            <w:r>
              <w:rPr>
                <w:rFonts w:eastAsia="MS Mincho"/>
                <w:lang w:val="ru-RU"/>
              </w:rPr>
              <w:t xml:space="preserve">среднее значение индикаторов спотовых цен на урановые концентраты (в долларах США за фунт </w:t>
            </w:r>
            <w:r>
              <w:rPr>
                <w:rFonts w:eastAsia="MS Mincho"/>
              </w:rPr>
              <w:t>U</w:t>
            </w:r>
            <w:r w:rsidRPr="00EE4A11">
              <w:rPr>
                <w:rFonts w:eastAsia="MS Mincho"/>
                <w:lang w:val="ru-RU"/>
              </w:rPr>
              <w:t>3</w:t>
            </w:r>
            <w:r>
              <w:rPr>
                <w:rFonts w:eastAsia="MS Mincho"/>
              </w:rPr>
              <w:t>O</w:t>
            </w:r>
            <w:r w:rsidRPr="00EE4A11">
              <w:rPr>
                <w:rFonts w:eastAsia="MS Mincho"/>
                <w:lang w:val="ru-RU"/>
              </w:rPr>
              <w:t>8</w:t>
            </w:r>
            <w:r>
              <w:rPr>
                <w:rFonts w:eastAsia="MS Mincho"/>
                <w:lang w:val="ru-RU"/>
              </w:rPr>
              <w:t>) из официальных источников информации в день передачи права собственности Покупателю. Если показатели наличных цен на урановые концентраты с официальных источников информации не опубликованы в день передачи права собственности Покупателю,</w:t>
            </w:r>
            <w:r w:rsidR="00876915">
              <w:rPr>
                <w:rFonts w:eastAsia="MS Mincho"/>
                <w:lang w:val="ru-RU"/>
              </w:rPr>
              <w:t xml:space="preserve"> применяются последние опубликованные показатели с официальных источников.</w:t>
            </w:r>
          </w:p>
          <w:p w:rsidR="00876915" w:rsidRPr="00876915" w:rsidRDefault="00876915" w:rsidP="00EE4A11">
            <w:pPr>
              <w:tabs>
                <w:tab w:val="left" w:pos="1260"/>
              </w:tabs>
              <w:jc w:val="both"/>
              <w:rPr>
                <w:rFonts w:eastAsia="MS Mincho"/>
                <w:lang w:val="ru-RU"/>
              </w:rPr>
            </w:pPr>
            <w:r>
              <w:rPr>
                <w:rFonts w:eastAsia="MS Mincho"/>
              </w:rPr>
              <w:t>D</w:t>
            </w:r>
            <w:r w:rsidRPr="00876915">
              <w:rPr>
                <w:rFonts w:eastAsia="MS Mincho"/>
                <w:lang w:val="ru-RU"/>
              </w:rPr>
              <w:t>:</w:t>
            </w:r>
            <w:r>
              <w:rPr>
                <w:rFonts w:eastAsia="MS Mincho"/>
                <w:lang w:val="ru-RU"/>
              </w:rPr>
              <w:t xml:space="preserve"> Процентная скидка, предложенная Покупателю Продавцом, не превышающая 8%.</w:t>
            </w:r>
          </w:p>
          <w:p w:rsidR="00EE4A11" w:rsidRPr="00EE4A11" w:rsidRDefault="00876915" w:rsidP="00EE4A11">
            <w:pPr>
              <w:tabs>
                <w:tab w:val="left" w:pos="1260"/>
              </w:tabs>
              <w:jc w:val="both"/>
              <w:rPr>
                <w:rFonts w:eastAsia="MS Mincho"/>
                <w:lang w:val="ru-RU"/>
              </w:rPr>
            </w:pPr>
            <w:r>
              <w:rPr>
                <w:rFonts w:eastAsia="MS Mincho"/>
              </w:rPr>
              <w:lastRenderedPageBreak/>
              <w:t>T</w:t>
            </w:r>
            <w:r w:rsidRPr="00876915">
              <w:rPr>
                <w:rFonts w:eastAsia="MS Mincho"/>
                <w:lang w:val="ru-RU"/>
              </w:rPr>
              <w:t>:</w:t>
            </w:r>
            <w:r w:rsidR="00EE4A11">
              <w:rPr>
                <w:rFonts w:eastAsia="MS Mincho"/>
                <w:lang w:val="ru-RU"/>
              </w:rPr>
              <w:t xml:space="preserve"> </w:t>
            </w:r>
            <w:r>
              <w:rPr>
                <w:rFonts w:eastAsia="MS Mincho"/>
                <w:lang w:val="ru-RU"/>
              </w:rPr>
              <w:t>Разница – величина корректировки, применяемая для адаптации стоимости доставки или цены из официальных источников информации к сопоставимым экономическим условиям. Рассчитанная разница должна быть подтверждена документацией или официальными источниками информации.</w:t>
            </w:r>
          </w:p>
        </w:tc>
      </w:tr>
      <w:tr w:rsidR="00005471" w:rsidRPr="00E34369" w:rsidTr="009F1715">
        <w:tc>
          <w:tcPr>
            <w:tcW w:w="4933" w:type="dxa"/>
          </w:tcPr>
          <w:p w:rsidR="00005471" w:rsidRPr="001C2B62" w:rsidRDefault="00005471" w:rsidP="00C02CDF">
            <w:pPr>
              <w:kinsoku w:val="0"/>
              <w:overflowPunct w:val="0"/>
              <w:jc w:val="both"/>
              <w:rPr>
                <w:b/>
                <w:color w:val="000000"/>
                <w:sz w:val="22"/>
                <w:szCs w:val="22"/>
              </w:rPr>
            </w:pPr>
            <w:r w:rsidRPr="001C2B62">
              <w:rPr>
                <w:b/>
                <w:sz w:val="22"/>
                <w:szCs w:val="22"/>
              </w:rPr>
              <w:lastRenderedPageBreak/>
              <w:t xml:space="preserve">Scope and objectives of the module inspection. </w:t>
            </w:r>
            <w:r w:rsidRPr="001C2B62">
              <w:rPr>
                <w:b/>
                <w:bCs/>
                <w:sz w:val="22"/>
                <w:szCs w:val="22"/>
              </w:rPr>
              <w:t>Module sorting</w:t>
            </w:r>
          </w:p>
        </w:tc>
        <w:tc>
          <w:tcPr>
            <w:tcW w:w="4820" w:type="dxa"/>
          </w:tcPr>
          <w:p w:rsidR="00005471" w:rsidRPr="00876915" w:rsidRDefault="00876915" w:rsidP="00C02CDF">
            <w:pPr>
              <w:kinsoku w:val="0"/>
              <w:overflowPunct w:val="0"/>
              <w:autoSpaceDE w:val="0"/>
              <w:autoSpaceDN w:val="0"/>
              <w:adjustRightInd w:val="0"/>
              <w:spacing w:line="287" w:lineRule="exact"/>
              <w:rPr>
                <w:b/>
                <w:bCs/>
                <w:iCs/>
                <w:szCs w:val="28"/>
                <w:lang w:val="ru-RU"/>
              </w:rPr>
            </w:pPr>
            <w:r>
              <w:rPr>
                <w:b/>
                <w:bCs/>
                <w:iCs/>
                <w:szCs w:val="28"/>
                <w:lang w:val="ru-RU"/>
              </w:rPr>
              <w:t>Область</w:t>
            </w:r>
            <w:r w:rsidRPr="009B410A">
              <w:rPr>
                <w:b/>
                <w:bCs/>
                <w:iCs/>
                <w:szCs w:val="28"/>
                <w:lang w:val="ru-RU"/>
              </w:rPr>
              <w:t xml:space="preserve"> </w:t>
            </w:r>
            <w:r>
              <w:rPr>
                <w:b/>
                <w:bCs/>
                <w:iCs/>
                <w:szCs w:val="28"/>
                <w:lang w:val="ru-RU"/>
              </w:rPr>
              <w:t>охвата</w:t>
            </w:r>
            <w:r w:rsidRPr="009B410A">
              <w:rPr>
                <w:b/>
                <w:bCs/>
                <w:iCs/>
                <w:szCs w:val="28"/>
                <w:lang w:val="ru-RU"/>
              </w:rPr>
              <w:t xml:space="preserve"> </w:t>
            </w:r>
            <w:r>
              <w:rPr>
                <w:b/>
                <w:bCs/>
                <w:iCs/>
                <w:szCs w:val="28"/>
                <w:lang w:val="ru-RU"/>
              </w:rPr>
              <w:t>и</w:t>
            </w:r>
            <w:r w:rsidRPr="009B410A">
              <w:rPr>
                <w:b/>
                <w:bCs/>
                <w:iCs/>
                <w:szCs w:val="28"/>
                <w:lang w:val="ru-RU"/>
              </w:rPr>
              <w:t xml:space="preserve"> </w:t>
            </w:r>
            <w:r>
              <w:rPr>
                <w:b/>
                <w:bCs/>
                <w:iCs/>
                <w:szCs w:val="28"/>
                <w:lang w:val="ru-RU"/>
              </w:rPr>
              <w:t>задачи</w:t>
            </w:r>
            <w:r w:rsidRPr="009B410A">
              <w:rPr>
                <w:b/>
                <w:bCs/>
                <w:iCs/>
                <w:szCs w:val="28"/>
                <w:lang w:val="ru-RU"/>
              </w:rPr>
              <w:t xml:space="preserve"> </w:t>
            </w:r>
            <w:r>
              <w:rPr>
                <w:b/>
                <w:bCs/>
                <w:iCs/>
                <w:szCs w:val="28"/>
                <w:lang w:val="ru-RU"/>
              </w:rPr>
              <w:t>модульной</w:t>
            </w:r>
            <w:r w:rsidRPr="009B410A">
              <w:rPr>
                <w:b/>
                <w:bCs/>
                <w:iCs/>
                <w:szCs w:val="28"/>
                <w:lang w:val="ru-RU"/>
              </w:rPr>
              <w:t xml:space="preserve"> </w:t>
            </w:r>
            <w:r>
              <w:rPr>
                <w:b/>
                <w:bCs/>
                <w:iCs/>
                <w:szCs w:val="28"/>
                <w:lang w:val="ru-RU"/>
              </w:rPr>
              <w:t>проверки</w:t>
            </w:r>
            <w:r w:rsidRPr="009B410A">
              <w:rPr>
                <w:b/>
                <w:bCs/>
                <w:iCs/>
                <w:szCs w:val="28"/>
                <w:lang w:val="ru-RU"/>
              </w:rPr>
              <w:t xml:space="preserve">. </w:t>
            </w:r>
            <w:r>
              <w:rPr>
                <w:b/>
                <w:bCs/>
                <w:iCs/>
                <w:szCs w:val="28"/>
                <w:lang w:val="ru-RU"/>
              </w:rPr>
              <w:t>Сортировка модулей.</w:t>
            </w:r>
          </w:p>
        </w:tc>
      </w:tr>
      <w:tr w:rsidR="00005471" w:rsidRPr="009B410A" w:rsidTr="009F1715">
        <w:tc>
          <w:tcPr>
            <w:tcW w:w="4933" w:type="dxa"/>
          </w:tcPr>
          <w:p w:rsidR="00005471" w:rsidRPr="001C2B62" w:rsidRDefault="00005471" w:rsidP="00C02CDF">
            <w:pPr>
              <w:pStyle w:val="a4"/>
              <w:kinsoku w:val="0"/>
              <w:overflowPunct w:val="0"/>
              <w:spacing w:line="276" w:lineRule="auto"/>
              <w:ind w:right="112"/>
              <w:jc w:val="both"/>
              <w:rPr>
                <w:rFonts w:ascii="Times New Roman" w:hAnsi="Times New Roman" w:cs="Times New Roman"/>
                <w:lang w:val="en-US"/>
              </w:rPr>
            </w:pPr>
            <w:r w:rsidRPr="001C2B62">
              <w:rPr>
                <w:rFonts w:ascii="Times New Roman" w:hAnsi="Times New Roman" w:cs="Times New Roman"/>
                <w:lang w:val="en-US"/>
              </w:rPr>
              <w:t>Modules are the most critical sub-component of the PV plant that guarantees the energy production of the PV plant for the whole project duration. The project under consideration has a total capacity of 12MWp and will use two different batches of modules of 6 MWp each, one with a peak power between 220 and 240 Wp and the other one with a peak power between 250 and 280 Wp. The module quality inspection has to be done on both types of modules and has been performed on the first batch of modules between 220 and 240 Wp.</w:t>
            </w:r>
          </w:p>
          <w:p w:rsidR="00005471" w:rsidRPr="001C2B62" w:rsidRDefault="00005471" w:rsidP="00C02CDF">
            <w:pPr>
              <w:pStyle w:val="a4"/>
              <w:kinsoku w:val="0"/>
              <w:overflowPunct w:val="0"/>
              <w:spacing w:line="276" w:lineRule="auto"/>
              <w:ind w:right="112"/>
              <w:jc w:val="both"/>
              <w:rPr>
                <w:rFonts w:ascii="Times New Roman" w:hAnsi="Times New Roman" w:cs="Times New Roman"/>
                <w:lang w:val="en-US"/>
              </w:rPr>
            </w:pPr>
          </w:p>
          <w:p w:rsidR="00005471" w:rsidRPr="001C2B62" w:rsidRDefault="00005471" w:rsidP="00C02CDF">
            <w:pPr>
              <w:pStyle w:val="a4"/>
              <w:kinsoku w:val="0"/>
              <w:overflowPunct w:val="0"/>
              <w:spacing w:line="276" w:lineRule="auto"/>
              <w:ind w:right="112"/>
              <w:jc w:val="both"/>
              <w:rPr>
                <w:rFonts w:ascii="Times New Roman" w:hAnsi="Times New Roman" w:cs="Times New Roman"/>
                <w:lang w:val="en-US"/>
              </w:rPr>
            </w:pPr>
            <w:r w:rsidRPr="001C2B62">
              <w:rPr>
                <w:rFonts w:ascii="Times New Roman" w:hAnsi="Times New Roman" w:cs="Times New Roman"/>
                <w:lang w:val="en-US"/>
              </w:rPr>
              <w:t>When connected in the string, modules with different peak power values can cause power mismatch in the string. Practically the production of the string is aligned on the module with the lowest peak power and based on Urbasolar experience, power losses are expected to be 5% to 10% lower if one 220 Wp module is connected in series with 240 Wp modules in the same string.</w:t>
            </w:r>
          </w:p>
          <w:p w:rsidR="00005471" w:rsidRPr="001C2B62" w:rsidRDefault="00005471" w:rsidP="00C02CDF">
            <w:pPr>
              <w:kinsoku w:val="0"/>
              <w:overflowPunct w:val="0"/>
              <w:spacing w:before="1" w:line="280" w:lineRule="exact"/>
              <w:jc w:val="both"/>
              <w:rPr>
                <w:sz w:val="22"/>
                <w:szCs w:val="22"/>
              </w:rPr>
            </w:pPr>
          </w:p>
          <w:p w:rsidR="00005471" w:rsidRPr="001C2B62" w:rsidRDefault="00005471" w:rsidP="00C02CDF">
            <w:pPr>
              <w:pStyle w:val="a4"/>
              <w:kinsoku w:val="0"/>
              <w:overflowPunct w:val="0"/>
              <w:spacing w:line="276" w:lineRule="auto"/>
              <w:ind w:right="109"/>
              <w:jc w:val="both"/>
              <w:rPr>
                <w:rFonts w:ascii="Times New Roman" w:hAnsi="Times New Roman" w:cs="Times New Roman"/>
                <w:lang w:val="en-US"/>
              </w:rPr>
            </w:pPr>
            <w:r w:rsidRPr="001C2B62">
              <w:rPr>
                <w:rFonts w:ascii="Times New Roman" w:hAnsi="Times New Roman" w:cs="Times New Roman"/>
                <w:lang w:val="en-US"/>
              </w:rPr>
              <w:t>Therefore, it is requested that modules be sorted and packaged by peak power brackets of 5 Wp (220-225, 225- 230, 230-235, 235-240 and &gt;240 Wp) so that the PV plant design be optimized and so as to avoid handling of modules on site during the construction works.</w:t>
            </w:r>
          </w:p>
        </w:tc>
        <w:tc>
          <w:tcPr>
            <w:tcW w:w="4820" w:type="dxa"/>
          </w:tcPr>
          <w:p w:rsidR="00D9377C" w:rsidRDefault="00876915" w:rsidP="00C02CDF">
            <w:pPr>
              <w:kinsoku w:val="0"/>
              <w:overflowPunct w:val="0"/>
              <w:autoSpaceDE w:val="0"/>
              <w:autoSpaceDN w:val="0"/>
              <w:adjustRightInd w:val="0"/>
              <w:spacing w:line="287" w:lineRule="exact"/>
              <w:jc w:val="both"/>
              <w:rPr>
                <w:bCs/>
                <w:iCs/>
                <w:szCs w:val="28"/>
                <w:lang w:val="uk-UA"/>
              </w:rPr>
            </w:pPr>
            <w:r>
              <w:rPr>
                <w:bCs/>
                <w:iCs/>
                <w:szCs w:val="28"/>
                <w:lang w:val="ru-RU"/>
              </w:rPr>
              <w:t>Модули являются наиболее важным</w:t>
            </w:r>
            <w:r w:rsidRPr="00876915">
              <w:rPr>
                <w:bCs/>
                <w:iCs/>
                <w:szCs w:val="28"/>
                <w:lang w:val="ru-RU"/>
              </w:rPr>
              <w:t xml:space="preserve"> </w:t>
            </w:r>
            <w:r>
              <w:rPr>
                <w:bCs/>
                <w:iCs/>
                <w:szCs w:val="28"/>
                <w:lang w:val="ru-RU"/>
              </w:rPr>
              <w:t>субкомпонентом фотоэлектрической станции</w:t>
            </w:r>
            <w:r w:rsidR="00D9377C">
              <w:rPr>
                <w:bCs/>
                <w:iCs/>
                <w:szCs w:val="28"/>
                <w:lang w:val="ru-RU"/>
              </w:rPr>
              <w:t>, гарантирующим производство энергии на протяжении всего проекта. Мощность рассматриваемого проекта составляет 12 МВт с использованием двух разных партий модулей мощностью 6 МВт каждая. Пиковая мощность одной составляет от 220 до 240 Вт</w:t>
            </w:r>
            <w:r w:rsidR="00D9377C">
              <w:rPr>
                <w:bCs/>
                <w:iCs/>
                <w:szCs w:val="28"/>
                <w:lang w:val="uk-UA"/>
              </w:rPr>
              <w:t>, а другой – от 250 до 280 Вт. Проверка качества должна выполняться на обоих типах модулей, и была проведена на первой партии модулей мощностью от 220 до 240 Вт.</w:t>
            </w:r>
          </w:p>
          <w:p w:rsidR="00005471" w:rsidRDefault="00D9377C" w:rsidP="00C02CDF">
            <w:pPr>
              <w:kinsoku w:val="0"/>
              <w:overflowPunct w:val="0"/>
              <w:autoSpaceDE w:val="0"/>
              <w:autoSpaceDN w:val="0"/>
              <w:adjustRightInd w:val="0"/>
              <w:spacing w:line="287" w:lineRule="exact"/>
              <w:jc w:val="both"/>
              <w:rPr>
                <w:bCs/>
                <w:iCs/>
                <w:szCs w:val="28"/>
                <w:lang w:val="uk-UA"/>
              </w:rPr>
            </w:pPr>
            <w:r>
              <w:rPr>
                <w:bCs/>
                <w:iCs/>
                <w:szCs w:val="28"/>
                <w:lang w:val="uk-UA"/>
              </w:rPr>
              <w:t xml:space="preserve"> </w:t>
            </w:r>
          </w:p>
          <w:p w:rsidR="00D9377C" w:rsidRDefault="00D9377C" w:rsidP="001C05C1">
            <w:pPr>
              <w:kinsoku w:val="0"/>
              <w:overflowPunct w:val="0"/>
              <w:autoSpaceDE w:val="0"/>
              <w:autoSpaceDN w:val="0"/>
              <w:adjustRightInd w:val="0"/>
              <w:spacing w:line="287" w:lineRule="exact"/>
              <w:jc w:val="both"/>
              <w:rPr>
                <w:bCs/>
                <w:iCs/>
                <w:szCs w:val="28"/>
                <w:lang w:val="ru-RU"/>
              </w:rPr>
            </w:pPr>
            <w:r>
              <w:rPr>
                <w:bCs/>
                <w:iCs/>
                <w:szCs w:val="28"/>
                <w:lang w:val="uk-UA"/>
              </w:rPr>
              <w:t xml:space="preserve">При подключении в цепь модули с разными значениями пиковой мощности могут привести к несоответсвию мощности в цепи. Практически, производство цепи </w:t>
            </w:r>
            <w:r w:rsidR="001C05C1">
              <w:rPr>
                <w:bCs/>
                <w:iCs/>
                <w:szCs w:val="28"/>
                <w:lang w:val="ru-RU"/>
              </w:rPr>
              <w:t xml:space="preserve">проводится по модулю с самой низкой пиковой мощностью, и базируется на опыте </w:t>
            </w:r>
            <w:r w:rsidR="001C05C1">
              <w:rPr>
                <w:bCs/>
                <w:iCs/>
                <w:szCs w:val="28"/>
              </w:rPr>
              <w:t>Urbasolar</w:t>
            </w:r>
            <w:r w:rsidR="001C05C1">
              <w:rPr>
                <w:bCs/>
                <w:iCs/>
                <w:szCs w:val="28"/>
                <w:lang w:val="ru-RU"/>
              </w:rPr>
              <w:t xml:space="preserve">. Ожидается, что потери мощности будут на 5-10% ниже, если модуль на 220 Вт подключить последовательно с модулями на 240 Вт в одной цепи. </w:t>
            </w:r>
          </w:p>
          <w:p w:rsidR="001C05C1" w:rsidRPr="001C05C1" w:rsidRDefault="001C05C1" w:rsidP="001C05C1">
            <w:pPr>
              <w:kinsoku w:val="0"/>
              <w:overflowPunct w:val="0"/>
              <w:autoSpaceDE w:val="0"/>
              <w:autoSpaceDN w:val="0"/>
              <w:adjustRightInd w:val="0"/>
              <w:spacing w:line="287" w:lineRule="exact"/>
              <w:jc w:val="both"/>
              <w:rPr>
                <w:bCs/>
                <w:iCs/>
                <w:szCs w:val="28"/>
                <w:lang w:val="ru-RU"/>
              </w:rPr>
            </w:pPr>
            <w:r>
              <w:rPr>
                <w:bCs/>
                <w:iCs/>
                <w:szCs w:val="28"/>
                <w:lang w:val="ru-RU"/>
              </w:rPr>
              <w:t xml:space="preserve">По этой причине предложено сортировать и упаковывать модули по группам пиковой мощности в 5 Вт (220-225, 225-230, 230-235, 235-240 и </w:t>
            </w:r>
            <w:r w:rsidRPr="001C05C1">
              <w:rPr>
                <w:lang w:val="ru-RU"/>
              </w:rPr>
              <w:t>&gt;240</w:t>
            </w:r>
            <w:r>
              <w:rPr>
                <w:lang w:val="ru-RU"/>
              </w:rPr>
              <w:t xml:space="preserve"> Вт</w:t>
            </w:r>
            <w:r>
              <w:rPr>
                <w:bCs/>
                <w:iCs/>
                <w:szCs w:val="28"/>
                <w:lang w:val="ru-RU"/>
              </w:rPr>
              <w:t xml:space="preserve">), чтобы оптимизировать конструкцию фотоэлектрической установки и избежать </w:t>
            </w:r>
            <w:r w:rsidR="00F9648C">
              <w:rPr>
                <w:bCs/>
                <w:iCs/>
                <w:szCs w:val="28"/>
                <w:lang w:val="ru-RU"/>
              </w:rPr>
              <w:t>нахождения модулей на месте во время строительства.</w:t>
            </w:r>
          </w:p>
        </w:tc>
      </w:tr>
    </w:tbl>
    <w:p w:rsidR="00DD3A6E" w:rsidRPr="00876915" w:rsidRDefault="00DD3A6E" w:rsidP="007F4BD2">
      <w:pPr>
        <w:jc w:val="center"/>
        <w:rPr>
          <w:b/>
          <w:sz w:val="28"/>
          <w:szCs w:val="28"/>
          <w:lang w:val="ru-RU"/>
        </w:rPr>
      </w:pPr>
    </w:p>
    <w:sectPr w:rsidR="00DD3A6E" w:rsidRPr="008769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CCA" w:rsidRDefault="00617CCA" w:rsidP="001C2B62">
      <w:r>
        <w:separator/>
      </w:r>
    </w:p>
  </w:endnote>
  <w:endnote w:type="continuationSeparator" w:id="0">
    <w:p w:rsidR="00617CCA" w:rsidRDefault="00617CCA" w:rsidP="001C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CCA" w:rsidRDefault="00617CCA" w:rsidP="001C2B62">
      <w:r>
        <w:separator/>
      </w:r>
    </w:p>
  </w:footnote>
  <w:footnote w:type="continuationSeparator" w:id="0">
    <w:p w:rsidR="00617CCA" w:rsidRDefault="00617CCA" w:rsidP="001C2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D1DBA"/>
    <w:multiLevelType w:val="hybridMultilevel"/>
    <w:tmpl w:val="38EC0A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254480"/>
    <w:multiLevelType w:val="hybridMultilevel"/>
    <w:tmpl w:val="4E98AD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1F"/>
    <w:rsid w:val="00005471"/>
    <w:rsid w:val="00131351"/>
    <w:rsid w:val="00144BF1"/>
    <w:rsid w:val="001651F6"/>
    <w:rsid w:val="001C05C1"/>
    <w:rsid w:val="001C2B62"/>
    <w:rsid w:val="002F0302"/>
    <w:rsid w:val="0045306D"/>
    <w:rsid w:val="004D0FB9"/>
    <w:rsid w:val="00552B8C"/>
    <w:rsid w:val="00580A1E"/>
    <w:rsid w:val="005B7D07"/>
    <w:rsid w:val="00617CCA"/>
    <w:rsid w:val="007A1ACC"/>
    <w:rsid w:val="007C678F"/>
    <w:rsid w:val="007F4BD2"/>
    <w:rsid w:val="00876915"/>
    <w:rsid w:val="00884E5D"/>
    <w:rsid w:val="008E3A2C"/>
    <w:rsid w:val="009B410A"/>
    <w:rsid w:val="009E4678"/>
    <w:rsid w:val="009F1715"/>
    <w:rsid w:val="00BE2AE5"/>
    <w:rsid w:val="00D0641F"/>
    <w:rsid w:val="00D85DA0"/>
    <w:rsid w:val="00D9377C"/>
    <w:rsid w:val="00DB0106"/>
    <w:rsid w:val="00DD3A6E"/>
    <w:rsid w:val="00EE4A11"/>
    <w:rsid w:val="00F91585"/>
    <w:rsid w:val="00F9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7E697-3400-4AE5-9F7D-EF68969F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D2"/>
    <w:pPr>
      <w:suppressAutoHyphens/>
      <w:spacing w:after="0" w:line="240" w:lineRule="auto"/>
    </w:pPr>
    <w:rPr>
      <w:rFonts w:ascii="Times New Roman" w:eastAsia="Times New Roman" w:hAnsi="Times New Roman" w:cs="Times New Roman"/>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BD2"/>
    <w:pPr>
      <w:suppressAutoHyphens w:val="0"/>
      <w:spacing w:after="200" w:line="276" w:lineRule="auto"/>
      <w:ind w:left="720"/>
      <w:contextualSpacing/>
    </w:pPr>
    <w:rPr>
      <w:rFonts w:ascii="Calibri" w:eastAsia="Calibri" w:hAnsi="Calibri"/>
      <w:sz w:val="22"/>
      <w:szCs w:val="22"/>
      <w:lang w:val="ru-RU" w:eastAsia="en-US"/>
    </w:rPr>
  </w:style>
  <w:style w:type="paragraph" w:styleId="a4">
    <w:name w:val="Body Text"/>
    <w:basedOn w:val="a"/>
    <w:link w:val="a5"/>
    <w:uiPriority w:val="1"/>
    <w:qFormat/>
    <w:rsid w:val="00005471"/>
    <w:pPr>
      <w:suppressAutoHyphens w:val="0"/>
      <w:autoSpaceDE w:val="0"/>
      <w:autoSpaceDN w:val="0"/>
      <w:adjustRightInd w:val="0"/>
      <w:ind w:left="40"/>
    </w:pPr>
    <w:rPr>
      <w:rFonts w:ascii="Arial" w:eastAsiaTheme="minorHAnsi" w:hAnsi="Arial" w:cs="Arial"/>
      <w:sz w:val="22"/>
      <w:szCs w:val="22"/>
      <w:lang w:val="ru-RU" w:eastAsia="en-US"/>
    </w:rPr>
  </w:style>
  <w:style w:type="character" w:customStyle="1" w:styleId="a5">
    <w:name w:val="Основной текст Знак"/>
    <w:basedOn w:val="a0"/>
    <w:link w:val="a4"/>
    <w:uiPriority w:val="1"/>
    <w:rsid w:val="00005471"/>
    <w:rPr>
      <w:rFonts w:ascii="Arial" w:hAnsi="Arial" w:cs="Arial"/>
    </w:rPr>
  </w:style>
  <w:style w:type="table" w:styleId="a6">
    <w:name w:val="Table Grid"/>
    <w:basedOn w:val="a1"/>
    <w:uiPriority w:val="39"/>
    <w:rsid w:val="00005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C2B62"/>
    <w:pPr>
      <w:tabs>
        <w:tab w:val="center" w:pos="4677"/>
        <w:tab w:val="right" w:pos="9355"/>
      </w:tabs>
    </w:pPr>
  </w:style>
  <w:style w:type="character" w:customStyle="1" w:styleId="a8">
    <w:name w:val="Верхний колонтитул Знак"/>
    <w:basedOn w:val="a0"/>
    <w:link w:val="a7"/>
    <w:uiPriority w:val="99"/>
    <w:rsid w:val="001C2B62"/>
    <w:rPr>
      <w:rFonts w:ascii="Times New Roman" w:eastAsia="Times New Roman" w:hAnsi="Times New Roman" w:cs="Times New Roman"/>
      <w:sz w:val="24"/>
      <w:szCs w:val="24"/>
      <w:lang w:val="en-US" w:eastAsia="ar-SA"/>
    </w:rPr>
  </w:style>
  <w:style w:type="paragraph" w:styleId="a9">
    <w:name w:val="footer"/>
    <w:basedOn w:val="a"/>
    <w:link w:val="aa"/>
    <w:uiPriority w:val="99"/>
    <w:unhideWhenUsed/>
    <w:rsid w:val="001C2B62"/>
    <w:pPr>
      <w:tabs>
        <w:tab w:val="center" w:pos="4677"/>
        <w:tab w:val="right" w:pos="9355"/>
      </w:tabs>
    </w:pPr>
  </w:style>
  <w:style w:type="character" w:customStyle="1" w:styleId="aa">
    <w:name w:val="Нижний колонтитул Знак"/>
    <w:basedOn w:val="a0"/>
    <w:link w:val="a9"/>
    <w:uiPriority w:val="99"/>
    <w:rsid w:val="001C2B62"/>
    <w:rPr>
      <w:rFonts w:ascii="Times New Roman" w:eastAsia="Times New Roman" w:hAnsi="Times New Roman" w:cs="Times New Roman"/>
      <w:sz w:val="24"/>
      <w:szCs w:val="24"/>
      <w:lang w:val="en-US" w:eastAsia="ar-SA"/>
    </w:rPr>
  </w:style>
  <w:style w:type="paragraph" w:styleId="ab">
    <w:name w:val="footnote text"/>
    <w:basedOn w:val="a"/>
    <w:link w:val="ac"/>
    <w:uiPriority w:val="99"/>
    <w:semiHidden/>
    <w:unhideWhenUsed/>
    <w:rsid w:val="00DB0106"/>
    <w:rPr>
      <w:sz w:val="20"/>
      <w:szCs w:val="20"/>
    </w:rPr>
  </w:style>
  <w:style w:type="character" w:customStyle="1" w:styleId="ac">
    <w:name w:val="Текст сноски Знак"/>
    <w:basedOn w:val="a0"/>
    <w:link w:val="ab"/>
    <w:uiPriority w:val="99"/>
    <w:semiHidden/>
    <w:rsid w:val="00DB0106"/>
    <w:rPr>
      <w:rFonts w:ascii="Times New Roman" w:eastAsia="Times New Roman" w:hAnsi="Times New Roman" w:cs="Times New Roman"/>
      <w:sz w:val="20"/>
      <w:szCs w:val="20"/>
      <w:lang w:val="en-US" w:eastAsia="ar-SA"/>
    </w:rPr>
  </w:style>
  <w:style w:type="character" w:styleId="ad">
    <w:name w:val="footnote reference"/>
    <w:basedOn w:val="a0"/>
    <w:uiPriority w:val="99"/>
    <w:semiHidden/>
    <w:unhideWhenUsed/>
    <w:rsid w:val="00DB01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15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9FB68-8B69-445B-AEF0-2A9B7605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892</Words>
  <Characters>5091</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Алексей</cp:lastModifiedBy>
  <cp:revision>22</cp:revision>
  <dcterms:created xsi:type="dcterms:W3CDTF">2017-04-20T09:30:00Z</dcterms:created>
  <dcterms:modified xsi:type="dcterms:W3CDTF">2020-01-19T09:55:00Z</dcterms:modified>
</cp:coreProperties>
</file>