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F81A12" w:rsidP="00F81A12">
      <w:pPr>
        <w:spacing w:after="0" w:line="360" w:lineRule="auto"/>
        <w:ind w:firstLine="851"/>
        <w:jc w:val="both"/>
        <w:rPr>
          <w:rFonts w:ascii="Times New Roman" w:hAnsi="Times New Roman" w:cs="Times New Roman"/>
          <w:b/>
          <w:sz w:val="28"/>
          <w:szCs w:val="28"/>
        </w:rPr>
      </w:pPr>
      <w:r w:rsidRPr="00F81A12">
        <w:rPr>
          <w:rFonts w:ascii="Times New Roman" w:hAnsi="Times New Roman" w:cs="Times New Roman"/>
          <w:b/>
          <w:sz w:val="28"/>
          <w:szCs w:val="28"/>
        </w:rPr>
        <w:t>Модернізація державної регуляторної політики в аграрному секторі економіки України</w:t>
      </w:r>
    </w:p>
    <w:p w:rsidR="00F81A12" w:rsidRDefault="00F81A12" w:rsidP="00F81A12">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F81A12" w:rsidRDefault="00F81A12" w:rsidP="00F81A12">
      <w:pPr>
        <w:spacing w:after="0" w:line="240" w:lineRule="auto"/>
        <w:ind w:firstLine="851"/>
        <w:jc w:val="both"/>
        <w:rPr>
          <w:rFonts w:ascii="Times New Roman" w:hAnsi="Times New Roman" w:cs="Times New Roman"/>
          <w:sz w:val="28"/>
          <w:szCs w:val="28"/>
        </w:rPr>
      </w:pPr>
      <w:r w:rsidRPr="00F81A12">
        <w:rPr>
          <w:rFonts w:ascii="Times New Roman" w:hAnsi="Times New Roman" w:cs="Times New Roman"/>
          <w:sz w:val="28"/>
          <w:szCs w:val="28"/>
        </w:rPr>
        <w:t>Україна вживає відповідних заходів для досягнення важливого державного пріоритету – стати повноправним і активним учасником глобальних прибуткових процесів. Про це яскраво свідчить прийняття Угоди про асоціацію між Україною та Європейським Союзом (далі – Угода про асоціацію), де питанню співпраці в аграрному секторі важливе місце відведено економності та розвитку скотарських територій. Оцінюючи надсучасні виклики, стає дедалі кричущим те, що для України євроінтеграція окреслюється як визначальний фактор успіху у прибутковій, соціальній, екологічній та інших сферах співробітництва та на глобальному просторі.</w:t>
      </w:r>
    </w:p>
    <w:p w:rsidR="00F81A12" w:rsidRDefault="00F81A12" w:rsidP="00F81A12">
      <w:pPr>
        <w:spacing w:after="0" w:line="240" w:lineRule="auto"/>
        <w:ind w:firstLine="851"/>
        <w:jc w:val="both"/>
        <w:rPr>
          <w:rFonts w:ascii="Times New Roman" w:hAnsi="Times New Roman"/>
          <w:sz w:val="28"/>
          <w:szCs w:val="28"/>
        </w:rPr>
      </w:pPr>
      <w:r>
        <w:rPr>
          <w:rFonts w:ascii="Times New Roman" w:hAnsi="Times New Roman" w:cs="Times New Roman"/>
          <w:sz w:val="28"/>
          <w:szCs w:val="28"/>
        </w:rPr>
        <w:t>Тому метою</w:t>
      </w:r>
      <w:r w:rsidRPr="00542BFA">
        <w:rPr>
          <w:rFonts w:ascii="Times New Roman" w:hAnsi="Times New Roman"/>
          <w:sz w:val="28"/>
          <w:szCs w:val="28"/>
        </w:rPr>
        <w:t xml:space="preserve"> </w:t>
      </w:r>
      <w:r w:rsidRPr="003D5BB3">
        <w:rPr>
          <w:rFonts w:ascii="Times New Roman" w:hAnsi="Times New Roman"/>
          <w:sz w:val="28"/>
          <w:szCs w:val="28"/>
        </w:rPr>
        <w:t>статті</w:t>
      </w:r>
      <w:r>
        <w:rPr>
          <w:rFonts w:ascii="Times New Roman" w:hAnsi="Times New Roman"/>
          <w:b/>
          <w:sz w:val="28"/>
          <w:szCs w:val="28"/>
        </w:rPr>
        <w:t xml:space="preserve"> </w:t>
      </w:r>
      <w:r>
        <w:rPr>
          <w:rFonts w:ascii="Times New Roman" w:hAnsi="Times New Roman"/>
          <w:sz w:val="28"/>
          <w:szCs w:val="28"/>
        </w:rPr>
        <w:t>стало</w:t>
      </w:r>
      <w:r>
        <w:rPr>
          <w:rFonts w:ascii="Times New Roman" w:hAnsi="Times New Roman"/>
          <w:sz w:val="28"/>
          <w:szCs w:val="28"/>
        </w:rPr>
        <w:t xml:space="preserve"> визначення</w:t>
      </w:r>
      <w:r w:rsidRPr="00F81A12">
        <w:rPr>
          <w:rFonts w:ascii="Times New Roman" w:hAnsi="Times New Roman"/>
          <w:sz w:val="28"/>
          <w:szCs w:val="28"/>
        </w:rPr>
        <w:t xml:space="preserve"> суч</w:t>
      </w:r>
      <w:r>
        <w:rPr>
          <w:rFonts w:ascii="Times New Roman" w:hAnsi="Times New Roman"/>
          <w:sz w:val="28"/>
          <w:szCs w:val="28"/>
        </w:rPr>
        <w:t>асні проблеми та обґрунтувати першочергові</w:t>
      </w:r>
      <w:r w:rsidRPr="00F81A12">
        <w:rPr>
          <w:rFonts w:ascii="Times New Roman" w:hAnsi="Times New Roman"/>
          <w:sz w:val="28"/>
          <w:szCs w:val="28"/>
        </w:rPr>
        <w:t xml:space="preserve"> заходи для ефективного розвитку інтеграційних процесів стосовно аграрного сектору України з Європейським Союзом.</w:t>
      </w:r>
    </w:p>
    <w:p w:rsidR="00F81A12" w:rsidRDefault="00F81A12" w:rsidP="00F81A12">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Pr>
          <w:rFonts w:ascii="Times New Roman" w:hAnsi="Times New Roman"/>
          <w:sz w:val="28"/>
          <w:szCs w:val="28"/>
        </w:rPr>
        <w:t xml:space="preserve">. </w:t>
      </w:r>
      <w:r w:rsidRPr="00F81A12">
        <w:rPr>
          <w:rFonts w:ascii="Times New Roman" w:hAnsi="Times New Roman"/>
          <w:sz w:val="28"/>
          <w:szCs w:val="28"/>
        </w:rPr>
        <w:t xml:space="preserve">Використано </w:t>
      </w:r>
      <w:r>
        <w:rPr>
          <w:rFonts w:ascii="Times New Roman" w:hAnsi="Times New Roman"/>
          <w:sz w:val="28"/>
          <w:szCs w:val="28"/>
        </w:rPr>
        <w:t xml:space="preserve">також </w:t>
      </w:r>
      <w:r w:rsidRPr="00F81A12">
        <w:rPr>
          <w:rFonts w:ascii="Times New Roman" w:hAnsi="Times New Roman"/>
          <w:sz w:val="28"/>
          <w:szCs w:val="28"/>
        </w:rPr>
        <w:t>діалектичний метод наукового пізнання процесів і явищ, порівняльного аналізу інституціонального середовища в Європейському Союзі та Україні, аналітичний – для об’єктивних оцінок соціально-економічних процесів в аграрному секторі України.</w:t>
      </w:r>
    </w:p>
    <w:p w:rsidR="00F81A12" w:rsidRDefault="00F81A12" w:rsidP="00F81A12">
      <w:pPr>
        <w:spacing w:after="0" w:line="240" w:lineRule="auto"/>
        <w:ind w:firstLine="851"/>
        <w:jc w:val="both"/>
        <w:rPr>
          <w:rFonts w:ascii="Times New Roman" w:hAnsi="Times New Roman" w:cs="Times New Roman"/>
          <w:sz w:val="28"/>
          <w:szCs w:val="28"/>
        </w:rPr>
      </w:pPr>
      <w:r w:rsidRPr="00F81A12">
        <w:rPr>
          <w:rFonts w:ascii="Times New Roman" w:hAnsi="Times New Roman" w:cs="Times New Roman"/>
          <w:sz w:val="28"/>
          <w:szCs w:val="28"/>
        </w:rPr>
        <w:t>Обґрунтовано заходи щодо ефективного розвитку інтеграційних процесів аграрного сектору України до умов Європейського Союзу, доцільність підготовки та закріплення цілісної державної аграрної політики України в чинному законодавчому акті із закінченням узгодження з доведено чинне законодавство та ненаглядові механізми Європейського Союзу, а також удосконалення системи державного управління аграрним сектором. України та пов’язаний з нею розвиток скотарських територій.</w:t>
      </w:r>
    </w:p>
    <w:p w:rsidR="00F81A12" w:rsidRDefault="00F81A12" w:rsidP="00F81A12">
      <w:pPr>
        <w:spacing w:after="0" w:line="240" w:lineRule="auto"/>
        <w:ind w:firstLine="851"/>
        <w:jc w:val="both"/>
        <w:rPr>
          <w:rFonts w:ascii="Times New Roman" w:hAnsi="Times New Roman" w:cs="Times New Roman"/>
          <w:sz w:val="28"/>
          <w:szCs w:val="28"/>
        </w:rPr>
      </w:pPr>
    </w:p>
    <w:p w:rsidR="00F81A12" w:rsidRDefault="00F81A12" w:rsidP="00F81A12">
      <w:pPr>
        <w:spacing w:after="0" w:line="240" w:lineRule="auto"/>
        <w:ind w:firstLine="851"/>
        <w:jc w:val="both"/>
        <w:rPr>
          <w:rFonts w:ascii="Times New Roman" w:hAnsi="Times New Roman"/>
          <w:sz w:val="28"/>
          <w:szCs w:val="28"/>
        </w:rPr>
      </w:pPr>
      <w:r w:rsidRPr="003B3AC0">
        <w:rPr>
          <w:rFonts w:ascii="Times New Roman" w:hAnsi="Times New Roman"/>
          <w:b/>
          <w:sz w:val="28"/>
          <w:szCs w:val="28"/>
        </w:rPr>
        <w:t>Ключові слова:</w:t>
      </w:r>
      <w:r w:rsidRPr="00F81A12">
        <w:t xml:space="preserve"> </w:t>
      </w:r>
      <w:r w:rsidRPr="00F81A12">
        <w:rPr>
          <w:rFonts w:ascii="Times New Roman" w:hAnsi="Times New Roman"/>
          <w:sz w:val="28"/>
          <w:szCs w:val="28"/>
        </w:rPr>
        <w:t>інтеграція;</w:t>
      </w:r>
      <w:r>
        <w:rPr>
          <w:rFonts w:ascii="Times New Roman" w:hAnsi="Times New Roman"/>
          <w:sz w:val="28"/>
          <w:szCs w:val="28"/>
        </w:rPr>
        <w:t xml:space="preserve"> євроасоціація;</w:t>
      </w:r>
      <w:r w:rsidRPr="00F81A12">
        <w:rPr>
          <w:rFonts w:ascii="Times New Roman" w:hAnsi="Times New Roman"/>
          <w:sz w:val="28"/>
          <w:szCs w:val="28"/>
        </w:rPr>
        <w:t xml:space="preserve"> державна аграрна політика; інституції; сільські території; зона вільної торгівлі; </w:t>
      </w:r>
      <w:r w:rsidR="002D5702" w:rsidRPr="00F81A12">
        <w:rPr>
          <w:rFonts w:ascii="Times New Roman" w:hAnsi="Times New Roman"/>
          <w:sz w:val="28"/>
          <w:szCs w:val="28"/>
        </w:rPr>
        <w:t xml:space="preserve">аграрний сектор; </w:t>
      </w:r>
      <w:r w:rsidR="002D5702">
        <w:rPr>
          <w:rFonts w:ascii="Times New Roman" w:hAnsi="Times New Roman"/>
          <w:sz w:val="28"/>
          <w:szCs w:val="28"/>
        </w:rPr>
        <w:t xml:space="preserve"> </w:t>
      </w:r>
      <w:r w:rsidRPr="00F81A12">
        <w:rPr>
          <w:rFonts w:ascii="Times New Roman" w:hAnsi="Times New Roman"/>
          <w:sz w:val="28"/>
          <w:szCs w:val="28"/>
        </w:rPr>
        <w:t>експорт; імпорт.</w:t>
      </w:r>
    </w:p>
    <w:p w:rsidR="002D5702" w:rsidRDefault="002D5702" w:rsidP="00F81A12">
      <w:pPr>
        <w:spacing w:after="0" w:line="240" w:lineRule="auto"/>
        <w:ind w:firstLine="851"/>
        <w:jc w:val="both"/>
        <w:rPr>
          <w:rFonts w:ascii="Times New Roman" w:hAnsi="Times New Roman" w:cs="Times New Roman"/>
          <w:sz w:val="28"/>
          <w:szCs w:val="28"/>
        </w:rPr>
      </w:pPr>
    </w:p>
    <w:p w:rsidR="002D5702" w:rsidRDefault="002D5702" w:rsidP="00F81A12">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2D5702"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 xml:space="preserve">Адаптація України до визначених Угодою умов співробітництва з Європейським Союзом у аграрній сфері вважається складним і довготривалим процесом. але це, без недовіри, буде важливим чинником для подальшої модернізації вітчизняного аграрного господарства на загальноприйнятих принципах глобального запиту, посилення інтеграційних процесів та ґрунтуючись на спільних інтересах і цінностях. </w:t>
      </w:r>
    </w:p>
    <w:p w:rsidR="002D5702" w:rsidRPr="00455190"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 xml:space="preserve">Важливою передумовою ефективної участі України у світових інтеграційних процесах є досягнення суб’єктами транснаціональних прибуткових відносин колективного розуміння державних програм, піднесене публічними законодавчими актами, володіння необхідними </w:t>
      </w:r>
      <w:r w:rsidRPr="002D5702">
        <w:rPr>
          <w:rFonts w:ascii="Times New Roman" w:hAnsi="Times New Roman" w:cs="Times New Roman"/>
          <w:sz w:val="28"/>
          <w:szCs w:val="28"/>
        </w:rPr>
        <w:lastRenderedPageBreak/>
        <w:t>знаннями та дотримання сторонами правил, визначених Світовою угодою. Організація торгівлі (СОТ), інші транснаціональні союзи та відповідні міжурядові угоди. Слід враховувати, що строкаті транснаціональні у</w:t>
      </w:r>
      <w:r>
        <w:rPr>
          <w:rFonts w:ascii="Times New Roman" w:hAnsi="Times New Roman" w:cs="Times New Roman"/>
          <w:sz w:val="28"/>
          <w:szCs w:val="28"/>
        </w:rPr>
        <w:t xml:space="preserve">годи, узгоджені з обов'язковими </w:t>
      </w:r>
      <w:r w:rsidRPr="002D5702">
        <w:rPr>
          <w:rFonts w:ascii="Times New Roman" w:hAnsi="Times New Roman" w:cs="Times New Roman"/>
          <w:sz w:val="28"/>
          <w:szCs w:val="28"/>
        </w:rPr>
        <w:t>вчинення яких надано Верховною Радою України, відповідно до Конституції України мають вищу юридичну силу порівняно з вітчизняним законодавством, яке потребує застосовної правової міцності щодо закріпл</w:t>
      </w:r>
      <w:r w:rsidR="00455190">
        <w:rPr>
          <w:rFonts w:ascii="Times New Roman" w:hAnsi="Times New Roman" w:cs="Times New Roman"/>
          <w:sz w:val="28"/>
          <w:szCs w:val="28"/>
        </w:rPr>
        <w:t>ених у них норм моралі та умов.</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Bogdanovych, A. (2019).</w:t>
      </w:r>
    </w:p>
    <w:p w:rsidR="002D5702"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 xml:space="preserve">Організація виконання транснаціональних балів є важливою та відповідальною функцією державних інституцій. Вона вимагає не тільки прикладних думок, а й обґрунтованих заяв і пошуку дієвих механізмів у питаннях державного регулювання іноземної прибуткової діяльності, які мають передусім забезпечити захист суспільних інтересів. На даний момент держава перебуває у процесі виконання численних транснаціональних зобов’язань, у тому числі заходів, визначених Угодою про асоціацію, невиконання, утримання чи невміле виконання яких стримуватиме розвиток вигідної співпраці з країнами Європейського Союзу та додасть ефективності Участь України в інших світових інтеграційних процесах. </w:t>
      </w:r>
    </w:p>
    <w:p w:rsidR="002D5702"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 xml:space="preserve">Відповідно до Угоди про асоціацію, поряд із загальними заходами асоціації прибуткового співробітництва, у питаннях аграрного сектору та розвитку пасовищних територій визначено напрямки поступового наближення аграрного законодавства України, приведення інституційної структури та система державного контролю якості харчових продуктів згідно з ненаглядовою та виконавчою політикою та практикою Європейського Союзу Перш за все, це стосується правового забезпечення регулювання ненаглядових механізмів з урахуванням дії майже 60 застосовні регламенти, директиви, висновки, рекомендації та оголошення Європейського Союзу. </w:t>
      </w:r>
    </w:p>
    <w:p w:rsidR="002D5702" w:rsidRPr="00455190"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Серед них питання завершення коригування норм якості аграрної продукції, регулювання органічної продукції та вирощування генетично модифікованих аграрних культур, дотримання правил торгівлі насінням та племінною скарбницею, збереження географічних цінностей, походження та стилів продукції аграрної продукції та продуктів харчування. продукції, розвитку біорізноманіття тощо. Незважаючи на досить значний термін дії Угоди про асоціацію, у зазначених питаннях залишається багато проблем, які потребують свіжого опрацювання та погодження. Заходи щодо злиття програм, визначені Угодою, є також неправильними у сферах рибного та лісового господарства, удосконалення системи функціонування для розвитку пасовищних територій, посилення охорони навколишнього середовища, у тому числі з урахуванням змін клімату, розвитку системи аграрної мудрості та освіти, налагодження механізмів захисту інтелектуальної власності та ряд інших питань, що стосуються аграрної сфери.</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Bakhtizinov, T. (2020).</w:t>
      </w:r>
    </w:p>
    <w:p w:rsidR="002D5702" w:rsidRPr="00455190" w:rsidRDefault="002D5702" w:rsidP="002D5702">
      <w:pPr>
        <w:spacing w:after="0" w:line="240" w:lineRule="auto"/>
        <w:ind w:firstLine="851"/>
        <w:jc w:val="both"/>
        <w:rPr>
          <w:rFonts w:ascii="Times New Roman" w:hAnsi="Times New Roman" w:cs="Times New Roman"/>
          <w:sz w:val="28"/>
          <w:szCs w:val="28"/>
          <w:lang w:val="en-US"/>
        </w:rPr>
      </w:pPr>
      <w:r w:rsidRPr="002D5702">
        <w:rPr>
          <w:rFonts w:ascii="Times New Roman" w:hAnsi="Times New Roman" w:cs="Times New Roman"/>
          <w:sz w:val="28"/>
          <w:szCs w:val="28"/>
        </w:rPr>
        <w:t xml:space="preserve"> Отже, в аграрній сфері України виконання показників, окреслених Угодою про асоціацію та іншими транснаціональними угодами в питаннях забезпечення ефективної інтеграції в глобальні європейські та світові прибуткові процеси, наразі можна оцінити як недостатнє та не зовсім збалансоване. Про це свідчать неправильні темпи поширення довгострокових </w:t>
      </w:r>
      <w:r w:rsidRPr="002D5702">
        <w:rPr>
          <w:rFonts w:ascii="Times New Roman" w:hAnsi="Times New Roman" w:cs="Times New Roman"/>
          <w:sz w:val="28"/>
          <w:szCs w:val="28"/>
        </w:rPr>
        <w:lastRenderedPageBreak/>
        <w:t xml:space="preserve">коопераційних відносин між суб’єктами аграрних запитів, зокрема в питаннях запровадження єдиних аграрних устроїв, недостатності та незабезпеченості іноземних інвестицій у вітчизняний аграрний сектор України. ощадливість, прогресивність сировинного обладнання експорту української аграрної продукції, поширення соціальних та екологічних проблем у скотарських територіях, несхожих на європейські тенденції домівки тощо. </w:t>
      </w:r>
      <w:r w:rsidR="00455190">
        <w:rPr>
          <w:rFonts w:ascii="Times New Roman" w:hAnsi="Times New Roman" w:cs="Times New Roman"/>
          <w:sz w:val="28"/>
          <w:szCs w:val="28"/>
          <w:lang w:val="en-US"/>
        </w:rPr>
        <w:t>(</w:t>
      </w:r>
      <w:r w:rsidR="00455190" w:rsidRPr="00455190">
        <w:rPr>
          <w:rFonts w:ascii="Times New Roman" w:hAnsi="Times New Roman" w:cs="Times New Roman"/>
          <w:sz w:val="28"/>
          <w:szCs w:val="28"/>
        </w:rPr>
        <w:t>Food and Agriculture Organization of the United Nations. (2021).</w:t>
      </w:r>
    </w:p>
    <w:p w:rsidR="002D5702" w:rsidRDefault="002D5702" w:rsidP="002D5702">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Така ситуація свідчить про неправильне об’єднання з точки зору наближення до європейських аналогів інституційної підтримки іноземних прибуткових вектор агропромислового напруження та розвитку скотарських територій держави, необхідність посилення співпраці транснаціональної кооперації, а також адаптації поведінки відповідних транснаціональних та громадських інститутів тощо.</w:t>
      </w:r>
      <w:r>
        <w:rPr>
          <w:rFonts w:ascii="Times New Roman" w:hAnsi="Times New Roman" w:cs="Times New Roman"/>
          <w:sz w:val="28"/>
          <w:szCs w:val="28"/>
        </w:rPr>
        <w:t xml:space="preserve"> </w:t>
      </w:r>
      <w:r w:rsidRPr="002D5702">
        <w:rPr>
          <w:rFonts w:ascii="Times New Roman" w:hAnsi="Times New Roman" w:cs="Times New Roman"/>
          <w:sz w:val="28"/>
          <w:szCs w:val="28"/>
        </w:rPr>
        <w:t>Регулювання цих та інших тенденцій потребує активізації наукового пошуку обґрунтованих пропозицій щодо вдосконалення державної політики в асоціації іноземної прибуткової діяльності, у тому числі посилення наукового забезпечення виконання Угоди про асоціацію України з Європейським Союзом у терміни сільськогосподарських питань.</w:t>
      </w:r>
    </w:p>
    <w:p w:rsidR="002D5702" w:rsidRDefault="002D5702" w:rsidP="002D5702">
      <w:pPr>
        <w:spacing w:after="0" w:line="240" w:lineRule="auto"/>
        <w:ind w:firstLine="851"/>
        <w:jc w:val="both"/>
        <w:rPr>
          <w:rFonts w:ascii="Times New Roman" w:hAnsi="Times New Roman" w:cs="Times New Roman"/>
          <w:sz w:val="28"/>
          <w:szCs w:val="28"/>
        </w:rPr>
      </w:pPr>
    </w:p>
    <w:p w:rsidR="002D5702" w:rsidRDefault="002D5702" w:rsidP="002D5702">
      <w:pPr>
        <w:spacing w:after="0" w:line="240" w:lineRule="auto"/>
        <w:ind w:firstLine="851"/>
        <w:jc w:val="both"/>
        <w:rPr>
          <w:rFonts w:ascii="Times New Roman" w:hAnsi="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є</w:t>
      </w:r>
      <w:r>
        <w:rPr>
          <w:rFonts w:ascii="Times New Roman" w:hAnsi="Times New Roman"/>
          <w:sz w:val="28"/>
          <w:szCs w:val="28"/>
        </w:rPr>
        <w:t xml:space="preserve"> </w:t>
      </w:r>
      <w:r w:rsidRPr="002D5702">
        <w:rPr>
          <w:rFonts w:ascii="Times New Roman" w:hAnsi="Times New Roman"/>
          <w:sz w:val="28"/>
          <w:szCs w:val="28"/>
        </w:rPr>
        <w:t>визначити сучасні проблеми та обґрунтувати пріоритетні заходи для ефективного розвитку інтеграційних процесів стосовно аграрного сектору України з Європейським Союзом.</w:t>
      </w:r>
    </w:p>
    <w:p w:rsidR="002D5702" w:rsidRDefault="002D5702" w:rsidP="002D5702">
      <w:pPr>
        <w:spacing w:after="0" w:line="240" w:lineRule="auto"/>
        <w:ind w:firstLine="851"/>
        <w:jc w:val="both"/>
        <w:rPr>
          <w:rFonts w:ascii="Times New Roman" w:hAnsi="Times New Roman" w:cs="Times New Roman"/>
          <w:sz w:val="28"/>
          <w:szCs w:val="28"/>
        </w:rPr>
      </w:pPr>
    </w:p>
    <w:p w:rsidR="002D5702" w:rsidRDefault="002D5702" w:rsidP="002D5702">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2D5702" w:rsidRDefault="002D5702" w:rsidP="00DD65F5">
      <w:pPr>
        <w:spacing w:after="0" w:line="240" w:lineRule="auto"/>
        <w:ind w:firstLine="851"/>
        <w:jc w:val="both"/>
        <w:rPr>
          <w:rFonts w:ascii="Times New Roman" w:hAnsi="Times New Roman" w:cs="Times New Roman"/>
          <w:sz w:val="28"/>
          <w:szCs w:val="28"/>
        </w:rPr>
      </w:pPr>
      <w:r w:rsidRPr="002D5702">
        <w:rPr>
          <w:rFonts w:ascii="Times New Roman" w:hAnsi="Times New Roman" w:cs="Times New Roman"/>
          <w:sz w:val="28"/>
          <w:szCs w:val="28"/>
        </w:rPr>
        <w:t>Проблеми євроінтеграції України, пов’язані з аграрним сектором економіки, розглядаю</w:t>
      </w:r>
      <w:r w:rsidR="00DD65F5">
        <w:rPr>
          <w:rFonts w:ascii="Times New Roman" w:hAnsi="Times New Roman" w:cs="Times New Roman"/>
          <w:sz w:val="28"/>
          <w:szCs w:val="28"/>
        </w:rPr>
        <w:t xml:space="preserve">ться у наукових працях багатьох </w:t>
      </w:r>
      <w:r w:rsidRPr="002D5702">
        <w:rPr>
          <w:rFonts w:ascii="Times New Roman" w:hAnsi="Times New Roman" w:cs="Times New Roman"/>
          <w:sz w:val="28"/>
          <w:szCs w:val="28"/>
        </w:rPr>
        <w:t>відомих вчених-економістів, таких як</w:t>
      </w:r>
      <w:r w:rsidR="00DD65F5">
        <w:rPr>
          <w:rFonts w:ascii="Times New Roman" w:hAnsi="Times New Roman" w:cs="Times New Roman"/>
          <w:sz w:val="28"/>
          <w:szCs w:val="28"/>
        </w:rPr>
        <w:t xml:space="preserve">: O. M. Borodin; V. I. Vlasov; </w:t>
      </w:r>
      <w:r w:rsidR="00DD65F5" w:rsidRPr="00DD65F5">
        <w:rPr>
          <w:rFonts w:ascii="Times New Roman" w:hAnsi="Times New Roman" w:cs="Times New Roman"/>
          <w:sz w:val="28"/>
          <w:szCs w:val="28"/>
        </w:rPr>
        <w:t>P. I. Hayuduky; O. V. Zakharchuk; T. O. Zinchuk; S. M. Kvasha; I. G. Kirylenko; M. F. Kropyvko; Yu. O. Lupenko; P. T. Sabluk;</w:t>
      </w:r>
      <w:r w:rsidR="00DD65F5">
        <w:rPr>
          <w:rFonts w:ascii="Times New Roman" w:hAnsi="Times New Roman" w:cs="Times New Roman"/>
          <w:sz w:val="28"/>
          <w:szCs w:val="28"/>
        </w:rPr>
        <w:t xml:space="preserve"> </w:t>
      </w:r>
      <w:r w:rsidR="00DD65F5" w:rsidRPr="00DD65F5">
        <w:rPr>
          <w:rFonts w:ascii="Times New Roman" w:hAnsi="Times New Roman" w:cs="Times New Roman"/>
          <w:sz w:val="28"/>
          <w:szCs w:val="28"/>
        </w:rPr>
        <w:t>V. M. Tsikhanovska; O. H. Shpykulyak.</w:t>
      </w:r>
      <w:r w:rsidR="00DD65F5">
        <w:rPr>
          <w:rFonts w:ascii="Times New Roman" w:hAnsi="Times New Roman" w:cs="Times New Roman"/>
          <w:sz w:val="28"/>
          <w:szCs w:val="28"/>
        </w:rPr>
        <w:t xml:space="preserve"> </w:t>
      </w:r>
      <w:r w:rsidRPr="002D5702">
        <w:rPr>
          <w:rFonts w:ascii="Times New Roman" w:hAnsi="Times New Roman" w:cs="Times New Roman"/>
          <w:sz w:val="28"/>
          <w:szCs w:val="28"/>
        </w:rPr>
        <w:t>Ці та інші автори значну увагу приділяють як теоретичним аспектам, так і науковому супроводженню організації практичної реалізації відповідних заходів з питань європейської інтеграції.</w:t>
      </w:r>
    </w:p>
    <w:p w:rsidR="00DD65F5" w:rsidRDefault="00DD65F5" w:rsidP="00DD65F5">
      <w:pPr>
        <w:spacing w:after="0" w:line="240" w:lineRule="auto"/>
        <w:ind w:firstLine="851"/>
        <w:jc w:val="both"/>
        <w:rPr>
          <w:rFonts w:ascii="Times New Roman" w:hAnsi="Times New Roman" w:cs="Times New Roman"/>
          <w:sz w:val="28"/>
          <w:szCs w:val="28"/>
        </w:rPr>
      </w:pPr>
    </w:p>
    <w:p w:rsidR="00DD65F5" w:rsidRDefault="00DD65F5" w:rsidP="00DD65F5">
      <w:pPr>
        <w:spacing w:after="0" w:line="360" w:lineRule="auto"/>
        <w:ind w:firstLine="720"/>
        <w:jc w:val="both"/>
        <w:rPr>
          <w:rFonts w:ascii="Times New Roman" w:hAnsi="Times New Roman"/>
          <w:b/>
          <w:sz w:val="28"/>
          <w:szCs w:val="28"/>
        </w:rPr>
      </w:pPr>
      <w:r w:rsidRPr="00F32B0F">
        <w:rPr>
          <w:rFonts w:ascii="Times New Roman" w:hAnsi="Times New Roman"/>
          <w:b/>
          <w:sz w:val="28"/>
          <w:szCs w:val="28"/>
          <w:lang w:val="en-US"/>
        </w:rPr>
        <w:t>Results</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Аграрний сектор є однією з ключових галузей економіки України, яка забезпечує значну частину ВВП країни та займає вагому роль в забезпеченні продовольчої безпеки. Проте, він також є однією з найбільш регульованих галузей в Україні, що створює складність для підприємств, які діють в цьому секторі. З метою поліпшення ситуації та підвищення ефективності функціонування аграрного сектору в Україні, необхідна модернізація державної регуляторної політики.</w:t>
      </w:r>
    </w:p>
    <w:p w:rsidR="00DD65F5" w:rsidRPr="00455190"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Державна регуляторна політика в аграрному секторі має на меті забезпечити ефективне функціонування галузі та підтримку розвитку сільського господарства в країні. Проте, багато з існуючих нормативно-</w:t>
      </w:r>
      <w:r w:rsidRPr="002C1B5C">
        <w:rPr>
          <w:rFonts w:ascii="Times New Roman" w:hAnsi="Times New Roman" w:cs="Times New Roman"/>
          <w:sz w:val="28"/>
          <w:szCs w:val="28"/>
        </w:rPr>
        <w:lastRenderedPageBreak/>
        <w:t>правових актів не відповідають сучасним реаліям та вимогам ринку, що призводить до негативних наслідків для галузі та суспільства в цілому. Наприклад, відсутність відповідної регуляції може призвести до поширення шкідливих для здоров'я пестицидів та інших хімічних речовин, а недостатнє регулювання може призвести до несправедливих умов торгівлі та недобросовісної конкуренції.</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Ministry of Agrarian Policy and Food of Ukraine. (2021).</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Одним з головних напрямів модернізації державної регуляторної політики в аграрному секторі є впровадження принципів "простоти та зрозумілості" у створення та реалізацію нормативно-правових актів. Це означає, що акти мають бути написані зрозуміло та доступно для всіх зацікавлених сторін, в тому числі для сільських господарств та інших підприємств, що діють в аграрному секторі. Це також означає зменшення кількості адміністративних процедур та документів, що потрібно представляти, що спрощує життя бізнесу та зменшує витрати на їх виконання.</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Ще одним важливим напрямом є встановлення чітких та стабільних правил для галузі, що дозволить сільськогосподарським підприємствам легше планувати свої дії на майбутнє. Для досягнення цієї мети можна використовувати відповідні механізми, такі як законодавчі зміни, визначення та забезпечення прав власності на землю та інші ресурси, розвиток інфраструктури та підтримка доступу до ринків.</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До інших можливих напрямків модернізації державної регуляторної політики в аграрному секторі можна віднести:</w:t>
      </w:r>
    </w:p>
    <w:p w:rsidR="00DD65F5" w:rsidRPr="00455190" w:rsidRDefault="00DD65F5" w:rsidP="00455190">
      <w:pPr>
        <w:pStyle w:val="a5"/>
        <w:numPr>
          <w:ilvl w:val="0"/>
          <w:numId w:val="5"/>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Забезпечення відповідного регулювання використання пестицидів та інших хімічних речовин, що можуть бути шкідливими для здоров'я людей та навколишнього середовища;</w:t>
      </w:r>
    </w:p>
    <w:p w:rsidR="00DD65F5" w:rsidRPr="00455190" w:rsidRDefault="00DD65F5" w:rsidP="00455190">
      <w:pPr>
        <w:pStyle w:val="a5"/>
        <w:numPr>
          <w:ilvl w:val="0"/>
          <w:numId w:val="5"/>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Розвиток та впровадження механізмів фінансової підтримки для малих та середніх сільськогосподарських підприємств;</w:t>
      </w:r>
    </w:p>
    <w:p w:rsidR="00DD65F5" w:rsidRPr="00455190" w:rsidRDefault="00DD65F5" w:rsidP="00455190">
      <w:pPr>
        <w:pStyle w:val="a5"/>
        <w:numPr>
          <w:ilvl w:val="0"/>
          <w:numId w:val="5"/>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Запровадження електронної системи моніторингу та контролю за якістю продукції, що дозволить забезпечити безпеку харчових продуктів та підвищити довіру споживачів до української продукції.</w:t>
      </w:r>
    </w:p>
    <w:p w:rsidR="00DD65F5" w:rsidRPr="00455190"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У підсумку, модернізація державної регуляторної політики в аграрному секторі економіки України має великий потенціал для поліпшення ефективності та конкурентоспроможності галузі. Це може допомогти залучити більше інвестицій, збільшити виробництво та забезпечити стійкий економічний розвиток регіонів.</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Organization for Economic Cooperation and Development. (2019).</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Для досягнення успіху в цій справі важливо встановити діалог між державними органами та представниками бізнесу, зокрема, сільськогосподарських підприємств, щоб забезпечити врахування реальних потреб та можливостей галузі. Також важливо забезпечити ефективний моніторинг та оцінку результатів впровадження нових регуляторних механізмів.</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lastRenderedPageBreak/>
        <w:t>Отже, модернізація державної регуляторної політики в аграрному секторі економіки України може стати важливим інструментом для забезпечення стійкого розвитку галузі та підвищення її конкурентоспроможності на міжнародному ринку.</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Крім того, модернізація регуляторної політики може сприяти зменшенню корупції та недобросовісної конкуренції в аграрному секторі. Якщо державні органи будуть займатися ефективним контролем та регулюванням галузі, то це може допомогти запобігти незаконним діям на ринку.</w:t>
      </w:r>
    </w:p>
    <w:p w:rsidR="00DD65F5" w:rsidRPr="00455190" w:rsidRDefault="00DD65F5" w:rsidP="002C1B5C">
      <w:pPr>
        <w:spacing w:after="0" w:line="240" w:lineRule="auto"/>
        <w:ind w:firstLine="851"/>
        <w:jc w:val="both"/>
        <w:rPr>
          <w:rFonts w:ascii="Times New Roman" w:hAnsi="Times New Roman" w:cs="Times New Roman"/>
          <w:sz w:val="28"/>
          <w:szCs w:val="28"/>
          <w:lang w:val="ru-RU"/>
        </w:rPr>
      </w:pPr>
      <w:r w:rsidRPr="002C1B5C">
        <w:rPr>
          <w:rFonts w:ascii="Times New Roman" w:hAnsi="Times New Roman" w:cs="Times New Roman"/>
          <w:sz w:val="28"/>
          <w:szCs w:val="28"/>
        </w:rPr>
        <w:t>Одним з важливих напрямків модернізації регуляторної політики в аграрному секторі є спрощення та уніфікація процедур державної реєстрації, контролю та надання дозволів на різні види діяльності. Це може допомогти зменшити бюрократичний тиск на підприємства та спростити процес ведення бізнесу в галузі.</w:t>
      </w:r>
      <w:r w:rsidR="00455190" w:rsidRPr="00455190">
        <w:rPr>
          <w:rFonts w:ascii="Times New Roman" w:hAnsi="Times New Roman" w:cs="Times New Roman"/>
          <w:sz w:val="28"/>
          <w:szCs w:val="28"/>
          <w:lang w:val="ru-RU"/>
        </w:rPr>
        <w:t>(</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Savchuk, V. V. (2019).</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Також важливим є забезпечення належного захисту прав власності на землю та інші ресурси, що використовуються в аграрному секторі. Для цього можна використовувати сучасні технології, зокрема, системи геопросторового аналізу, що дозволяють вести точний облік земельних ділянок та управляти ними ефективніше.</w:t>
      </w:r>
    </w:p>
    <w:p w:rsidR="00DD65F5" w:rsidRPr="00455190" w:rsidRDefault="00DD65F5" w:rsidP="002C1B5C">
      <w:pPr>
        <w:spacing w:after="0" w:line="240" w:lineRule="auto"/>
        <w:ind w:firstLine="851"/>
        <w:jc w:val="both"/>
        <w:rPr>
          <w:rFonts w:ascii="Times New Roman" w:hAnsi="Times New Roman" w:cs="Times New Roman"/>
          <w:sz w:val="28"/>
          <w:szCs w:val="28"/>
          <w:lang w:val="ru-RU"/>
        </w:rPr>
      </w:pPr>
      <w:r w:rsidRPr="002C1B5C">
        <w:rPr>
          <w:rFonts w:ascii="Times New Roman" w:hAnsi="Times New Roman" w:cs="Times New Roman"/>
          <w:sz w:val="28"/>
          <w:szCs w:val="28"/>
        </w:rPr>
        <w:t>Узагальнюючи, модернізація державної регуляторної політики в аграрному секторі економіки України може стати важливим інструментом для забезпечення стійкого розвитку галузі, підвищення її конкурентоспроможності та залучення нових інвестицій. Для досягнення успіху в цій справі важливо забезпечити діалог між державними органами та представниками бізнесу, ефективний моніторинг та оцінку результатів впровадження нових регуляторних механізмів, а також спрощення та уніфікацію процедур державної реєстрації та надання дозволів на діяльність в аграрному секторі. Також важливо враховувати міжнародні стандарти та норми, що регулюють діяльність аграрного сектору, та працювати над їх впровадженням в національне законодавство.</w:t>
      </w:r>
      <w:r w:rsidR="00455190" w:rsidRPr="00455190">
        <w:rPr>
          <w:rFonts w:ascii="Times New Roman" w:hAnsi="Times New Roman" w:cs="Times New Roman"/>
          <w:sz w:val="28"/>
          <w:szCs w:val="28"/>
          <w:lang w:val="ru-RU"/>
        </w:rPr>
        <w:t>(</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Romanenko, O. M. (2020).</w:t>
      </w:r>
    </w:p>
    <w:p w:rsidR="00DD65F5" w:rsidRPr="00455190"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При цьому, слід зазначити, що модернізація регуляторної політики в аграрному секторі не є миттєвим процесом, і вимагає комплексного підходу та довгострокової стратегії. Крім того, успіх модернізації залежить від багатьох факторів, включаючи політичну волю, ефективність державного апарату, рівень розвитку бізнесу та інші.</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Lopatenko, O. I., &amp; Rozhkova, I. M. (2019).</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Таким чином, модернізація державної регуляторної політики в аграрному секторі економіки України є важливою складовою реформування галузі та забезпечення стійкого її розвитку. Це можливо досягнути за умови ефективної співпраці між державними органами та представниками бізнесу, використання сучасних технологій та врахування міжнародних стандартів та норм.</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Також важливо враховувати особливості аграрної галузі та її регуляторного середовища, які відрізняються від інших галузей економіки. Наприклад, аграрна галузь має складну ланцюгову структуру, в якій беруть </w:t>
      </w:r>
      <w:r w:rsidRPr="002C1B5C">
        <w:rPr>
          <w:rFonts w:ascii="Times New Roman" w:hAnsi="Times New Roman" w:cs="Times New Roman"/>
          <w:sz w:val="28"/>
          <w:szCs w:val="28"/>
        </w:rPr>
        <w:lastRenderedPageBreak/>
        <w:t>участь різні суб'єкти, від посівних матеріалів та удобрень до продукції та її переробки. Тому регуляторна політика повинна враховувати всі етапи цього ланцюга та взаємозв'язки між ними.</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Крім того, важливо забезпечувати прозорість та відкритість процесу прийняття рішень з питань регулювання аграрного сектору. Це можна досягнути шляхом відкритих консультацій з зацікавленими сторонами, публікації проектів нормативно-правових актів відповідно до вимог законодавства, забезпечення доступу до інформації про рішення та дії регуляторних органів.</w:t>
      </w:r>
    </w:p>
    <w:p w:rsidR="00DD65F5" w:rsidRPr="00455190" w:rsidRDefault="00DD65F5" w:rsidP="002C1B5C">
      <w:pPr>
        <w:spacing w:after="0" w:line="240" w:lineRule="auto"/>
        <w:ind w:firstLine="851"/>
        <w:jc w:val="both"/>
        <w:rPr>
          <w:rFonts w:ascii="Times New Roman" w:hAnsi="Times New Roman" w:cs="Times New Roman"/>
          <w:sz w:val="28"/>
          <w:szCs w:val="28"/>
          <w:lang w:val="ru-RU"/>
        </w:rPr>
      </w:pPr>
      <w:r w:rsidRPr="002C1B5C">
        <w:rPr>
          <w:rFonts w:ascii="Times New Roman" w:hAnsi="Times New Roman" w:cs="Times New Roman"/>
          <w:sz w:val="28"/>
          <w:szCs w:val="28"/>
        </w:rPr>
        <w:t>Окрім регуляторної політики, важливо також забезпечити розвиток інфраструктури та доступ до фінансових ресурсів для аграрних підприємств. Наприклад, залучення інвестицій та впровадження сучасних технологій може підвищити ефективність виробництва та забезпечити конкурентоспроможність на міжнародному ринку.</w:t>
      </w:r>
      <w:r w:rsidR="00455190" w:rsidRPr="00455190">
        <w:rPr>
          <w:rFonts w:ascii="Times New Roman" w:hAnsi="Times New Roman" w:cs="Times New Roman"/>
          <w:sz w:val="28"/>
          <w:szCs w:val="28"/>
          <w:lang w:val="ru-RU"/>
        </w:rPr>
        <w:t>(</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UkraineInvest. (2021).</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Узагалі, модернізація державної регуляторної політики в аграрному секторі економіки України є складною, але необхідною задачею, яка передбачає впровадження комплексного підходу та довгострокової стратегії. Це можливо досягнути шляхом ефективної співпраці різних державних та приватних структур, впровадження новітніх технологій та стандартів якості, підвищення рівня освіти та підтримки малого та середнього бізнесу.</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Однією з найважливіших складових ефективної регуляторної політики є система моніторингу та оцінки її впливу на галузь. Це дозволяє вчасно виявляти негативні наслідки прийнятих рішень та вносити необхідні корективи до політики. Така система повинна бути максимально об'єктивною та незалежною, а також відкритою для доступу зацікавлених сторін.</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Важливою складовою ефективної регуляторної політики є також підвищення кваліфікації та компетентності фахівців, що займаються розробкою та впровадженням регуляторної політики в аграрному секторі. Для цього можуть бути організовані спеціалізовані курси, тренінги та майстер-класи з регуляторної політики в аграрному секторі.</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Отже, модернізація державної регуляторної політики в аграрному секторі економіки України є важливим завданням для забезпечення стабільного та сталого розвитку галузі. Для цього необхідно враховувати особливості аграрної галузі та її регуляторного середовища, впроваджувати комплексний підхід та довгострокову стратегію, забезпечувати прозорість та відкритість процесу прийняття рішень, підвищувати кваліфікацію та компетентність фахівців та вдосконалювати систему моніторингу та оцінки впливу регуляторної політики на галузь. Це дозволить створити сприятливе середовище для розвитку аграрного сектору економіки України, зберегти його конкурентоспроможність на міжнародному ринку та забезпечити достатній рівень доходів для фермерів та інших учасників галузі.</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Однією з ключових проблем, які вирішує аграрний сектор, є продовольча безпека країни. Україна має потенціал стати лідером у виробництві продуктів харчування, але для цього необхідно здійснювати </w:t>
      </w:r>
      <w:r w:rsidRPr="002C1B5C">
        <w:rPr>
          <w:rFonts w:ascii="Times New Roman" w:hAnsi="Times New Roman" w:cs="Times New Roman"/>
          <w:sz w:val="28"/>
          <w:szCs w:val="28"/>
        </w:rPr>
        <w:lastRenderedPageBreak/>
        <w:t>ефективну регуляторну політику, що сприятиме збільшенню виробництва та покращенню якості продукції.</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Однією з головних складових продовольчої безпеки є забезпечення доступності та якості продуктів харчування для всіх громадян країни. Для цього необхідно забезпечувати контроль якості та безпеки продуктів харчування на всіх етапах їх виробництва та збуту, від посіву на полях до продажу на полицях магазинів.</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Для підвищення якості продукції та забезпечення безпеки споживачів необхідно впроваджувати новітні технології та стандарти якості, проводити систематичний моніторинг та оцінку впливу регуляторної політики на якість продуктів харчування.</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Для забезпечення доступності продуктів харчування для всіх громадян країни необхідно враховувати різноманітність регіонів та їх особливості. Для цього можуть бути розроблені спеціальні програми та заходи підтримки малого та середнього бізнесу в сільській місцевості.</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Одним із важливих напрямків регуляторної політики для забезпечення продовольчої безпеки є підтримка інновацій та розвитку нових технологій у сільському господарстві. </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Це дозволить збільшити виробництво продукції та покращити її якість та безпеку, знизити витрати на виробництво, а також збільшити економічну ефективність галузі. При цьому необхідно забезпечувати належний рівень захисту прав інтелектуальної власності для інноваційних підприємств та забезпечувати належний рівень контролю за використанням нових технологій в аграрному секторі.</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Також важливим напрямком регуляторної політики для забезпечення продовольчої безпеки є розвиток системи страхування врожаю та інших ризиків, пов'язаних зі збільшенням виробництва та покращенням якості продукції. Це дозволить знизити ризик фінансових втрат для виробників та забезпечити стабільний розвиток галузі.</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Крім того, для забезпечення продовольчої безпеки необхідно враховувати вимоги міжнародних стандартів та відповідність їм виробленої продукції. Це важливо з точки зору експорту продуктів харчування та забезпечення конкурентоспроможності виробників на міжнародному ринку.</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Отже, модернізація державної регуляторної політики в аграрному секторі економіки України є ключовим елементом забезпечення продовольчої безпеки країни. Забезпечення якості та безпеки продукції, підтримка інновацій та новітніх технологій, розвиток системи страхування та відповідність міжнародним стандартам - це основні напрямки, які допоможуть забезпечити ефективний розвиток аграрної галузі та зміцнити продовольчу безпеку країни. Крім того, необхідно звернути увагу на забезпечення доступності та рівномірності розподілу продукції на всій території України, зокрема в сільських районах та віддалених регіонах.</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Для досягнення цих цілей необхідно активно взаємодіяти зі всіма учасниками ринку агропродуктів, зокрема з фермерами, сільськогосподарськими кооперативами та іншими гравцями галузі. Тільки </w:t>
      </w:r>
      <w:r w:rsidRPr="002C1B5C">
        <w:rPr>
          <w:rFonts w:ascii="Times New Roman" w:hAnsi="Times New Roman" w:cs="Times New Roman"/>
          <w:sz w:val="28"/>
          <w:szCs w:val="28"/>
        </w:rPr>
        <w:lastRenderedPageBreak/>
        <w:t>шляхом співпраці та партнерства можна досягти успіху в забезпеченні продовольчої безпеки країни.</w:t>
      </w:r>
    </w:p>
    <w:p w:rsidR="00DD65F5" w:rsidRPr="002C1B5C" w:rsidRDefault="00DD65F5"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Таким чином, продовольча безпека - це складний та багатовимірний процес, який вимагає комплексного підходу та активної участі всіх учасників ринку. Модернізація державної регуляторної політики в аграрному секторі економіки України є важливим кроком у забезпеченні продовольчої безпеки країни та зміцненні її економіки в цілому.</w:t>
      </w:r>
    </w:p>
    <w:p w:rsidR="002C1B5C" w:rsidRPr="002C1B5C" w:rsidRDefault="00222F02" w:rsidP="002C1B5C">
      <w:pPr>
        <w:spacing w:after="0" w:line="240" w:lineRule="auto"/>
        <w:ind w:firstLine="851"/>
        <w:jc w:val="both"/>
        <w:rPr>
          <w:rFonts w:ascii="Times New Roman" w:hAnsi="Times New Roman" w:cs="Times New Roman"/>
          <w:b/>
          <w:sz w:val="28"/>
          <w:szCs w:val="28"/>
        </w:rPr>
      </w:pPr>
      <w:r w:rsidRPr="002C1B5C">
        <w:rPr>
          <w:rFonts w:ascii="Times New Roman" w:hAnsi="Times New Roman" w:cs="Times New Roman"/>
          <w:b/>
          <w:sz w:val="28"/>
          <w:szCs w:val="28"/>
        </w:rPr>
        <w:t>Discussion.</w:t>
      </w:r>
    </w:p>
    <w:p w:rsidR="00DD65F5" w:rsidRPr="002C1B5C" w:rsidRDefault="00222F02"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 Розвиток аграрної галузі є ключовим фактором в економіці України, оскільки вона є однією з найбільших експортерів сільськогосподарської продукції в світі. Однак, для досягнення високої продуктивності та якості продукції, необхідна модернізація регуляторної політики та створення сприятливих умов для розвитку галузі. Крім того, модернізація державної регуляторної політики може сприяти підвищенню продовольчої безпеки країни та забезпеченню доступності продукції для всіх населення. Проте </w:t>
      </w:r>
      <w:r w:rsidR="002C1B5C">
        <w:rPr>
          <w:rFonts w:ascii="Times New Roman" w:hAnsi="Times New Roman" w:cs="Times New Roman"/>
          <w:sz w:val="28"/>
          <w:szCs w:val="28"/>
        </w:rPr>
        <w:t>м</w:t>
      </w:r>
      <w:r w:rsidRPr="002C1B5C">
        <w:rPr>
          <w:rFonts w:ascii="Times New Roman" w:hAnsi="Times New Roman" w:cs="Times New Roman"/>
          <w:sz w:val="28"/>
          <w:szCs w:val="28"/>
        </w:rPr>
        <w:t>одернізація регуляторної політики може призвести до збільшення адміністративних витрат та бюрократії, що може негативно вплинути на діяльність сільськогосподарських підприємств та фермерських господарств. Крім того, зміни в регуляторній політиці можуть викликати опір та недовіру серед деяких учасників галузі, що може спричинити зниження їхньої активності та інвестицій в розвиток аграрної галузі.</w:t>
      </w:r>
    </w:p>
    <w:p w:rsidR="00222F02" w:rsidRPr="002C1B5C" w:rsidRDefault="00222F02"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Модернізація регуляторної політики може допом гти підвищити якість та безпеку продуктів харчування шляхом встановлення строгих стандартів безпеки та якості продукції, контролю за виробництвом та постачанням продукції на ринок. Також, введення сучасних технологій виробництва та обробки продукції може підвищити її якість та зменшити кількість відходів, що також сприятиме забезпеченню продовольчої безпеки. Проте </w:t>
      </w:r>
      <w:r w:rsidR="002C1B5C">
        <w:rPr>
          <w:rFonts w:ascii="Times New Roman" w:hAnsi="Times New Roman" w:cs="Times New Roman"/>
          <w:sz w:val="28"/>
          <w:szCs w:val="28"/>
        </w:rPr>
        <w:t>н</w:t>
      </w:r>
      <w:r w:rsidRPr="002C1B5C">
        <w:rPr>
          <w:rFonts w:ascii="Times New Roman" w:hAnsi="Times New Roman" w:cs="Times New Roman"/>
          <w:sz w:val="28"/>
          <w:szCs w:val="28"/>
        </w:rPr>
        <w:t>едостатня увага до здоров'я та безпеки споживачів може призвести до прийняття регуляторних політик, які не відповідають сучасним стандартам та вимогам. Також, введення суворих правил та стандартів може призвести до збільшення витрат на виробництво та зниження конкурентоспроможності продукції на міжнародному ринку.</w:t>
      </w:r>
    </w:p>
    <w:p w:rsidR="00222F02" w:rsidRPr="002C1B5C" w:rsidRDefault="00222F02"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 xml:space="preserve">Держава може забезпечити підтримку для сільськогосподарських підприємств та фермерських господарств, надаючи їм доступ до фінансування та інвестицій для впровадження нових технологій та стандартів. Крім того, держава може проводити інформацій ну кампанії для освіти та підвищення свідомості серед сільських жителів про нові правила та стандарти, а також допомогти у впровадженні нових систем контролю та моніторингу якості продуктів харчування. Для цього можуть бути створені спеціальні програми та ініціативи, які надаватимуть підтримку та консультації сільськогосподарським підприємствам та фермерським господарствам. Проте Держава може не мати достатніх фінансових ресурсів для забезпечення підтримки сільськогосподарських підприємств та фермерських господарств під час модернізації регуляторної політики. Крім того, існує ризик неправильного використання коштів або корупції під час </w:t>
      </w:r>
      <w:r w:rsidRPr="002C1B5C">
        <w:rPr>
          <w:rFonts w:ascii="Times New Roman" w:hAnsi="Times New Roman" w:cs="Times New Roman"/>
          <w:sz w:val="28"/>
          <w:szCs w:val="28"/>
        </w:rPr>
        <w:lastRenderedPageBreak/>
        <w:t>розподілу державних фінансових ресурсів. Крім того, деякі сільськогосподарські підприємства та фермерські господарства можуть не мати достатньої мотивації для впровадження нових стандартів та правил, які можуть збільшити їхні витрати та знизити прибутковість.</w:t>
      </w:r>
    </w:p>
    <w:p w:rsidR="00222F02" w:rsidRPr="00455190" w:rsidRDefault="00222F02" w:rsidP="002C1B5C">
      <w:pPr>
        <w:spacing w:after="0" w:line="240" w:lineRule="auto"/>
        <w:ind w:firstLine="851"/>
        <w:jc w:val="both"/>
        <w:rPr>
          <w:rFonts w:ascii="Times New Roman" w:hAnsi="Times New Roman" w:cs="Times New Roman"/>
          <w:sz w:val="28"/>
          <w:szCs w:val="28"/>
          <w:lang w:val="ru-RU"/>
        </w:rPr>
      </w:pPr>
      <w:r w:rsidRPr="002C1B5C">
        <w:rPr>
          <w:rFonts w:ascii="Times New Roman" w:hAnsi="Times New Roman" w:cs="Times New Roman"/>
          <w:sz w:val="28"/>
          <w:szCs w:val="28"/>
        </w:rPr>
        <w:t>Невпровадження модернізованої державної регуляторної політики може призвести до зниження якості та безпеки продуктів харчування, що може негативно вплинути на здоров'я населення та відносини з міжнародними партнерами. Крім того, це може призвести до зменшення конкурентоспроможності україни на міжнародному ринку та зменшення експортного потенціалу аграрного сектору, що може мати негативний вплив на економіку країни та збільшити залежність від імпорту продуктів харчування. Проте Невпровадження модернізованої державної регуляторної політики може мати менш помітні наслідки, які не впливатимуть на загальну економічну ситуацію країни. Крім того, введення нових стандартів та правил може створити додаткові бюрократичні перешкоди для сільськогосподарських підприємств та фермерських господарств, що може призвести до збільшення їхніх витрат та зниження прибутковості.</w:t>
      </w:r>
      <w:r w:rsidR="00455190" w:rsidRPr="00455190">
        <w:rPr>
          <w:rFonts w:ascii="Times New Roman" w:hAnsi="Times New Roman" w:cs="Times New Roman"/>
          <w:sz w:val="28"/>
          <w:szCs w:val="28"/>
          <w:lang w:val="ru-RU"/>
        </w:rPr>
        <w:t>(</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Taras Shevchenko National University of Kyiv. (2021).</w:t>
      </w:r>
    </w:p>
    <w:p w:rsidR="00222F02" w:rsidRPr="002C1B5C" w:rsidRDefault="00222F02"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Введення модернізованої державної регуляторної політики в аграрному секторі економіки України може мати значний позитивний вплив на якість та безпеку продуктів харчування, конкурентоспроможність українських сільськогосподарських підприємств та фермерських господарств, а також на економіку країни загалом. Для досягнення цих цілей необхідна підтримка держави у впровадженні нових стандартів та правил, а також надання підтримки та консультацій сільськогосподарським підприємствам та фермерським господарствам.</w:t>
      </w:r>
    </w:p>
    <w:p w:rsidR="00222F02" w:rsidRPr="00455190" w:rsidRDefault="00222F02"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Проте, необхідно також враховувати можливі ризики та виклики, пов'язані зі введенням нових стандартів та правил, такі як бюрократичні перешкоди та недостатня мотивація сільськогосподарських підприємств та фермерських господарств для впровадження нових стандартів та правил. Однак, з урахуванням усіх аспектів, введення модернізованої державної регуляторної політики в аграрному секторі є необхідним кроком для забезпечення стійкого розвитку економіки України та підвищення якості та безпеки продуктів харчування.</w:t>
      </w:r>
      <w:r w:rsidR="00455190" w:rsidRPr="00455190">
        <w:rPr>
          <w:rFonts w:ascii="Times New Roman" w:hAnsi="Times New Roman" w:cs="Times New Roman"/>
          <w:sz w:val="28"/>
          <w:szCs w:val="28"/>
        </w:rPr>
        <w:t xml:space="preserve">( </w:t>
      </w:r>
      <w:r w:rsidR="00455190" w:rsidRPr="00455190">
        <w:rPr>
          <w:rFonts w:ascii="Times New Roman" w:hAnsi="Times New Roman" w:cs="Times New Roman"/>
          <w:sz w:val="28"/>
          <w:szCs w:val="28"/>
        </w:rPr>
        <w:t>Ministry of Economic Development, Trade and Agriculture of Ukraine. (2021).</w:t>
      </w:r>
    </w:p>
    <w:p w:rsidR="002C1B5C" w:rsidRPr="002C1B5C" w:rsidRDefault="002C1B5C" w:rsidP="002C1B5C">
      <w:pPr>
        <w:spacing w:after="0" w:line="240" w:lineRule="auto"/>
        <w:ind w:firstLine="851"/>
        <w:jc w:val="both"/>
        <w:rPr>
          <w:rFonts w:ascii="Times New Roman" w:hAnsi="Times New Roman" w:cs="Times New Roman"/>
          <w:b/>
          <w:sz w:val="28"/>
          <w:szCs w:val="28"/>
        </w:rPr>
      </w:pPr>
      <w:r w:rsidRPr="002C1B5C">
        <w:rPr>
          <w:rFonts w:ascii="Times New Roman" w:hAnsi="Times New Roman" w:cs="Times New Roman"/>
          <w:b/>
          <w:sz w:val="28"/>
          <w:szCs w:val="28"/>
        </w:rPr>
        <w:t>Conclusions</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У висновку можна зазначити, що модернізація державної регуляторної політики в аграрному секторі є важливим кроком для забезпечення стійкого розвитку економіки України та підвищення якості та безпеки продуктів харчування. Нові стандарти та правила дозволять зменшити ризики від уповільнення розвитку аграрного сектору, забезпечать збільшення виробництва та зниження витрат на його здійснення, а також збільшать конкурентоспроможність українських продуктів на світовому ринку.</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lastRenderedPageBreak/>
        <w:t>Однак, для успішної модернізації регуляторної політики потрібні значні зусилля з боку держави та суб'єктів господарювання. Серед них можуть бути заходи з підвищення свідомості та освіти, поліпшення інфраструктури та збільшення фінансових ресурсів для здійснення необхідних інвестицій.</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Окрім того, необхідно враховувати міжнародний досвід та стандарти, щоб забезпечити гармонізацію внутрішніх правил та підвищити конкурентоспроможність українських продуктів на світовому ринку.</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У цілому, модернізація державної регуляторної політики в аграрному секторі має великий потенціал для розвитку економіки України та забезпечення безпеки та якості продуктів харчування.</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Для успішної реалізації цієї модернізації необхідно також залучити широку громадськість, зокрема представників аграрної галузі, науковців та експертів, щоб створити ефективну систему моніторингу та контролю за виконанням нових стандартів та правил.</w:t>
      </w:r>
    </w:p>
    <w:p w:rsidR="002C1B5C" w:rsidRPr="002C1B5C"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Зауважимо, що забезпечення сталого розвитку аграрного сектору та підвищення його конкурентоспроможності є важливим завданням не лише для України, а й для багатьох країн світу. Тому, застосування новітніх методів та технологій у виробництві, а також покращення якості та безпеки продуктів харчування є ключовими елементами у боротьбі з глобальними викликами, такими як зміна клімату та нестача ресурсів.</w:t>
      </w:r>
    </w:p>
    <w:p w:rsidR="00DD65F5" w:rsidRDefault="002C1B5C" w:rsidP="002C1B5C">
      <w:pPr>
        <w:spacing w:after="0" w:line="240" w:lineRule="auto"/>
        <w:ind w:firstLine="851"/>
        <w:jc w:val="both"/>
        <w:rPr>
          <w:rFonts w:ascii="Times New Roman" w:hAnsi="Times New Roman" w:cs="Times New Roman"/>
          <w:sz w:val="28"/>
          <w:szCs w:val="28"/>
        </w:rPr>
      </w:pPr>
      <w:r w:rsidRPr="002C1B5C">
        <w:rPr>
          <w:rFonts w:ascii="Times New Roman" w:hAnsi="Times New Roman" w:cs="Times New Roman"/>
          <w:sz w:val="28"/>
          <w:szCs w:val="28"/>
        </w:rPr>
        <w:t>Отже, можна стверджувати, що модернізація державної регуляторної політики в аграрному секторі є важливим кроком у напрямку сталого розвитку економіки та підвищення якості життя населення.</w:t>
      </w:r>
    </w:p>
    <w:p w:rsidR="002C1B5C" w:rsidRDefault="002C1B5C" w:rsidP="002C1B5C">
      <w:pPr>
        <w:spacing w:after="0" w:line="240" w:lineRule="auto"/>
        <w:ind w:firstLine="851"/>
        <w:jc w:val="both"/>
        <w:rPr>
          <w:rFonts w:ascii="Times New Roman" w:hAnsi="Times New Roman" w:cs="Times New Roman"/>
          <w:sz w:val="28"/>
          <w:szCs w:val="28"/>
        </w:rPr>
      </w:pPr>
    </w:p>
    <w:p w:rsidR="002C1B5C" w:rsidRDefault="002C1B5C" w:rsidP="002C1B5C">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Literature</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Bogdanovych, A. (2019). Development of agribusiness in Ukraine: problems and prospects. Journal of Education, Health and Sport, 9(9), 212-223. doi: 10.5281/zenodo.3463705</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Bakhtizinov, T. (2020). Experience of implementing state support for small and medium-sized businesses in the agricultural sector of Ukraine. Economy and Forecasting, 2, 134-148.</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Food and Agriculture Organization of the United Nations. (2021). The State of Food Security and Nutrition in the World report. Retrieved from http://www.fao.org/state-of-food-security-nutrition/en/</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Ministry of Agrarian Policy and Food of Ukraine. (2021). Organization and support of the "Farmer Loans" program in Ukraine. Retrieved from https://minagro.gov.ua/uk/organizatsiia-ta-pidtrimka-prohramy-fermerski-kredyty-v-ukraini</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Organization for Economic Cooperation and Development. (2019). Agricultural policies in Ukraine. Retrieved from https://www.oecd-ilibrary.org/agriculture-and-food/agricultural-policies-in-ukraine_9789264311814-en</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lastRenderedPageBreak/>
        <w:t>Pankratov, M. I. (2019). State regulatory policy in the agricultural sector of the Ukrainian economy. Economic Bulletin of the National Technical University of Ukraine "Kyiv Polytechnic Institute," 11, 53-60.</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Romanenko, O. M. (2020). Formation and implementation of state agricultural policy in Ukraine. Economy and Forecasting, 3, 119-129.</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Savchuk, V. V. (2019). Development of the agricultural sector in Ukraine: state and prospects. Agricultural Science and Practice, 6(2), 5-14.</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UkraineInvest. (2021). Potential opportunities and prospects for the development of the agricultural sector of Ukraine. Retrieved from https://ukraineinvest.gov.ua/ua/news/potencialni-mozhlivosti-ta-perspektivi-rozvitku-agrarnogo-sektoru-ukraini/</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Lopatenko, O. I., &amp; Rozhkova, I. M. (2019). Analysis of food security in Ukraine. Economy and State, 2, 50-55.</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Taras Shevchenko National University of Kyiv. (2021). Agricultural enterprises in Ukraine: state, problems, development prospects. Retrieved from https://studbook.com.ua/naukove-tovaristvo-imeni-taras-shevchenka-2/vcheni-zapiski-universitetu-taras-shevchenka-kyyiv/ekonomika/item/4813-silskogospodarski-pidpriemstva-v-ukraini-stan-problemy-perspektyvy-rozvytku.html</w:t>
      </w:r>
    </w:p>
    <w:p w:rsidR="00455190" w:rsidRPr="00455190" w:rsidRDefault="00455190" w:rsidP="00455190">
      <w:pPr>
        <w:pStyle w:val="a5"/>
        <w:numPr>
          <w:ilvl w:val="0"/>
          <w:numId w:val="4"/>
        </w:numPr>
        <w:spacing w:after="0" w:line="240" w:lineRule="auto"/>
        <w:ind w:left="0" w:firstLine="851"/>
        <w:jc w:val="both"/>
        <w:rPr>
          <w:rFonts w:ascii="Times New Roman" w:hAnsi="Times New Roman" w:cs="Times New Roman"/>
          <w:sz w:val="28"/>
          <w:szCs w:val="28"/>
        </w:rPr>
      </w:pPr>
      <w:r w:rsidRPr="00455190">
        <w:rPr>
          <w:rFonts w:ascii="Times New Roman" w:hAnsi="Times New Roman" w:cs="Times New Roman"/>
          <w:sz w:val="28"/>
          <w:szCs w:val="28"/>
        </w:rPr>
        <w:t>Ministry of Economic Development, Trade and Agriculture of Ukraine. (2021). Program for the development of the agricultural sector of Ukraine for the period up to 2025. Retrieved from https://zakon.rada.gov.ua/laws/show/659-2020-%D0%BF#Text</w:t>
      </w:r>
      <w:bookmarkStart w:id="0" w:name="_GoBack"/>
      <w:bookmarkEnd w:id="0"/>
    </w:p>
    <w:p w:rsidR="002C1B5C" w:rsidRPr="00455190" w:rsidRDefault="002C1B5C" w:rsidP="00455190">
      <w:pPr>
        <w:spacing w:after="0" w:line="240" w:lineRule="auto"/>
        <w:jc w:val="both"/>
        <w:rPr>
          <w:rFonts w:ascii="Times New Roman" w:hAnsi="Times New Roman" w:cs="Times New Roman"/>
          <w:sz w:val="28"/>
          <w:szCs w:val="28"/>
        </w:rPr>
      </w:pPr>
    </w:p>
    <w:p w:rsidR="00DD65F5" w:rsidRPr="00DD65F5" w:rsidRDefault="00DD65F5" w:rsidP="00DD65F5">
      <w:pPr>
        <w:spacing w:after="0" w:line="360" w:lineRule="auto"/>
        <w:ind w:firstLine="720"/>
        <w:jc w:val="both"/>
        <w:rPr>
          <w:rFonts w:ascii="Times New Roman" w:hAnsi="Times New Roman"/>
          <w:b/>
          <w:sz w:val="28"/>
          <w:szCs w:val="28"/>
        </w:rPr>
      </w:pPr>
    </w:p>
    <w:p w:rsidR="00DD65F5" w:rsidRPr="002D5702" w:rsidRDefault="00DD65F5" w:rsidP="00DD65F5">
      <w:pPr>
        <w:spacing w:after="0" w:line="240" w:lineRule="auto"/>
        <w:ind w:firstLine="851"/>
        <w:jc w:val="both"/>
        <w:rPr>
          <w:rFonts w:ascii="Times New Roman" w:hAnsi="Times New Roman" w:cs="Times New Roman"/>
          <w:sz w:val="28"/>
          <w:szCs w:val="28"/>
        </w:rPr>
      </w:pPr>
    </w:p>
    <w:sectPr w:rsidR="00DD65F5" w:rsidRPr="002D5702" w:rsidSect="00F81A1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9AC"/>
    <w:multiLevelType w:val="multilevel"/>
    <w:tmpl w:val="8C366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7841FC"/>
    <w:multiLevelType w:val="multilevel"/>
    <w:tmpl w:val="2B72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365E39"/>
    <w:multiLevelType w:val="multilevel"/>
    <w:tmpl w:val="FE84D0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FA7A70"/>
    <w:multiLevelType w:val="hybridMultilevel"/>
    <w:tmpl w:val="D0F4CE8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nsid w:val="60486B15"/>
    <w:multiLevelType w:val="hybridMultilevel"/>
    <w:tmpl w:val="96CA64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A12"/>
    <w:rsid w:val="00222F02"/>
    <w:rsid w:val="002C1B5C"/>
    <w:rsid w:val="002D5702"/>
    <w:rsid w:val="00455190"/>
    <w:rsid w:val="00517731"/>
    <w:rsid w:val="00DD65F5"/>
    <w:rsid w:val="00F81A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5F5"/>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styleId="a4">
    <w:name w:val="Hyperlink"/>
    <w:basedOn w:val="a0"/>
    <w:uiPriority w:val="99"/>
    <w:unhideWhenUsed/>
    <w:rsid w:val="002C1B5C"/>
    <w:rPr>
      <w:color w:val="0000FF"/>
      <w:u w:val="single"/>
    </w:rPr>
  </w:style>
  <w:style w:type="paragraph" w:styleId="a5">
    <w:name w:val="List Paragraph"/>
    <w:basedOn w:val="a"/>
    <w:uiPriority w:val="34"/>
    <w:qFormat/>
    <w:rsid w:val="004551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5F5"/>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styleId="a4">
    <w:name w:val="Hyperlink"/>
    <w:basedOn w:val="a0"/>
    <w:uiPriority w:val="99"/>
    <w:unhideWhenUsed/>
    <w:rsid w:val="002C1B5C"/>
    <w:rPr>
      <w:color w:val="0000FF"/>
      <w:u w:val="single"/>
    </w:rPr>
  </w:style>
  <w:style w:type="paragraph" w:styleId="a5">
    <w:name w:val="List Paragraph"/>
    <w:basedOn w:val="a"/>
    <w:uiPriority w:val="34"/>
    <w:qFormat/>
    <w:rsid w:val="00455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161">
      <w:bodyDiv w:val="1"/>
      <w:marLeft w:val="0"/>
      <w:marRight w:val="0"/>
      <w:marTop w:val="0"/>
      <w:marBottom w:val="0"/>
      <w:divBdr>
        <w:top w:val="none" w:sz="0" w:space="0" w:color="auto"/>
        <w:left w:val="none" w:sz="0" w:space="0" w:color="auto"/>
        <w:bottom w:val="none" w:sz="0" w:space="0" w:color="auto"/>
        <w:right w:val="none" w:sz="0" w:space="0" w:color="auto"/>
      </w:divBdr>
    </w:div>
    <w:div w:id="58209892">
      <w:bodyDiv w:val="1"/>
      <w:marLeft w:val="0"/>
      <w:marRight w:val="0"/>
      <w:marTop w:val="0"/>
      <w:marBottom w:val="0"/>
      <w:divBdr>
        <w:top w:val="none" w:sz="0" w:space="0" w:color="auto"/>
        <w:left w:val="none" w:sz="0" w:space="0" w:color="auto"/>
        <w:bottom w:val="none" w:sz="0" w:space="0" w:color="auto"/>
        <w:right w:val="none" w:sz="0" w:space="0" w:color="auto"/>
      </w:divBdr>
    </w:div>
    <w:div w:id="192036438">
      <w:bodyDiv w:val="1"/>
      <w:marLeft w:val="0"/>
      <w:marRight w:val="0"/>
      <w:marTop w:val="0"/>
      <w:marBottom w:val="0"/>
      <w:divBdr>
        <w:top w:val="none" w:sz="0" w:space="0" w:color="auto"/>
        <w:left w:val="none" w:sz="0" w:space="0" w:color="auto"/>
        <w:bottom w:val="none" w:sz="0" w:space="0" w:color="auto"/>
        <w:right w:val="none" w:sz="0" w:space="0" w:color="auto"/>
      </w:divBdr>
    </w:div>
    <w:div w:id="291058987">
      <w:bodyDiv w:val="1"/>
      <w:marLeft w:val="0"/>
      <w:marRight w:val="0"/>
      <w:marTop w:val="0"/>
      <w:marBottom w:val="0"/>
      <w:divBdr>
        <w:top w:val="none" w:sz="0" w:space="0" w:color="auto"/>
        <w:left w:val="none" w:sz="0" w:space="0" w:color="auto"/>
        <w:bottom w:val="none" w:sz="0" w:space="0" w:color="auto"/>
        <w:right w:val="none" w:sz="0" w:space="0" w:color="auto"/>
      </w:divBdr>
    </w:div>
    <w:div w:id="375398911">
      <w:bodyDiv w:val="1"/>
      <w:marLeft w:val="0"/>
      <w:marRight w:val="0"/>
      <w:marTop w:val="0"/>
      <w:marBottom w:val="0"/>
      <w:divBdr>
        <w:top w:val="none" w:sz="0" w:space="0" w:color="auto"/>
        <w:left w:val="none" w:sz="0" w:space="0" w:color="auto"/>
        <w:bottom w:val="none" w:sz="0" w:space="0" w:color="auto"/>
        <w:right w:val="none" w:sz="0" w:space="0" w:color="auto"/>
      </w:divBdr>
    </w:div>
    <w:div w:id="380135183">
      <w:bodyDiv w:val="1"/>
      <w:marLeft w:val="0"/>
      <w:marRight w:val="0"/>
      <w:marTop w:val="0"/>
      <w:marBottom w:val="0"/>
      <w:divBdr>
        <w:top w:val="none" w:sz="0" w:space="0" w:color="auto"/>
        <w:left w:val="none" w:sz="0" w:space="0" w:color="auto"/>
        <w:bottom w:val="none" w:sz="0" w:space="0" w:color="auto"/>
        <w:right w:val="none" w:sz="0" w:space="0" w:color="auto"/>
      </w:divBdr>
    </w:div>
    <w:div w:id="402221318">
      <w:bodyDiv w:val="1"/>
      <w:marLeft w:val="0"/>
      <w:marRight w:val="0"/>
      <w:marTop w:val="0"/>
      <w:marBottom w:val="0"/>
      <w:divBdr>
        <w:top w:val="none" w:sz="0" w:space="0" w:color="auto"/>
        <w:left w:val="none" w:sz="0" w:space="0" w:color="auto"/>
        <w:bottom w:val="none" w:sz="0" w:space="0" w:color="auto"/>
        <w:right w:val="none" w:sz="0" w:space="0" w:color="auto"/>
      </w:divBdr>
    </w:div>
    <w:div w:id="413356975">
      <w:bodyDiv w:val="1"/>
      <w:marLeft w:val="0"/>
      <w:marRight w:val="0"/>
      <w:marTop w:val="0"/>
      <w:marBottom w:val="0"/>
      <w:divBdr>
        <w:top w:val="none" w:sz="0" w:space="0" w:color="auto"/>
        <w:left w:val="none" w:sz="0" w:space="0" w:color="auto"/>
        <w:bottom w:val="none" w:sz="0" w:space="0" w:color="auto"/>
        <w:right w:val="none" w:sz="0" w:space="0" w:color="auto"/>
      </w:divBdr>
    </w:div>
    <w:div w:id="734619967">
      <w:bodyDiv w:val="1"/>
      <w:marLeft w:val="0"/>
      <w:marRight w:val="0"/>
      <w:marTop w:val="0"/>
      <w:marBottom w:val="0"/>
      <w:divBdr>
        <w:top w:val="none" w:sz="0" w:space="0" w:color="auto"/>
        <w:left w:val="none" w:sz="0" w:space="0" w:color="auto"/>
        <w:bottom w:val="none" w:sz="0" w:space="0" w:color="auto"/>
        <w:right w:val="none" w:sz="0" w:space="0" w:color="auto"/>
      </w:divBdr>
    </w:div>
    <w:div w:id="889145629">
      <w:bodyDiv w:val="1"/>
      <w:marLeft w:val="0"/>
      <w:marRight w:val="0"/>
      <w:marTop w:val="0"/>
      <w:marBottom w:val="0"/>
      <w:divBdr>
        <w:top w:val="none" w:sz="0" w:space="0" w:color="auto"/>
        <w:left w:val="none" w:sz="0" w:space="0" w:color="auto"/>
        <w:bottom w:val="none" w:sz="0" w:space="0" w:color="auto"/>
        <w:right w:val="none" w:sz="0" w:space="0" w:color="auto"/>
      </w:divBdr>
    </w:div>
    <w:div w:id="1129010751">
      <w:bodyDiv w:val="1"/>
      <w:marLeft w:val="0"/>
      <w:marRight w:val="0"/>
      <w:marTop w:val="0"/>
      <w:marBottom w:val="0"/>
      <w:divBdr>
        <w:top w:val="none" w:sz="0" w:space="0" w:color="auto"/>
        <w:left w:val="none" w:sz="0" w:space="0" w:color="auto"/>
        <w:bottom w:val="none" w:sz="0" w:space="0" w:color="auto"/>
        <w:right w:val="none" w:sz="0" w:space="0" w:color="auto"/>
      </w:divBdr>
    </w:div>
    <w:div w:id="1242106973">
      <w:bodyDiv w:val="1"/>
      <w:marLeft w:val="0"/>
      <w:marRight w:val="0"/>
      <w:marTop w:val="0"/>
      <w:marBottom w:val="0"/>
      <w:divBdr>
        <w:top w:val="none" w:sz="0" w:space="0" w:color="auto"/>
        <w:left w:val="none" w:sz="0" w:space="0" w:color="auto"/>
        <w:bottom w:val="none" w:sz="0" w:space="0" w:color="auto"/>
        <w:right w:val="none" w:sz="0" w:space="0" w:color="auto"/>
      </w:divBdr>
    </w:div>
    <w:div w:id="1451819939">
      <w:bodyDiv w:val="1"/>
      <w:marLeft w:val="0"/>
      <w:marRight w:val="0"/>
      <w:marTop w:val="0"/>
      <w:marBottom w:val="0"/>
      <w:divBdr>
        <w:top w:val="none" w:sz="0" w:space="0" w:color="auto"/>
        <w:left w:val="none" w:sz="0" w:space="0" w:color="auto"/>
        <w:bottom w:val="none" w:sz="0" w:space="0" w:color="auto"/>
        <w:right w:val="none" w:sz="0" w:space="0" w:color="auto"/>
      </w:divBdr>
    </w:div>
    <w:div w:id="1478961793">
      <w:bodyDiv w:val="1"/>
      <w:marLeft w:val="0"/>
      <w:marRight w:val="0"/>
      <w:marTop w:val="0"/>
      <w:marBottom w:val="0"/>
      <w:divBdr>
        <w:top w:val="none" w:sz="0" w:space="0" w:color="auto"/>
        <w:left w:val="none" w:sz="0" w:space="0" w:color="auto"/>
        <w:bottom w:val="none" w:sz="0" w:space="0" w:color="auto"/>
        <w:right w:val="none" w:sz="0" w:space="0" w:color="auto"/>
      </w:divBdr>
    </w:div>
    <w:div w:id="1855000731">
      <w:bodyDiv w:val="1"/>
      <w:marLeft w:val="0"/>
      <w:marRight w:val="0"/>
      <w:marTop w:val="0"/>
      <w:marBottom w:val="0"/>
      <w:divBdr>
        <w:top w:val="none" w:sz="0" w:space="0" w:color="auto"/>
        <w:left w:val="none" w:sz="0" w:space="0" w:color="auto"/>
        <w:bottom w:val="none" w:sz="0" w:space="0" w:color="auto"/>
        <w:right w:val="none" w:sz="0" w:space="0" w:color="auto"/>
      </w:divBdr>
    </w:div>
    <w:div w:id="1954046804">
      <w:bodyDiv w:val="1"/>
      <w:marLeft w:val="0"/>
      <w:marRight w:val="0"/>
      <w:marTop w:val="0"/>
      <w:marBottom w:val="0"/>
      <w:divBdr>
        <w:top w:val="none" w:sz="0" w:space="0" w:color="auto"/>
        <w:left w:val="none" w:sz="0" w:space="0" w:color="auto"/>
        <w:bottom w:val="none" w:sz="0" w:space="0" w:color="auto"/>
        <w:right w:val="none" w:sz="0" w:space="0" w:color="auto"/>
      </w:divBdr>
    </w:div>
    <w:div w:id="20277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18540</Words>
  <Characters>10568</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2023-03-24T19:12:00Z</dcterms:created>
  <dcterms:modified xsi:type="dcterms:W3CDTF">2023-03-24T20:20:00Z</dcterms:modified>
</cp:coreProperties>
</file>