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2D" w:rsidRDefault="00B6072D" w:rsidP="00B6072D">
      <w:pPr>
        <w:pStyle w:val="a3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C1E21"/>
          <w:sz w:val="28"/>
          <w:szCs w:val="28"/>
          <w:lang w:val="uk-UA"/>
        </w:rPr>
      </w:pPr>
    </w:p>
    <w:p w:rsidR="00B6072D" w:rsidRDefault="00862D87" w:rsidP="00B6072D">
      <w:pPr>
        <w:pStyle w:val="a3"/>
        <w:shd w:val="clear" w:color="auto" w:fill="FFFFFF"/>
        <w:spacing w:before="0" w:beforeAutospacing="0" w:after="90" w:afterAutospacing="0" w:line="360" w:lineRule="auto"/>
        <w:jc w:val="center"/>
        <w:rPr>
          <w:rFonts w:asciiTheme="minorHAnsi" w:hAnsiTheme="minorHAnsi" w:cstheme="minorHAnsi"/>
          <w:color w:val="1C1E21"/>
          <w:sz w:val="28"/>
          <w:szCs w:val="28"/>
          <w:lang w:val="uk-UA"/>
        </w:rPr>
      </w:pPr>
      <w:r w:rsidRPr="00B6072D">
        <w:rPr>
          <w:rFonts w:asciiTheme="minorHAnsi" w:hAnsiTheme="minorHAnsi" w:cstheme="minorHAnsi"/>
          <w:b/>
          <w:color w:val="1C1E21"/>
          <w:sz w:val="28"/>
          <w:szCs w:val="28"/>
        </w:rPr>
        <w:t>У рамках Місячника профорієнтації «Професійний орієнтир» реалізація проекту «SMART CAREER GUIDANCE»</w:t>
      </w:r>
      <w:r w:rsidRPr="00B6072D">
        <w:rPr>
          <w:rFonts w:asciiTheme="minorHAnsi" w:hAnsiTheme="minorHAnsi" w:cstheme="minorHAnsi"/>
          <w:b/>
          <w:color w:val="1C1E21"/>
          <w:sz w:val="28"/>
          <w:szCs w:val="28"/>
        </w:rPr>
        <w:br/>
      </w:r>
    </w:p>
    <w:p w:rsidR="00862D87" w:rsidRPr="00B6072D" w:rsidRDefault="00862D87" w:rsidP="00B6072D">
      <w:pPr>
        <w:pStyle w:val="a3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C1E21"/>
          <w:sz w:val="28"/>
          <w:szCs w:val="28"/>
        </w:rPr>
      </w:pPr>
      <w:r w:rsidRPr="00B6072D">
        <w:rPr>
          <w:rFonts w:asciiTheme="minorHAnsi" w:hAnsiTheme="minorHAnsi" w:cstheme="minorHAnsi"/>
          <w:color w:val="1C1E21"/>
          <w:sz w:val="28"/>
          <w:szCs w:val="28"/>
        </w:rPr>
        <w:t>Молодь є специфічною, соціально-економічною групою населення, яка потребує додаткових заходів підтримки на ринку праці, це також підтверджується аналізом причин молодіжного безробіття</w:t>
      </w:r>
      <w:bookmarkStart w:id="0" w:name="_GoBack"/>
      <w:bookmarkEnd w:id="0"/>
      <w:r w:rsidRPr="00B6072D">
        <w:rPr>
          <w:rFonts w:asciiTheme="minorHAnsi" w:hAnsiTheme="minorHAnsi" w:cstheme="minorHAnsi"/>
          <w:color w:val="1C1E21"/>
          <w:sz w:val="28"/>
          <w:szCs w:val="28"/>
        </w:rPr>
        <w:t>. Основними факторами, які впливають на працевлаштування молоді є особистий потенціал і самооцінка, мотиви і ціннісні орієнтації, ступінь професійного самовизначення, рівень і якість освіти, місце </w:t>
      </w:r>
      <w:r w:rsidRPr="00B6072D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проживання, наявність трудової біографії, соціальна захищеність та діяльність.</w:t>
      </w:r>
      <w:r w:rsidRPr="00B6072D">
        <w:rPr>
          <w:rFonts w:asciiTheme="minorHAnsi" w:hAnsiTheme="minorHAnsi" w:cstheme="minorHAnsi"/>
          <w:color w:val="1C1E21"/>
          <w:sz w:val="28"/>
          <w:szCs w:val="28"/>
        </w:rPr>
        <w:br/>
      </w:r>
      <w:r w:rsidRPr="00B6072D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Тому з цього приводу протягом березня поточного року у рамках Місячника профорієнтації провідний фахівець з профорієнтації Юлія Костенко впровадила власний профорієнтаційний проект «SMART CAREER GUIDANCE» для учнів старшої школи. Тренінги були спрямовані на постійну аудиторію та мали відповідну тематику.</w:t>
      </w:r>
      <w:r w:rsidRPr="00B6072D">
        <w:rPr>
          <w:rFonts w:asciiTheme="minorHAnsi" w:hAnsiTheme="minorHAnsi" w:cstheme="minorHAnsi"/>
          <w:color w:val="1C1E21"/>
          <w:sz w:val="28"/>
          <w:szCs w:val="28"/>
        </w:rPr>
        <w:br/>
      </w:r>
      <w:r w:rsidRPr="00B6072D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Метою проекту було формування загальної готовності учнів до професійного самовизначення, активізація проблеми вибору професії, виявлення професійних інтересів, схильностей учнів, розвиток навичок планування та розрахунку свого часу.</w:t>
      </w:r>
      <w:r w:rsidRPr="00B6072D">
        <w:rPr>
          <w:rFonts w:asciiTheme="minorHAnsi" w:hAnsiTheme="minorHAnsi" w:cstheme="minorHAnsi"/>
          <w:color w:val="1C1E21"/>
          <w:sz w:val="28"/>
          <w:szCs w:val="28"/>
        </w:rPr>
        <w:br/>
      </w:r>
      <w:r w:rsidRPr="00B6072D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Проект складався з тематичних тренінгів, завдяки практичним та теоретичним вправам, медіа матеріалам, учні навчились основам тайм-менеджменту, ознайомились з актуальними професіями. новими вимогами щодо сучасного конкурентоспроможного фахівця, дізнались, як планувати власне професійне майбутнє, завдяки дієвим формулам та алгоритмам.</w:t>
      </w:r>
      <w:r w:rsidRPr="00B6072D">
        <w:rPr>
          <w:rFonts w:asciiTheme="minorHAnsi" w:hAnsiTheme="minorHAnsi" w:cstheme="minorHAnsi"/>
          <w:color w:val="1C1E21"/>
          <w:sz w:val="28"/>
          <w:szCs w:val="28"/>
        </w:rPr>
        <w:br/>
      </w:r>
      <w:r w:rsidRPr="00B6072D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Наприкінці проекту поставлена мета була досягнута, а учні залишились вдячним за нові корисні знання.</w:t>
      </w:r>
    </w:p>
    <w:p w:rsidR="00862D87" w:rsidRPr="00B6072D" w:rsidRDefault="00862D87" w:rsidP="00B6072D">
      <w:pPr>
        <w:pStyle w:val="a3"/>
        <w:shd w:val="clear" w:color="auto" w:fill="FFFFFF"/>
        <w:spacing w:before="0" w:beforeAutospacing="0" w:after="90" w:afterAutospacing="0" w:line="360" w:lineRule="auto"/>
        <w:rPr>
          <w:rFonts w:asciiTheme="minorHAnsi" w:hAnsiTheme="minorHAnsi" w:cstheme="minorHAnsi"/>
          <w:color w:val="1C1E21"/>
          <w:sz w:val="28"/>
          <w:szCs w:val="28"/>
          <w:lang w:val="uk-UA"/>
        </w:rPr>
      </w:pPr>
      <w:r w:rsidRPr="00B6072D">
        <w:rPr>
          <w:rFonts w:asciiTheme="minorHAnsi" w:hAnsiTheme="minorHAnsi" w:cstheme="minorHAnsi"/>
          <w:color w:val="1C1E21"/>
          <w:sz w:val="28"/>
          <w:szCs w:val="28"/>
        </w:rPr>
        <w:t>Провідний фахівец</w:t>
      </w:r>
      <w:r w:rsidR="00B6072D">
        <w:rPr>
          <w:rFonts w:asciiTheme="minorHAnsi" w:hAnsiTheme="minorHAnsi" w:cstheme="minorHAnsi"/>
          <w:color w:val="1C1E21"/>
          <w:sz w:val="28"/>
          <w:szCs w:val="28"/>
        </w:rPr>
        <w:t>ь з профорієнтації</w:t>
      </w:r>
      <w:r w:rsidR="00B6072D">
        <w:rPr>
          <w:rFonts w:asciiTheme="minorHAnsi" w:hAnsiTheme="minorHAnsi" w:cstheme="minorHAnsi"/>
          <w:color w:val="1C1E21"/>
          <w:sz w:val="28"/>
          <w:szCs w:val="28"/>
          <w:lang w:val="uk-UA"/>
        </w:rPr>
        <w:t>,</w:t>
      </w:r>
      <w:r w:rsidR="00B6072D">
        <w:rPr>
          <w:rFonts w:asciiTheme="minorHAnsi" w:hAnsiTheme="minorHAnsi" w:cstheme="minorHAnsi"/>
          <w:color w:val="1C1E21"/>
          <w:sz w:val="28"/>
          <w:szCs w:val="28"/>
        </w:rPr>
        <w:br/>
        <w:t>Юлія Костенк</w:t>
      </w:r>
      <w:r w:rsidR="00B6072D">
        <w:rPr>
          <w:rFonts w:asciiTheme="minorHAnsi" w:hAnsiTheme="minorHAnsi" w:cstheme="minorHAnsi"/>
          <w:color w:val="1C1E21"/>
          <w:sz w:val="28"/>
          <w:szCs w:val="28"/>
          <w:lang w:val="uk-UA"/>
        </w:rPr>
        <w:t>о</w:t>
      </w:r>
    </w:p>
    <w:sectPr w:rsidR="00862D87" w:rsidRPr="00B6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87"/>
    <w:rsid w:val="0038368A"/>
    <w:rsid w:val="00862D87"/>
    <w:rsid w:val="00B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xtexposedshow">
    <w:name w:val="text_exposed_show"/>
    <w:basedOn w:val="a0"/>
    <w:rsid w:val="0086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xtexposedshow">
    <w:name w:val="text_exposed_show"/>
    <w:basedOn w:val="a0"/>
    <w:rsid w:val="0086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2020-04-05T12:15:00Z</dcterms:created>
  <dcterms:modified xsi:type="dcterms:W3CDTF">2020-04-05T12:27:00Z</dcterms:modified>
</cp:coreProperties>
</file>