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Кафедра хімічної інженерії та екології</w:t>
      </w:r>
    </w:p>
    <w:p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ЗВІТ</w:t>
      </w:r>
    </w:p>
    <w:p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ландшафтно-екологічної навчальної практики</w:t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Здобувача вищої освіти 3 курсу, </w:t>
      </w:r>
    </w:p>
    <w:p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Спеціальність 101 Екологія </w:t>
      </w:r>
    </w:p>
    <w:p>
      <w:pPr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pStyle w:val="7"/>
        <w:shd w:val="clear" w:color="auto" w:fill="FFFFFF"/>
        <w:spacing w:before="0" w:beforeAutospacing="0"/>
        <w:rPr>
          <w:color w:val="292B2C"/>
          <w:sz w:val="28"/>
          <w:szCs w:val="28"/>
          <w:lang w:val="uk-UA"/>
        </w:rPr>
      </w:pPr>
      <w:r>
        <w:rPr>
          <w:color w:val="292B2C"/>
          <w:sz w:val="28"/>
          <w:szCs w:val="28"/>
          <w:lang w:val="uk-UA"/>
        </w:rPr>
        <w:t>Керівник практики:</w:t>
      </w:r>
    </w:p>
    <w:p>
      <w:pPr>
        <w:pStyle w:val="7"/>
        <w:shd w:val="clear" w:color="auto" w:fill="FFFFFF"/>
        <w:spacing w:before="0" w:beforeAutospacing="0"/>
        <w:rPr>
          <w:color w:val="292B2C"/>
          <w:sz w:val="28"/>
          <w:szCs w:val="28"/>
          <w:lang w:val="uk-UA"/>
        </w:rPr>
      </w:pPr>
      <w:r>
        <w:rPr>
          <w:color w:val="292B2C"/>
          <w:sz w:val="28"/>
          <w:szCs w:val="28"/>
          <w:lang w:val="uk-UA"/>
        </w:rPr>
        <w:t>Результат практики:</w:t>
      </w:r>
    </w:p>
    <w:p>
      <w:pPr>
        <w:rPr>
          <w:sz w:val="28"/>
          <w:szCs w:val="28"/>
          <w:lang w:val="ru-RU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</w:t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  <w:bookmarkStart w:id="0" w:name="_GoBack"/>
      <w:bookmarkEnd w:id="0"/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ЗМІСТ </w:t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Вступ </w:t>
      </w: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Основні теоретичні відомості з ландшафтної екології. 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Фізико-географічна характеристика району.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Характеристика антропогенних навантажень та екологічної ситуації.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Методи і методики ландшафтно-екологічних досліджень. 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Результати досліджень.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6. Аналіз результатів:</w:t>
      </w:r>
    </w:p>
    <w:p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6.1 Висновки</w:t>
      </w: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6.2</w:t>
      </w:r>
      <w:r>
        <w:rPr>
          <w:sz w:val="28"/>
          <w:szCs w:val="28"/>
          <w:lang w:val="ru-RU"/>
        </w:rPr>
        <w:t>Література</w:t>
      </w:r>
      <w:r>
        <w:rPr>
          <w:sz w:val="28"/>
          <w:szCs w:val="28"/>
          <w:lang w:val="uk-UA"/>
        </w:rPr>
        <w:t xml:space="preserve"> </w:t>
      </w:r>
    </w:p>
    <w:p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6.3 Додатки</w:t>
      </w: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rPr>
          <w:sz w:val="28"/>
          <w:szCs w:val="28"/>
          <w:lang w:val="uk-UA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ландшафтно-екологічної навчальної практики – формування, закріплення та актуалізація знань та умінь, необхідних для дослідження екологічного стану геосистем, характерних для території обраного району, ступеня їх антропогенного перетворення та його екологічних наслідків; оволодіння методами та методиками ландшафтно-екологічних досліджень; формування здібностей виконання конкретного наукового дослідження з актуальної ландшафтно-екологічної тематики.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Завдання практики: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систематизація, закріплення і поглиблення теоретичних знань, отриманих в процесі навчання;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освоєння методів дослідження та картування геосистем регіонального і локального рівнів;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оволодіння методом ландшафтного профілювання, прийомами і методами роботи на «ключових» еталонних ділянках, які дозволяють проводити аналіз взаємозв'язків та взаємодії компонентів в геосистемах, виявляти закономірності в їх структурі і динаміці, визначати основні тенденції їх еволюції під дією природних і антропогенних факторів, проводити оцінку природних ресурсів геосистем для господарських цілей та оптимізації природокористування;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 освоєння методів і прийомів ландшафтного прогнозування, розробки рекомендацій щодо охорони і відновлення геосистем.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Район проведення практикуму: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190500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 цій роботі розглядається екологічно-ланшафтний аналіз,на вплив природних та антропогенних факторів на ландшафти  Імереті, провінції в Західної Грузії. Екологічний стан ландшафту оцінюється на основі польових досліджень вибіркових ділянок.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Метою досл</w:t>
      </w:r>
      <w:r>
        <w:rPr>
          <w:rFonts w:ascii="Times New Roman" w:hAnsi="Times New Roman" w:cs="Times New Roman"/>
          <w:sz w:val="28"/>
          <w:szCs w:val="28"/>
          <w:lang w:val="uk-UA"/>
        </w:rPr>
        <w:t>ідження стало антропогенний та природній вплив на зазначений район.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Фактори впливу на навколишнє середовище включають забруднення повітря, води та ґрунту, а також інтенсивність ерозії, селів і зсувів. На його основі була складена схема, що відображає екологічний стан гірничорудного регіону Чіатура.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ТЕОРЕТИЧНІ ВІДОМОСТІ З ЛАНДШАФТНОЇ ЕКОЛОГІЇ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Регіон Імереті багатий флорою і фауною. </w:t>
      </w:r>
      <w:r>
        <w:rPr>
          <w:rFonts w:ascii="Times New Roman" w:hAnsi="Times New Roman" w:cs="Times New Roman"/>
          <w:sz w:val="28"/>
          <w:szCs w:val="28"/>
          <w:lang w:val="ru-RU"/>
        </w:rPr>
        <w:t>Його територія покрита 250 000 гектарами лісу, який в основному розкинувся по гірському ландшафту. Максимальна висота становить 2850 метрів над рівнем моря.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Флора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 хвойних представників тут можна зустріти тис ягідний (тахус баццатта). Тут описано до 67 видів судинних рослин, з яких до деревних відноситься 30 видів, а 37 видів відноситься до чагарникових. З представлених видів 59 відноситься до листяних, а 8 видів відноситься до вічнозелених.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Практично половина судинних рослин є реліктовими. Серед них Кавказький граб, Грузинський дуб, Східний бук, каштан та інші.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 елементів Колхідського лісу  поширені 8 видів: дуб Гартвіса, імеретинська крушина, рододендрон Понтійський, іглиця Понтійська, Бабина ягода (іглиця листоплідна, Олександрійський лавр), клекачка імеретинська, чорниця кавказька і Колхідський самшит. З елементів Полтавської флори, самшит, Колхідський плющ, рододендрон понтійський та інші.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 лугових рослин тут поширені 482 види рослин.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Види, внесені в Червону книгу Грузії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Ягідний тис (Taxus baccataL.), Колхідський самшит (BuxuscolchicaPojark.), каштан (Castanea sativa Mill.), Імеретинський дуб (QuercusimeretinaStev. ex. Maleev.), Колхідська (StaphyleacolchicaStev.), дзельква (Zelcovacarpinifolia (Pall.) C. Koch.) та інші.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Поряд з листяними лісами тут зустрічаються хвойні і змішані ліси.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Фауна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районі Імереті 12 видів ссавців, 5 видів рептилій, 4 види амфібій і 30 різновидів птахів. З великих ссавців тут зустрічаються Кавказький ведмідь, дятел, олень, козуля і черепаха, шакал, Борсук, лісова куниця, кавказька білка, Європейський заєць і лисиця, рідше зустрічаються вовки . Прекрасні пейзажі колхідських лісів наповнені безліччю птахів. Заповідні території є володінням ластівок, кавказьких зябликів, зябликів і сойок. На цих територіях частими гостями є удоди, перепела і Вальдшнепи.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території Імереті збереглися сліди травоїдних і хижих динозаврів, що мешкали в цих краях за часів стародавніх геологічних епох.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Слід зазначити, що ці сліди сконцентровані на досить невеликій території, що вказує на те, що ця місцевість була місцем проживання динозаврів. Сліди виявлених тут динозаврів вчені виділяють в окрему групу і називають їх Сатапліазаурус. Серед них: Sataphliazaurus dzotsenidze, Sataphliazaurus tchabukiani; Sataphliazaurus gabunia та інші.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Печери Імереті є притулком для безлічі різновидів кажанів, один з яких є рідкісним і знаходяться на межі зникнення. Тут можна зустріти: порівняно велику колонію малого підковоноса (RhinolophushipposiderosBechtein). Крім вищевказаного виду на території печер поширені: великий підковоніс (Rhinolophus ferrumequinum); гостровуха нічниця (Myotis oxygnathus Monticelli); Нічницю Наттерера (Myotis nattereri Kuhl), вусата нічниця (Myotis mystacinuskuhl.); мала вечорниця (Nyctalisleisteri Kuhl); руда веченіца (Nyctalis noctulaSchreber).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Види, внесені в» Червоний список  Грузії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>За існуючими даними на території Імереті поширено 8 видів пернатих і один вид кажанів: це довговуха нічниця (Myotis bechsteini Kuhl.). З птахів слід відзначити польову боривітер, волохатого Сича, канюка, польового канюка або курганника, великого підорлика та інших.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Ендеміка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 малих ссавців дев'ять видів належать до місцевої ендеміки. Серед них малоазіатська миша (Sylvamusmystacinus), кавказька лісова миша (Sylva emus full vipectus), чорний щур (Rattus rattus) та інші.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До сих пір зберігається екологічно чиста і незаймана природа, особливо в гірських районах.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таких зон належать Сатаплія, Аджаметі, Мухнарі, Вані, Чіатура, Багдаті і особливо Національний парк Боржомі-Харагаулі, який займає площу в 24 000 гектарів. Туристичні та рекреаційні зони включають водосховища Ткібулі, Шаорі та Бріонес. Крім великих озер, в Імереті є багато невеликих природних озер на висоті 1000 і 1500 метрів над рівнем моря. економіка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Сільське господарство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Сільське господарство є однією з важливих галузей регіону. Основними рослинними продуктами є кукурудза, виноград і овочі. Зокрема, зелень-фенхель, коріандр, петрушка, зелена цибуля і кунжут протягом усього сезону, а також спеції. Сировинна база Цхалтубинський район, де можна нал</w:t>
      </w:r>
      <w:r>
        <w:rPr>
          <w:rFonts w:ascii="Times New Roman" w:hAnsi="Times New Roman" w:cs="Times New Roman"/>
          <w:sz w:val="28"/>
          <w:szCs w:val="28"/>
          <w:lang w:val="uk-UA"/>
        </w:rPr>
        <w:t>ічувати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3 тис.тонн.Фенхелю,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500 тонн. Кінзи,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1500 тонн. Петрушки,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250 тонн. Перець,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також шафран, кріп і чабер в межах 20 тонн.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Овочі це-огірки, помідори, спаржа, сочевиця (муніципалітети Цхалтубо, Вані, Багдаті);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Фрукти-яблука, груші, сливи, ткемалі, хурма, фенхель (муніципалітети Вані, Терджола, Самтредіа);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Мед (Багдаті, Харагаулі, Цхалтубо, Терджола). Основними зонами Мехайєоби є: Цхалтубо, Ткібулі і Хоні.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Вирощування чаю та інших субтропічних культур.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Корисні копалини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Регіон значно відрізняється різноманітністю мінеральних ресурсів на території Грузії. В даний час в Імереті налічується понад 100 родовищ корисних копалин, більше половини з яких призначені для експорту.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Імереті-унікальний регіон, в якому знаходиться величезне родовище марганцю (mn). Саме в чиатурском районі зосереджено 40% всіх світових запасів марганцю. Решта 60% розсіяні по планеті дрібними дозами. Якщо пощастить, то можна потрапити на рудник і помацати Марганець руками.Основним мінеральним багатством є Чіатурскій Марганець зі збалансованими і позабалансовими запасами в 215 мільйонів тонн всіх видів руд (іржавих, карбонатних, окислених, змішаних, пісковиків). Існування все ще необроблених запасів марганцю ймовірно в районах Квірілі і Зестапоні, Чхарі-Аджаметі, Кутаїсі і Терджола. Значними мінеральними ресурсами регіону є вугілля Ткібулі і Гелаті, барит, ліатоніт.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межах Кахетинської рівнини розвідані родовища нафти, а Колхідської низовини – родовища нафти і торфу.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Регіон також багатий будівельними матеріалами: Курсебським тешнітом, Екларський камінь (білий і рожевий), мармур, вапняк, каолін, кварцові піски та запаси глини. Район Кутаїсі багатий бентонітовими глинами (гумбріні), покладами базальту.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Видобуток міді, цинку, миш'яку, ртуті, тальку, мергелю, заліза, золота, граніту.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Рекреаційні ресурси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Імереті займає провідне місце в рекреаційній системі, у вигляді унікальних природних і гідромінеральних ресурсів, мінеральних вод. Цхалтубо, Саірме в муніципалітеті Багдаті, Нуніс в Харагаулі, Сулорі Вані, а також різні мінеральні джерела в Сачхері відокремлені від цілющих вод. Тут є великий запас термальних вод.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Гірські і лісові масиви займають площу в 250 000 гектарів. Рекреаційні ресурси - це гірська піхота, катання на гірських конях, спелеотуризм, рафтинг по річці Ріо. Одним з основних напрямків туристичних продуктів в Імереті є курорти та оздоровчі зони. Ландшафт регіону, цілющі мінеральні води роблять бальнеологічні курорти привабливими для туристів. В даний час в Імереті налічується 53 курорту і бази відпочинку, в тому числі Цхалтубо, Саірме, Нунісі, Сімонеті, Сулорі, Сацире, Чітурі-Хреіті, Самтредіа, Зваре, Амаглеба. Особливої уваги заслуговує природний заповідник Сатаплія в районі Цхалтубо (345га)з карстовою печерою і слідами динозаврів. </w:t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854960" cy="19145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5091" cy="196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381250" cy="19145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5596" cy="195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571750" cy="1925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471" cy="194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ФІЗИКО-ГЕОГРАФІЧНА ХАРАКТЕРИСТИКА РАЙОНУ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Топографія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845560" cy="247650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4162" cy="2488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Місцезнаходження: Кутаїсі, Імеретія, Грузія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(42.19712 42.60616 42.32094 42.74188)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Середня висота: 189 м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Мінімальна висота: 93 м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Максимальна висота: 599 мм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931160" cy="17240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6725" cy="17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карті позначено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Імереті розташована в західній частині Грузії. До нього входять місто Кутаїсі адміністративний центр і 11 муніципалітетів: Багдаді, Вані, Зестафоні, Самтредіа, Сачхере, Тержола,Ткібулі, Цхалтубо, Чіатура, Харагаулі, Хані. Площа регіону становить 6552 км2,або 9,4% від усієї території Грузії.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Імереті об'єднана в три великих фізико-географічних райони: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1. Південний схил і передгір'я Головного Кавказького хребта,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Волога субтропічна рівнина Колхідської низовини (східна частина) і в районі північного схилу і передгір'їв Аджарії-Імереті(Месхетинський) хребет.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Імереті знаходиться в східній частині Західної Грузії. На Сході він обмежений хребтом Ліхі, на заході - річкою Цхенісцкалі, на півночі - Кавказький хребет, а на півдні - парсаті або Месхетськими горами. З півночі регіону межує з Рача-Лечхумі і Квемо Сванеті, зі сходу - Шида Картлі, з півдня Самцхе-Джавахеті і А з заходу Гурія і Самегрело-Земо Сванеті.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Чітко визначені природні кордони дають регіону фізико-географічну відособленість. На Імеретинській території зустрічаються всі ландшафтні пояси-від сирої субтропічного до альпійських лугів. Імеретія поділяється на дві частини: верхню та нижню Імеретію. Імереті зв'язується з іншими регіонами Грузії наступними перевалами: Рача - з Накерала (1235 м) і Шкмері; Картлі - Рікоті (999 м) і Сурамі (947 м); Месхетія - зекарі (2178 м).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Ця сторона багата внутрішніми водами. Основними транзитними річками є Ріоні і Цхенісцкалі. В Імеретинській області протікають річки: Дзірула, Чкерімела, Квіріла, Рікотула та інші.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Його географічне положення визначає особливості його природних умов і ресурсів.Він характеризується різноманітністю природно-територіальних комплексів-ландшафтів.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Рельєф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Крупні: горний,рівнинний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Сердні:хребти,низини,узвищення.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243195" cy="3495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352" cy="349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Грунти</w:t>
      </w:r>
      <w:r>
        <w:rPr>
          <w:rFonts w:ascii="Times New Roman" w:hAnsi="Times New Roman" w:cs="Times New Roman"/>
          <w:sz w:val="28"/>
          <w:szCs w:val="28"/>
          <w:lang w:val="ru-RU"/>
        </w:rPr>
        <w:t>: бурі лісові, перегнійно-карбонатні, алювіальні, червоноземні і підзолисті,бурі-лісні,рерра-росса,горно-луговие</w:t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690495" cy="2006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0681" cy="204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143250" cy="21164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58657" cy="2126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Переважне поширення: алювіальні, субтропічні Жовті ґрунти, червоноземи, гумусово-карбонатні та коралові ґрунти. У високогірних районах також зустрічаються світло-коричневі лісові грунти. Жовтий ґрунт і тонкий шар червоного ґрунту.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Аналізуючи поширення морфотипів гумусу,ми можемо спостерігати ,що в районі Імеретії переважае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Модер (гумус дерново-підзолистої грунту), що формується при середніх біологічних активностях в умови кислої реакції середовища і слабо взаємодіє з мінеральною частиною грунтів.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Аналізуючи прцесс лесіважу в грунтах ,ми можемо зробіти висновок,що в Імеретії переважаюсь пилові та глинисті(у меньшості) натіки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747010" cy="20472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700" cy="206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696210" cy="2009140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6581" cy="204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552700" cy="18935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2665" cy="19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Аналізуючи оглинення Імеретії робимо висновок,про слабкє та середнє оглинення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Хімічний склад грунтів Імеретії</w:t>
      </w: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543300" cy="22269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1524" cy="223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Клімат: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Клімат в Імереті морський, субтропічний, зима тут тепла, літо спекотне, середня температура повітря 14 -15 градусів. У Земо (Верхня) Імереті Клімат морський, волого-субтропічний, зима тут відносно холодна і більше опадів.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Імереті, виноградарсько-виноробна зона Грузії. Займає сх. частина Зап. Грузія. У рельєфі Імереті переважають гористі місцевості. Клімат надмірно вологий з помірно холодною зимою і жарким літом; сильних морозів майже не буває, лише в окремі роки температура падає нижче — 15°С.сума активних температур коливається від 3500° до 4400°с.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                 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Графіки середьорічних показників клімату: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>
      <w:r>
        <w:drawing>
          <wp:inline distT="0" distB="0" distL="0" distR="0">
            <wp:extent cx="6048375" cy="3000375"/>
            <wp:effectExtent l="0" t="0" r="9525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drawing>
          <wp:inline distT="0" distB="0" distL="0" distR="0">
            <wp:extent cx="6038850" cy="33718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drawing>
          <wp:inline distT="0" distB="0" distL="0" distR="0">
            <wp:extent cx="5791200" cy="2847975"/>
            <wp:effectExtent l="0" t="0" r="0" b="9525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ХАРАКТЕРИСТИКА АНТРОПОГЕННИХ НАВАНТАЖЕНЬ ТА ЕКОЛОГІЧНОЇ СИТУАЦІЇ.</w:t>
      </w: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Екологічний стан сучасних ландшафтів Імереті в значній мірі визначається тими процесами, які викликані антропогенними і природними впливами. Антропогенний вплив на ландшафти в основному обумовлено сільськогосподарськими роботами, лісовим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і міським господарством, видобутком корисних копалин, гідробудувань, будівництва доріг, нераціональним випасом худоби та ін., змінено структуру ландшафту на великих площах.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міському середовищі більшє за все спостерігаються всі різноманітні негативні наслідки, які складаються між функціонуванням природного ландшафту, техногенної частини міської системи і населенням міста. Ландшафти великих міст Кутаїсі, Зестафоні, Самтредія і їх околиці сильно перетворені.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Головним забруднювачем атмосферного повітря в містах є автотранспорт (80-90%), в вихлопних домішок яких припадає понад 85% окису вуглецю,оксидів азоту, та свинцю. Збільшення споживання води та пов'язані з ним зростання скидання стічних вод викликали забруднення р. Ріоні, Квіріла,Дзірула та ін.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Значна роль у забрудненні навколишнього середовища (атмосферне повітря, вода, ґрунт) є важкими металами (Cd, Cu, Mn, Ni, Pb, Zn) відноситься до зестафонського феросплавного заводу, який вважається одним з забруднювачів не тільки в Імереті, але і у всій Грузії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505450" cy="2133600"/>
            <wp:effectExtent l="0" t="0" r="0" b="0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Серед природних компонентів найбільше змінено рослинний покрив, антропогенна трансформація якої і є однією зі значною екологічною проблемою регіону.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Основною тенденцією зміни екотопів і рослинності, утворення вторинних чагарникових і трав'янистих спільнот, наступ адвентивних трав'янистих рослин, що витісняють аборигенну рослинність.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Імереті копалини в основному розробляються відкритим кар'єрним способом. У місцях їх видобутку природні компоненти-рельєф,грунт, рослинність, поверхневі води і ландшафт взагалі цілком заміщені антропогенним ландшафтом,утворюються штучні улоговини, А негідні  породи створюють териконоподібний рельєф.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 цьому з верху знімають шар грунтів, на місці яких утворюються голі, позбавлені грунтово-рослинного покриву улоговиноподібні зниження, гіршої якості ландшафт. Найвищим рівнем зміни ландшафтів при видобутку корисних копалин відрізняється чіатурскій муніципалітет, де більш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100 років йде видобуток марганцевої руди.Загальна площа повністю трансформованого рельєфу перевищила 1,5 тис. га. тут на 1 км2 площі припадає понад 1,3 підземних гірничих виробок, порушення рельєфу тут неминуче викликає зміну як окремих компонентів природи так і всього комплексу в цілому.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закритому способі видобутку марганцевих руд, теж утворюється новий ландшафт, у багатьох місцях при просіданні рельєфу формуються «блюдця», в яких функціонування ландшафту протікає по іншому, видобуток руди закритим способом викликала в околицях м Чіатура докорінну перебудову підземних і поверхневих вод, повністю осушилися колодязі і джерела. Ці процеси не пройшли безслідно і відбилися на ландшафтах, схема зображує екологічний стан Чіатурського гірничодобувного району  виявилося, що під впливом техногенного впливу тут виявляються майже всі види ландшафтів. Найвищу ступінь зміни зазнали два вида: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Крутий схили низькогір'я з дубово-грабовими лісами на змитих, малогумусових бурих лісових ґрунтах та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2.Низькогірне горбисте плато з дубово-грабовими лісами на сірих і дерново-карбонатних ґрунтах.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Виникли певні екологічні проблеми, які є небезпечним для навколишнього середовище.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Фундаментальні зміни рельєфу, активізація геодинамічних процесів (зсуви,селеві потоки). Це відбилося на схемі, що зображує екологічний стан Чіатура, де велика частина зсувних деформацій утворюється через марганцевої видобутку і тунельних обвалів. Середня товщина зруйнованих порід становить 500-1000 м.у районах села Ітхвісі спостерігається тришаровий циркоподібний зсув. В основному, зсувні процеси активізуються за рахунок утворення товстих шарів обрушених тунелів.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Чіатура характеризується особливо високим коефіцієнтом вразливості (0,7-0,9) і знаходиться під високим ризиком розвитку зсувів. Він відноситься до списку регіонів під " дуже високим ризиком»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656840" cy="24669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506" cy="24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МЕТОДИ І МЕТОДИКИ ЛАНДШАФТНО-ЕКОЛОГІЧНИХ ДОСЛІДЖЕНЬ</w:t>
      </w: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Комплексного фізико географічного опису точки спостереження</w:t>
      </w:r>
    </w:p>
    <w:p>
      <w:pPr>
        <w:pStyle w:val="1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Ландшафтне профілювання</w:t>
      </w:r>
    </w:p>
    <w:p>
      <w:pPr>
        <w:pStyle w:val="1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Ландшафтне картографування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Польовий етап</w:t>
      </w:r>
    </w:p>
    <w:p>
      <w:pPr>
        <w:pStyle w:val="1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Екскурсійні заходи</w:t>
      </w:r>
    </w:p>
    <w:p>
      <w:pPr>
        <w:pStyle w:val="1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Закладення точок спостереження</w:t>
      </w:r>
    </w:p>
    <w:p>
      <w:pPr>
        <w:pStyle w:val="1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Польовий опис точок спостереження</w:t>
      </w:r>
    </w:p>
    <w:p>
      <w:pPr>
        <w:pStyle w:val="1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Обробка польових матеріалів</w:t>
      </w:r>
    </w:p>
    <w:p>
      <w:pPr>
        <w:pStyle w:val="1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Складання польової карти урочищ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Камеральний етап</w:t>
      </w:r>
    </w:p>
    <w:p>
      <w:pPr>
        <w:pStyle w:val="1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Класифікація урочищ</w:t>
      </w:r>
    </w:p>
    <w:p>
      <w:pPr>
        <w:pStyle w:val="1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Побудова комплексного фізико-географічного профілю</w:t>
      </w:r>
    </w:p>
    <w:p>
      <w:pPr>
        <w:pStyle w:val="1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Характеристика вертикального і горизонтального будови ландшафтів</w:t>
      </w:r>
    </w:p>
    <w:p>
      <w:pPr>
        <w:pStyle w:val="1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Оцінка потенційної стійкості урочищ до антропогенному впливу</w:t>
      </w:r>
    </w:p>
    <w:p>
      <w:pPr>
        <w:pStyle w:val="1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Оцінка антропогенної перетвореності урочищ</w:t>
      </w:r>
    </w:p>
    <w:p>
      <w:pPr>
        <w:pStyle w:val="1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Складання карти і характеристика екологічного стану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РЕЗУЛЬТАТИ ДОСЛІДЖЕНЬ</w:t>
      </w: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Аналізуючи поширення морфотипів гумусу,ми можемо спостерігати ,що в районі Імеретії переважае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Модер (гумус дерново-підзолистої грунту), що формується при середніх біологічних активностях в умови кислої реакції середовища і слабо взаємодіє з мінеральною частиною грунтів.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Аналізуючи прцесс лесіважу в грунтах ,ми можемо зробіти висновок,що в Імеретії переважаюсь пилові та глинисті(у меньшості) натіки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747010" cy="204724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700" cy="206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696210" cy="2009140"/>
            <wp:effectExtent l="0" t="0" r="889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6581" cy="204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552700" cy="18935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2665" cy="19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Аналізуючи оглинення Імеретії робимо висновок,про слабкє та середнє оглинення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Графіки середьорічних показників клімату: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048375" cy="3000375"/>
            <wp:effectExtent l="0" t="0" r="9525" b="9525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791200" cy="2847975"/>
            <wp:effectExtent l="0" t="0" r="0" b="9525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забрудненні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навколишнього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>атмосферне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ґрунт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ru-RU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важкими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металами</w:t>
      </w:r>
      <w:r>
        <w:rPr>
          <w:rFonts w:ascii="Times New Roman" w:hAnsi="Times New Roman" w:cs="Times New Roman"/>
          <w:sz w:val="28"/>
          <w:szCs w:val="28"/>
        </w:rPr>
        <w:t xml:space="preserve"> (Cd, Cu, Mn, Ni, Pb, Zn) </w:t>
      </w:r>
      <w:r>
        <w:rPr>
          <w:rFonts w:ascii="Times New Roman" w:hAnsi="Times New Roman" w:cs="Times New Roman"/>
          <w:sz w:val="28"/>
          <w:szCs w:val="28"/>
          <w:lang w:val="ru-RU"/>
        </w:rPr>
        <w:t>відноситься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зестафонського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феросплавного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заводу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вважається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забруднювачів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Імереті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всій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Грузії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4733925" cy="1933575"/>
            <wp:effectExtent l="0" t="0" r="9525" b="9525"/>
            <wp:docPr id="35" name="Chart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Рельєф: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Крупні: горний,рівнинний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Сердні:хребти,низини,узвищення.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038475" cy="202565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Грунти: бурі лісові, перегнійно-карбонатні, алювіальні, червоноземні і підзолисті,бурі-лісні,рерра-росса,горно-луговие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306320" cy="172021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133" cy="175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2676525" cy="1802130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349" cy="182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Переважне поширення: алювіальні, субтропічні Жовті ґрунти, червоноземи, гумусово-карбонатні та коралові ґрунти. У високогірних районах також зустрічаються світло-коричневі лісові грунти. Жовтий ґрунт і тонкий шар червоного ґрунту.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Чіатура характеризується особливо високим коефіцієнтом вразливості (0,7-0,9) і знаходиться під високим ризиком розвитку зсувів. Він відноситься до списку регіонів під " дуже високим ризиком»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3705225" cy="3439795"/>
            <wp:effectExtent l="0" t="0" r="0" b="825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3471" cy="358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АНАЛІЗ РЕЗУЛЬТАТІВ</w:t>
      </w: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Висновок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Аналізуючи результати досліджень ми можемо говорити про, те що, обрана місцевість дослідження дуже багата на флору і фауну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Місто у собі велику кількість різновидів ландшафтів, багата на корисні копалини, і туристичні та охоронювані заповідники, багато цікавої історії і є рослини і тварини які занесені до Червоної книги Грузії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З'ясували що в Імереті помірний приємний клімат, можна подивитися в складених графіках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також встановили, що деякі окремі ділянки потрапляють під дуже сильний антропогенний вплив, що призводить до заміни природних ланшатів, на антропогенні і призводить до незворотних наслідків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Найбільше антропогенне вплив упав на чіатурскій район, що є центральною точкою добування марганцю, через великі територій яке використовується для добування магранца,площа ставити 500-1000 м була замінена,на антропогенні ланшафти складалися з ущелин і териконів відповідно, що в майбутньому може бути небезпечно тим,що поднімаеться ризик зсувів, з урахуванням небезпеки і ймовірності землетрусів ризик зростає.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само проблема із забрудненням атмосферного повітря по всій терреторії Грузії викликано не тільки вихлопними газами ,а й заводами.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Мої рекомендації: по можливості засипати штучно створені тунелі і ущелини при добуванні марганцю це скоротить площать скам'янілостей грунту і знизить кількість і обсяги териконов що зменшить ризики зсувів і підвищить шанс відновлення грунтово-ростительного покриву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Також знизити радіус і об'єм виходів з заводу і зробити штучний басеин для стічних вод заводів.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Література: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fldChar w:fldCharType="begin"/>
      </w:r>
      <w:r>
        <w:instrText xml:space="preserve"> HYPERLINK "http://press.tsu.ge/data/file_db/nashromebi/Machavariani.pdf"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http://press.tsu.ge/data/file_db/nashromebi/Machavariani.pdf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fldChar w:fldCharType="begin"/>
      </w:r>
      <w:r>
        <w:instrText xml:space="preserve"> HYPERLINK "https://www.google.com/maps/?hl=ru"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https://www.google.com/maps/?hl=ru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fldChar w:fldCharType="begin"/>
      </w:r>
      <w:r>
        <w:instrText xml:space="preserve"> HYPERLINK "http://igstraveltogeorgia.asm.ge/index.php?Cat=NeWs&amp;Cat_id=223&amp;LanG=2"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http://igstraveltogeorgia.asm.ge/index.php?Cat=NeWs&amp;Cat_id=223&amp;LanG=2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fldChar w:fldCharType="begin"/>
      </w:r>
      <w:r>
        <w:instrText xml:space="preserve"> HYPERLINK "https://mbg.ge/en/region/18"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https://mbg.ge/en/region/18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fldChar w:fldCharType="begin"/>
      </w:r>
      <w:r>
        <w:instrText xml:space="preserve"> HYPERLINK "https://www.orexca.com/georgia/regions/imereti.htm"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https://www.orexca.com/georgia/regions/imereti.htm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 xml:space="preserve"> HYPERLINK "https://ru-ru.topographic-map.com/map-wp6nnx"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https://ru-ru.topographic-map.com/map-wp6nnx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 xml:space="preserve"> HYPERLINK "http://socrates.vsau.org/b04213/html/cards/getfile.php/5257.pdf"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http://socrates.vsau.org/b04213/html/cards/getfile.php/5257.pdf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 xml:space="preserve"> HYPERLINK "https://www.orexca.com/rus/georgia/flora.htm"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https://www.orexca.com/rus/georgia/flora.htm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 xml:space="preserve"> HYPERLINK "file:///C:/Users/Elliot%2011/Downloads/XIIILandsnafthaiakonferencia_2018.pdf"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t>file:///C:/Users/Elliot%2011/Downloads/XIIILandsnafthaiakonferencia_2018.pdf</w:t>
      </w:r>
      <w:r>
        <w:rPr>
          <w:rStyle w:val="4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>
      <w:pPr>
        <w:rPr>
          <w:lang w:val="uk-UA"/>
        </w:rPr>
      </w:pPr>
    </w:p>
    <w:sectPr>
      <w:pgSz w:w="12240" w:h="15840"/>
      <w:pgMar w:top="1440" w:right="1440" w:bottom="1440" w:left="1440" w:header="680" w:footer="68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6C2594"/>
    <w:multiLevelType w:val="multilevel"/>
    <w:tmpl w:val="1F6C2594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510273A8"/>
    <w:multiLevelType w:val="multilevel"/>
    <w:tmpl w:val="510273A8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73012B8D"/>
    <w:multiLevelType w:val="multilevel"/>
    <w:tmpl w:val="73012B8D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C"/>
    <w:rsid w:val="002777E8"/>
    <w:rsid w:val="003F5B23"/>
    <w:rsid w:val="0068576F"/>
    <w:rsid w:val="00AE508C"/>
    <w:rsid w:val="00B50518"/>
    <w:rsid w:val="00DE05D3"/>
    <w:rsid w:val="2D66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300" w:lineRule="auto"/>
    </w:pPr>
    <w:rPr>
      <w:rFonts w:asciiTheme="minorHAnsi" w:hAnsiTheme="minorHAnsi" w:eastAsiaTheme="minorEastAsia" w:cstheme="minorBidi"/>
      <w:sz w:val="21"/>
      <w:szCs w:val="21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header"/>
    <w:basedOn w:val="1"/>
    <w:link w:val="8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8">
    <w:name w:val="Header Char"/>
    <w:basedOn w:val="2"/>
    <w:link w:val="5"/>
    <w:uiPriority w:val="99"/>
    <w:rPr>
      <w:rFonts w:eastAsiaTheme="minorEastAsia"/>
      <w:sz w:val="21"/>
      <w:szCs w:val="21"/>
    </w:rPr>
  </w:style>
  <w:style w:type="character" w:customStyle="1" w:styleId="9">
    <w:name w:val="Footer Char"/>
    <w:basedOn w:val="2"/>
    <w:link w:val="6"/>
    <w:uiPriority w:val="99"/>
    <w:rPr>
      <w:rFonts w:eastAsiaTheme="minorEastAsia"/>
      <w:sz w:val="21"/>
      <w:szCs w:val="21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15.jpeg"/><Relationship Id="rId26" Type="http://schemas.openxmlformats.org/officeDocument/2006/relationships/chart" Target="charts/chart7.xml"/><Relationship Id="rId25" Type="http://schemas.openxmlformats.org/officeDocument/2006/relationships/chart" Target="charts/chart6.xml"/><Relationship Id="rId24" Type="http://schemas.openxmlformats.org/officeDocument/2006/relationships/chart" Target="charts/chart5.xml"/><Relationship Id="rId23" Type="http://schemas.openxmlformats.org/officeDocument/2006/relationships/image" Target="media/image14.jpeg"/><Relationship Id="rId22" Type="http://schemas.openxmlformats.org/officeDocument/2006/relationships/chart" Target="charts/chart4.xml"/><Relationship Id="rId21" Type="http://schemas.openxmlformats.org/officeDocument/2006/relationships/chart" Target="charts/chart3.xml"/><Relationship Id="rId20" Type="http://schemas.openxmlformats.org/officeDocument/2006/relationships/chart" Target="charts/chart2.xml"/><Relationship Id="rId2" Type="http://schemas.openxmlformats.org/officeDocument/2006/relationships/settings" Target="settings.xml"/><Relationship Id="rId19" Type="http://schemas.openxmlformats.org/officeDocument/2006/relationships/chart" Target="charts/chart1.xml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package" Target="../embeddings/Workbook7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3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6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5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Опади в міліметрах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Відсотки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lang="ru-RU" sz="1100" b="1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 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156.3</c:v>
                </c:pt>
                <c:pt idx="1">
                  <c:v>127.6</c:v>
                </c:pt>
                <c:pt idx="2">
                  <c:v>101.7</c:v>
                </c:pt>
                <c:pt idx="3">
                  <c:v>88.3</c:v>
                </c:pt>
                <c:pt idx="4">
                  <c:v>82.5</c:v>
                </c:pt>
                <c:pt idx="5">
                  <c:v>96.6</c:v>
                </c:pt>
                <c:pt idx="6">
                  <c:v>68</c:v>
                </c:pt>
                <c:pt idx="7">
                  <c:v>75.1</c:v>
                </c:pt>
                <c:pt idx="8">
                  <c:v>85.3</c:v>
                </c:pt>
                <c:pt idx="9">
                  <c:v>121</c:v>
                </c:pt>
                <c:pt idx="10">
                  <c:v>129.7</c:v>
                </c:pt>
                <c:pt idx="11">
                  <c:v>179.3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Дні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 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13</c:v>
                </c:pt>
                <c:pt idx="1">
                  <c:v>10</c:v>
                </c:pt>
                <c:pt idx="2">
                  <c:v>11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8</c:v>
                </c:pt>
                <c:pt idx="7">
                  <c:v>8</c:v>
                </c:pt>
                <c:pt idx="8">
                  <c:v>8</c:v>
                </c:pt>
                <c:pt idx="9">
                  <c:v>10</c:v>
                </c:pt>
                <c:pt idx="10">
                  <c:v>10</c:v>
                </c:pt>
                <c:pt idx="11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95642271"/>
        <c:axId val="783963551"/>
      </c:barChart>
      <c:catAx>
        <c:axId val="6956422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  <c:crossAx val="783963551"/>
        <c:crosses val="autoZero"/>
        <c:auto val="1"/>
        <c:lblAlgn val="ctr"/>
        <c:lblOffset val="100"/>
        <c:noMultiLvlLbl val="0"/>
      </c:catAx>
      <c:valAx>
        <c:axId val="783963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  <c:crossAx val="695642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Світловий</a:t>
            </a:r>
            <a:r>
              <a:rPr lang="ru-RU" baseline="0"/>
              <a:t> день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Часи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9.5</c:v>
                </c:pt>
                <c:pt idx="1">
                  <c:v>10.5</c:v>
                </c:pt>
                <c:pt idx="2">
                  <c:v>12</c:v>
                </c:pt>
                <c:pt idx="3">
                  <c:v>13.5</c:v>
                </c:pt>
                <c:pt idx="4">
                  <c:v>14.5</c:v>
                </c:pt>
                <c:pt idx="5">
                  <c:v>15</c:v>
                </c:pt>
                <c:pt idx="6">
                  <c:v>15</c:v>
                </c:pt>
                <c:pt idx="7">
                  <c:v>14</c:v>
                </c:pt>
                <c:pt idx="8">
                  <c:v>12.5</c:v>
                </c:pt>
                <c:pt idx="9">
                  <c:v>11</c:v>
                </c:pt>
                <c:pt idx="10">
                  <c:v>10</c:v>
                </c:pt>
                <c:pt idx="11">
                  <c:v>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904251039"/>
        <c:axId val="903278319"/>
      </c:barChart>
      <c:catAx>
        <c:axId val="904251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03278319"/>
        <c:crosses val="autoZero"/>
        <c:auto val="1"/>
        <c:lblAlgn val="ctr"/>
        <c:lblOffset val="100"/>
        <c:noMultiLvlLbl val="0"/>
      </c:catAx>
      <c:valAx>
        <c:axId val="9032783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042510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>
                    <a:lumMod val="95000"/>
                    <a:lumOff val="5000"/>
                  </a:schemeClr>
                </a:solidFill>
              </a:rPr>
              <a:t>Температура С*</a:t>
            </a:r>
            <a:endParaRPr lang="en-US" b="1">
              <a:solidFill>
                <a:schemeClr val="tx1">
                  <a:lumMod val="95000"/>
                  <a:lumOff val="5000"/>
                </a:schemeClr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Макс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9</c:v>
                </c:pt>
                <c:pt idx="1">
                  <c:v>10</c:v>
                </c:pt>
                <c:pt idx="2">
                  <c:v>14</c:v>
                </c:pt>
                <c:pt idx="3">
                  <c:v>19</c:v>
                </c:pt>
                <c:pt idx="4">
                  <c:v>23</c:v>
                </c:pt>
                <c:pt idx="5">
                  <c:v>26</c:v>
                </c:pt>
                <c:pt idx="6">
                  <c:v>28</c:v>
                </c:pt>
                <c:pt idx="7">
                  <c:v>29</c:v>
                </c:pt>
                <c:pt idx="8">
                  <c:v>26</c:v>
                </c:pt>
                <c:pt idx="9">
                  <c:v>21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Мин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8</c:v>
                </c:pt>
                <c:pt idx="4">
                  <c:v>13</c:v>
                </c:pt>
                <c:pt idx="5">
                  <c:v>16</c:v>
                </c:pt>
                <c:pt idx="6">
                  <c:v>19</c:v>
                </c:pt>
                <c:pt idx="7">
                  <c:v>19</c:v>
                </c:pt>
                <c:pt idx="8">
                  <c:v>16</c:v>
                </c:pt>
                <c:pt idx="9">
                  <c:v>12</c:v>
                </c:pt>
                <c:pt idx="10">
                  <c:v>7</c:v>
                </c:pt>
                <c:pt idx="11">
                  <c:v>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15045391"/>
        <c:axId val="784616175"/>
      </c:lineChart>
      <c:catAx>
        <c:axId val="10150453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84616175"/>
        <c:crosses val="autoZero"/>
        <c:auto val="1"/>
        <c:lblAlgn val="ctr"/>
        <c:lblOffset val="100"/>
        <c:noMultiLvlLbl val="0"/>
      </c:catAx>
      <c:valAx>
        <c:axId val="7846161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15045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Схема забрудняння повітря в Грузії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5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1" i="0" u="none" strike="noStrike" kern="1200" spc="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Руставі</c:v>
                </c:pt>
                <c:pt idx="1">
                  <c:v>Каспі</c:v>
                </c:pt>
                <c:pt idx="2">
                  <c:v>Батумі</c:v>
                </c:pt>
                <c:pt idx="3">
                  <c:v>Тбілісі</c:v>
                </c:pt>
                <c:pt idx="4">
                  <c:v>Гардобані</c:v>
                </c:pt>
                <c:pt idx="5">
                  <c:v>Поті</c:v>
                </c:pt>
                <c:pt idx="6">
                  <c:v>Кутаісі</c:v>
                </c:pt>
                <c:pt idx="7">
                  <c:v>Зєстафоні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12.9</c:v>
                </c:pt>
                <c:pt idx="1">
                  <c:v>11.9</c:v>
                </c:pt>
                <c:pt idx="2">
                  <c:v>6</c:v>
                </c:pt>
                <c:pt idx="3">
                  <c:v>3.9</c:v>
                </c:pt>
                <c:pt idx="4">
                  <c:v>3.4</c:v>
                </c:pt>
                <c:pt idx="5">
                  <c:v>0.6</c:v>
                </c:pt>
                <c:pt idx="6">
                  <c:v>0.4</c:v>
                </c:pt>
                <c:pt idx="7">
                  <c:v>31.2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Опади в міліметрах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Відсотки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lang="ru-RU" sz="1100" b="1" i="0" u="none" strike="noStrike" kern="1200" baseline="0">
                      <a:solidFill>
                        <a:schemeClr val="tx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 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156.3</c:v>
                </c:pt>
                <c:pt idx="1">
                  <c:v>127.6</c:v>
                </c:pt>
                <c:pt idx="2">
                  <c:v>101.7</c:v>
                </c:pt>
                <c:pt idx="3">
                  <c:v>88.3</c:v>
                </c:pt>
                <c:pt idx="4">
                  <c:v>82.5</c:v>
                </c:pt>
                <c:pt idx="5">
                  <c:v>96.6</c:v>
                </c:pt>
                <c:pt idx="6">
                  <c:v>68</c:v>
                </c:pt>
                <c:pt idx="7">
                  <c:v>75.1</c:v>
                </c:pt>
                <c:pt idx="8">
                  <c:v>85.3</c:v>
                </c:pt>
                <c:pt idx="9">
                  <c:v>121</c:v>
                </c:pt>
                <c:pt idx="10">
                  <c:v>129.7</c:v>
                </c:pt>
                <c:pt idx="11">
                  <c:v>179.3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Дні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 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13</c:v>
                </c:pt>
                <c:pt idx="1">
                  <c:v>10</c:v>
                </c:pt>
                <c:pt idx="2">
                  <c:v>11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8</c:v>
                </c:pt>
                <c:pt idx="7">
                  <c:v>8</c:v>
                </c:pt>
                <c:pt idx="8">
                  <c:v>8</c:v>
                </c:pt>
                <c:pt idx="9">
                  <c:v>10</c:v>
                </c:pt>
                <c:pt idx="10">
                  <c:v>10</c:v>
                </c:pt>
                <c:pt idx="11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695642271"/>
        <c:axId val="783963551"/>
      </c:barChart>
      <c:catAx>
        <c:axId val="6956422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  <c:crossAx val="783963551"/>
        <c:crosses val="autoZero"/>
        <c:auto val="1"/>
        <c:lblAlgn val="ctr"/>
        <c:lblOffset val="100"/>
        <c:noMultiLvlLbl val="0"/>
      </c:catAx>
      <c:valAx>
        <c:axId val="7839635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</a:p>
        </c:txPr>
        <c:crossAx val="6956422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chemeClr val="tx1">
                    <a:lumMod val="95000"/>
                    <a:lumOff val="5000"/>
                  </a:schemeClr>
                </a:solidFill>
              </a:rPr>
              <a:t>Температура С*</a:t>
            </a:r>
            <a:endParaRPr lang="en-US" b="1">
              <a:solidFill>
                <a:schemeClr val="tx1">
                  <a:lumMod val="95000"/>
                  <a:lumOff val="5000"/>
                </a:schemeClr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Макс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9</c:v>
                </c:pt>
                <c:pt idx="1">
                  <c:v>10</c:v>
                </c:pt>
                <c:pt idx="2">
                  <c:v>14</c:v>
                </c:pt>
                <c:pt idx="3">
                  <c:v>19</c:v>
                </c:pt>
                <c:pt idx="4">
                  <c:v>23</c:v>
                </c:pt>
                <c:pt idx="5">
                  <c:v>26</c:v>
                </c:pt>
                <c:pt idx="6">
                  <c:v>28</c:v>
                </c:pt>
                <c:pt idx="7">
                  <c:v>29</c:v>
                </c:pt>
                <c:pt idx="8">
                  <c:v>26</c:v>
                </c:pt>
                <c:pt idx="9">
                  <c:v>21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Мин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8</c:v>
                </c:pt>
                <c:pt idx="4">
                  <c:v>13</c:v>
                </c:pt>
                <c:pt idx="5">
                  <c:v>16</c:v>
                </c:pt>
                <c:pt idx="6">
                  <c:v>19</c:v>
                </c:pt>
                <c:pt idx="7">
                  <c:v>19</c:v>
                </c:pt>
                <c:pt idx="8">
                  <c:v>16</c:v>
                </c:pt>
                <c:pt idx="9">
                  <c:v>12</c:v>
                </c:pt>
                <c:pt idx="10">
                  <c:v>7</c:v>
                </c:pt>
                <c:pt idx="11">
                  <c:v>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15045391"/>
        <c:axId val="784616175"/>
      </c:lineChart>
      <c:catAx>
        <c:axId val="10150453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1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84616175"/>
        <c:crosses val="autoZero"/>
        <c:auto val="1"/>
        <c:lblAlgn val="ctr"/>
        <c:lblOffset val="100"/>
        <c:noMultiLvlLbl val="0"/>
      </c:catAx>
      <c:valAx>
        <c:axId val="7846161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0150453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Схема забрудняння повітря в Грузії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6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6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lang="ru-RU" sz="1000" b="1" i="0" u="none" strike="noStrike" kern="1200" spc="0" baseline="0">
                      <a:solidFill>
                        <a:schemeClr val="accent5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1" i="0" u="none" strike="noStrike" kern="1200" spc="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Sheet1!$A$2:$A$9</c:f>
              <c:strCache>
                <c:ptCount val="8"/>
                <c:pt idx="0">
                  <c:v>Руставі</c:v>
                </c:pt>
                <c:pt idx="1">
                  <c:v>Каспі</c:v>
                </c:pt>
                <c:pt idx="2">
                  <c:v>Батумі</c:v>
                </c:pt>
                <c:pt idx="3">
                  <c:v>Тбілісі</c:v>
                </c:pt>
                <c:pt idx="4">
                  <c:v>Гардобані</c:v>
                </c:pt>
                <c:pt idx="5">
                  <c:v>Поті</c:v>
                </c:pt>
                <c:pt idx="6">
                  <c:v>Кутаісі</c:v>
                </c:pt>
                <c:pt idx="7">
                  <c:v>Зєстафоні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12.9</c:v>
                </c:pt>
                <c:pt idx="1">
                  <c:v>11.9</c:v>
                </c:pt>
                <c:pt idx="2">
                  <c:v>6</c:v>
                </c:pt>
                <c:pt idx="3">
                  <c:v>3.9</c:v>
                </c:pt>
                <c:pt idx="4">
                  <c:v>3.4</c:v>
                </c:pt>
                <c:pt idx="5">
                  <c:v>0.6</c:v>
                </c:pt>
                <c:pt idx="6">
                  <c:v>0.4</c:v>
                </c:pt>
                <c:pt idx="7">
                  <c:v>31.2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3294</Words>
  <Characters>18780</Characters>
  <Lines>156</Lines>
  <Paragraphs>44</Paragraphs>
  <TotalTime>42</TotalTime>
  <ScaleCrop>false</ScaleCrop>
  <LinksUpToDate>false</LinksUpToDate>
  <CharactersWithSpaces>22030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2023-03-02T02:35:00Z</dcterms:created>
  <dc:creator>Elliot 11</dc:creator>
  <cp:lastModifiedBy>Анастасия Седых</cp:lastModifiedBy>
  <dcterms:modified xsi:type="dcterms:W3CDTF">2023-06-10T11:01:26Z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FD6F5E1E9B6648209AD05C7E8E88D0EF</vt:lpwstr>
  </property>
</Properties>
</file>