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77" w:rsidRDefault="001A5F77" w:rsidP="001A5F77">
      <w:pPr>
        <w:shd w:val="clear" w:color="auto" w:fill="FFFFFF"/>
        <w:spacing w:after="0" w:line="240" w:lineRule="auto"/>
        <w:ind w:right="1701"/>
        <w:rPr>
          <w:rFonts w:ascii="Times New Roman" w:hAnsi="Times New Roman" w:cs="Times New Roman"/>
          <w:sz w:val="28"/>
          <w:szCs w:val="28"/>
          <w:lang w:val="en-US"/>
        </w:rPr>
      </w:pPr>
      <w:r w:rsidRPr="001A5F77">
        <w:rPr>
          <w:rFonts w:ascii="Times New Roman" w:hAnsi="Times New Roman" w:cs="Times New Roman"/>
          <w:sz w:val="28"/>
          <w:szCs w:val="28"/>
          <w:lang w:val="en-US"/>
        </w:rPr>
        <w:t xml:space="preserve">XXIX </w:t>
      </w:r>
      <w:proofErr w:type="spellStart"/>
      <w:r w:rsidRPr="001A5F77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1A5F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A5F77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1A5F7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A5F77">
        <w:rPr>
          <w:rFonts w:ascii="Times New Roman" w:hAnsi="Times New Roman" w:cs="Times New Roman"/>
          <w:sz w:val="28"/>
          <w:szCs w:val="28"/>
        </w:rPr>
        <w:t>практична</w:t>
      </w:r>
      <w:r w:rsidRPr="001A5F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A5F77">
        <w:rPr>
          <w:rFonts w:ascii="Times New Roman" w:hAnsi="Times New Roman" w:cs="Times New Roman"/>
          <w:sz w:val="28"/>
          <w:szCs w:val="28"/>
        </w:rPr>
        <w:t>конференція</w:t>
      </w:r>
      <w:proofErr w:type="spellEnd"/>
      <w:r w:rsidRPr="001A5F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A5F77" w:rsidRPr="001A5F77" w:rsidRDefault="001A5F77" w:rsidP="001A5F77">
      <w:pPr>
        <w:shd w:val="clear" w:color="auto" w:fill="FFFFFF"/>
        <w:spacing w:after="0" w:line="240" w:lineRule="auto"/>
        <w:ind w:right="1701"/>
        <w:rPr>
          <w:rFonts w:ascii="Times New Roman" w:hAnsi="Times New Roman" w:cs="Times New Roman"/>
          <w:sz w:val="28"/>
          <w:szCs w:val="28"/>
          <w:lang w:val="en-US"/>
        </w:rPr>
      </w:pPr>
      <w:r w:rsidRPr="001A5F77">
        <w:rPr>
          <w:rFonts w:ascii="Times New Roman" w:hAnsi="Times New Roman" w:cs="Times New Roman"/>
          <w:sz w:val="28"/>
          <w:szCs w:val="28"/>
          <w:lang w:val="en-US"/>
        </w:rPr>
        <w:t>«Trends in science and practice of today»</w:t>
      </w:r>
    </w:p>
    <w:p w:rsidR="001A5F77" w:rsidRPr="001A5F77" w:rsidRDefault="001A5F77" w:rsidP="001A5F77">
      <w:pPr>
        <w:jc w:val="center"/>
        <w:rPr>
          <w:rStyle w:val="q4iawc"/>
          <w:rFonts w:ascii="Times New Roman" w:hAnsi="Times New Roman" w:cs="Times New Roman"/>
          <w:b/>
          <w:caps/>
          <w:sz w:val="36"/>
          <w:szCs w:val="36"/>
          <w:lang w:val="uk-UA"/>
        </w:rPr>
      </w:pPr>
      <w:r w:rsidRPr="001A5F77">
        <w:rPr>
          <w:rStyle w:val="q4iawc"/>
          <w:rFonts w:ascii="Times New Roman" w:hAnsi="Times New Roman" w:cs="Times New Roman"/>
          <w:b/>
          <w:caps/>
          <w:sz w:val="36"/>
          <w:szCs w:val="36"/>
          <w:lang w:val="uk-UA"/>
        </w:rPr>
        <w:t>інноваційні підходи до викладання медичної хімії у медичних вузах</w:t>
      </w:r>
    </w:p>
    <w:p w:rsidR="001A5F77" w:rsidRPr="00EC4531" w:rsidRDefault="001A5F77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</w:rPr>
      </w:pP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>Актуальною проблемою будь-якого сучасного ВНЗ є підвищення якості освіти. Шляхи реалізації глобальних проектів реформ вищої освіти обговорюються на числе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нних конференціях та форумах</w:t>
      </w: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667DF" w:rsidRDefault="001A5F77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>У рамках сформованої системи модернізація медичної освіти починається з першого курсу, адже саме у перший рік студентам потрібно пристосуватися до вузівського середовищ</w:t>
      </w:r>
      <w:r w:rsid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>а та інтегруватися в зовсім інше</w:t>
      </w: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і методично, і організаційно – </w:t>
      </w:r>
      <w:r w:rsid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>у навчальний процес</w:t>
      </w: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A5F77" w:rsidRDefault="001A5F77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>Звичайно, для досягнення поставленої мети</w:t>
      </w:r>
      <w:r w:rsid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667DF"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>підвищення якості освіти</w:t>
      </w:r>
      <w:r w:rsidRPr="001A5F77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необхідно не тільки переглянути освітні програми та стандарти, а й виявити найбільш ефективні педагогічні методи та технології, дидактичні форми, що підвищують якість процесу навчання. У той же час необхідно виявити ті негативні моменти, що знижують успішність</w:t>
      </w:r>
      <w:r w:rsid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</w:p>
    <w:p w:rsidR="00B667DF" w:rsidRDefault="00B667DF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Однією з найпоширеніших проблем студентів-першокурсників є те, що вони просто не вважають за потрібне приділяти увагу загальноосвітнім предметам. Анкетування показало, що 75% студентів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медичного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фармацевтичного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стоматологічного факультетів вважають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медичну 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хімію загальноосвітньою дисципліною, яку потрібно просто «здати на позитивну оцінку та забути». </w:t>
      </w:r>
    </w:p>
    <w:p w:rsidR="00B667DF" w:rsidRDefault="00B667DF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Було з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>апропоновано кілька способів змін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и мотивацію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студентів до вивчення дисципліни. Насамперед необхідно змінити саму структуру заняття. При пояснювально-ілюстративному методі проведення заняття рекомендується розглянути найяскравіші приклади застосування будь-якого явища, потім наголосити на необхідності вивчення відповідної теорії. Перевагу потрібно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віддавати, безумовно, прикладам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із практичної медицини. Наприклад, вивчення теми «Гетерогенні рівноваги» починається не з рівнянь та формул, а з прикладів утворення та розчинення твердих сполук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в організмі людини</w:t>
      </w:r>
      <w:r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>: це кісткова та зубна тканина, основні конкременти (оксалати, фосфати, урати) і т.д.</w:t>
      </w:r>
    </w:p>
    <w:p w:rsidR="00B667DF" w:rsidRDefault="00B55EEE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Буде доцільно змінити методи навчання за допомогою застосування різноманітних</w:t>
      </w:r>
      <w:r w:rsidR="00B667DF"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педагогічних технологій. Наприклад, при вивченні теми «</w:t>
      </w:r>
      <w:proofErr w:type="spellStart"/>
      <w:r w:rsidRPr="00B55EEE">
        <w:rPr>
          <w:rFonts w:ascii="Times New Roman" w:hAnsi="Times New Roman" w:cs="Times New Roman"/>
          <w:sz w:val="28"/>
          <w:szCs w:val="28"/>
          <w:lang w:val="uk-UA"/>
        </w:rPr>
        <w:t>Физикохі</w:t>
      </w:r>
      <w:proofErr w:type="spellEnd"/>
      <w:r w:rsidRPr="00B55EEE">
        <w:rPr>
          <w:rFonts w:ascii="Times New Roman" w:hAnsi="Times New Roman" w:cs="Times New Roman"/>
          <w:sz w:val="28"/>
          <w:szCs w:val="28"/>
        </w:rPr>
        <w:t>м</w:t>
      </w:r>
      <w:r w:rsidRPr="00B55EE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5EEE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B55EEE">
        <w:rPr>
          <w:rFonts w:ascii="Times New Roman" w:hAnsi="Times New Roman" w:cs="Times New Roman"/>
          <w:sz w:val="28"/>
          <w:szCs w:val="28"/>
        </w:rPr>
        <w:t>поверхн</w:t>
      </w:r>
      <w:r w:rsidRPr="00B55EEE">
        <w:rPr>
          <w:rFonts w:ascii="Times New Roman" w:hAnsi="Times New Roman" w:cs="Times New Roman"/>
          <w:sz w:val="28"/>
          <w:szCs w:val="28"/>
          <w:lang w:val="uk-UA"/>
        </w:rPr>
        <w:t>еви</w:t>
      </w:r>
      <w:r w:rsidRPr="00B55EE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55EEE">
        <w:rPr>
          <w:rFonts w:ascii="Times New Roman" w:hAnsi="Times New Roman" w:cs="Times New Roman"/>
          <w:sz w:val="28"/>
          <w:szCs w:val="28"/>
        </w:rPr>
        <w:t xml:space="preserve"> яви</w:t>
      </w:r>
      <w:r w:rsidRPr="00B55EEE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B667DF"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» використовується ігрова технологія: студенти діляться на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дві</w:t>
      </w:r>
      <w:r w:rsidR="00B667DF"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команди, які відгаду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ють один і той же кросворд (Одна команда – слова по вертикалі, інша</w:t>
      </w:r>
      <w:r w:rsidR="00B667DF"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по горизонталі). Командам дозволяється обмінюватися думками щодо термінів, що відповідають правильним відповідям, а також підказувати літери, що знаходяться на перетині слів. Перемагає команда, яка розставила усі відповіді швидко і правильно. Також на ць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ому занятті можна організувати «раду криміналістів»</w:t>
      </w:r>
      <w:r w:rsidR="00B667DF" w:rsidRPr="00B667DF">
        <w:rPr>
          <w:rStyle w:val="q4iawc"/>
          <w:rFonts w:ascii="Times New Roman" w:hAnsi="Times New Roman" w:cs="Times New Roman"/>
          <w:sz w:val="28"/>
          <w:szCs w:val="28"/>
          <w:lang w:val="uk-UA"/>
        </w:rPr>
        <w:t>, використовуючи проблемно-пошуковий метод вивчення хроматографічних методів аналізу.</w:t>
      </w:r>
    </w:p>
    <w:p w:rsidR="00B55EEE" w:rsidRDefault="00B55EEE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Також на кафедрі загальної та біологічної хімії широко практикується підготовка доповідей, презентацій студентами. Заохочується виступ на 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lastRenderedPageBreak/>
        <w:t>Студентському науковому</w:t>
      </w: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гуртку та конференціях, при цьому найактивніші студенти підвищують свої рейтингові бали за вивчення дисциплін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>и</w:t>
      </w: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>Медична хімія» та інших, які викладаються на кафедрі</w:t>
      </w: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>. Робота в системі «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en-US"/>
        </w:rPr>
        <w:t>Google</w:t>
      </w:r>
      <w:r w:rsidR="00EE35F1"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en-US"/>
        </w:rPr>
        <w:t>Classroom</w:t>
      </w: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>» дуже полегшує це завдання: студенти можуть самостійно переглянути фільм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>и, відібрані</w:t>
      </w: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викладачем, вивчити інші цікаві наочні матеріали з теми, </w:t>
      </w:r>
      <w:r w:rsid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>таким чином, з'явиться</w:t>
      </w:r>
      <w:r w:rsidRPr="00B55EEE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більше можливостей для творчого підходу до процесу навчання.</w:t>
      </w:r>
    </w:p>
    <w:p w:rsidR="00EE35F1" w:rsidRDefault="00EE35F1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>При вивченні теми «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Способи вираження концентрацій</w:t>
      </w: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» можна звернути увагу студентів на ті лікарські засоби, з якими вони обов'язково зіткнуться практично. Замість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таких речовин, як </w:t>
      </w:r>
      <w:r>
        <w:rPr>
          <w:rStyle w:val="q4iawc"/>
          <w:rFonts w:ascii="Times New Roman" w:hAnsi="Times New Roman" w:cs="Times New Roman"/>
          <w:sz w:val="28"/>
          <w:szCs w:val="28"/>
          <w:lang w:val="en-US"/>
        </w:rPr>
        <w:t>K</w:t>
      </w:r>
      <w:r w:rsidRPr="00EE35F1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Style w:val="q4iawc"/>
          <w:rFonts w:ascii="Times New Roman" w:hAnsi="Times New Roman" w:cs="Times New Roman"/>
          <w:sz w:val="28"/>
          <w:szCs w:val="28"/>
          <w:lang w:val="en-US"/>
        </w:rPr>
        <w:t>PO</w:t>
      </w:r>
      <w:r w:rsidRPr="00EE35F1">
        <w:rPr>
          <w:rStyle w:val="q4iawc"/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q4iawc"/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OH, H</w:t>
      </w:r>
      <w:r w:rsidRPr="00EE35F1">
        <w:rPr>
          <w:rStyle w:val="q4iawc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>SO</w:t>
      </w:r>
      <w:r w:rsidRPr="00EE35F1">
        <w:rPr>
          <w:rStyle w:val="q4iawc"/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використовувати в розрахунках популярні препарати з реально застосовуваними ко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нцентраціями. Наприклад, 0,9% розчин – </w:t>
      </w:r>
      <w:proofErr w:type="spellStart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NaCl</w:t>
      </w:r>
      <w:proofErr w:type="spellEnd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, 5% розчин глюкози, 10%</w:t>
      </w:r>
      <w:proofErr w:type="spellStart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-ний</w:t>
      </w:r>
      <w:proofErr w:type="spellEnd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CaCl</w:t>
      </w:r>
      <w:r w:rsidRPr="00EE35F1">
        <w:rPr>
          <w:rStyle w:val="q4iawc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, 20%</w:t>
      </w: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MgSO</w:t>
      </w:r>
      <w:r w:rsidRPr="00EE35F1">
        <w:rPr>
          <w:rStyle w:val="q4iawc"/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Разом з цим можна</w:t>
      </w:r>
      <w:r w:rsidRPr="00EE35F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торкатися деяких питань практичного застосування цих ліків, розповідати про клінічні випадки та лікарські помилки.</w:t>
      </w:r>
    </w:p>
    <w:p w:rsidR="00E025C2" w:rsidRDefault="00E025C2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практичних </w:t>
      </w:r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заняттях з тем «Дисперсні системи», «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Сорбція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біологічно-активних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фаз</w:t>
      </w:r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розчинів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біополімерів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Ізоелектрична</w:t>
      </w:r>
      <w:proofErr w:type="spellEnd"/>
      <w:r w:rsidR="00424F38" w:rsidRPr="00424F38">
        <w:rPr>
          <w:rFonts w:ascii="Times New Roman" w:hAnsi="Times New Roman" w:cs="Times New Roman"/>
          <w:sz w:val="28"/>
          <w:szCs w:val="28"/>
        </w:rPr>
        <w:t xml:space="preserve"> точка </w:t>
      </w:r>
      <w:proofErr w:type="spellStart"/>
      <w:r w:rsidR="00424F38" w:rsidRPr="00424F38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» студентам можна запропонувати самостійний пошук інформації про переваги та недоліки лікарських засобів, отриманих із біологічних матеріалів.</w:t>
      </w:r>
      <w:r w:rsidRPr="00E025C2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Можна не просто розглянути амінокислоти як хімічні речовини, що входять до складу білків, </w:t>
      </w:r>
      <w:proofErr w:type="gramStart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а й</w:t>
      </w:r>
      <w:proofErr w:type="gramEnd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перерахувати біологічно важливі поліпептиди, їх суміші, композиції, наприклад, такі ліки, як </w:t>
      </w:r>
      <w:proofErr w:type="spellStart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семакс</w:t>
      </w:r>
      <w:proofErr w:type="spellEnd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церебролізин</w:t>
      </w:r>
      <w:proofErr w:type="spellEnd"/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424F38" w:rsidRPr="00424F38" w:rsidRDefault="00424F38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Також необхідно розробити</w:t>
      </w:r>
      <w:r w:rsidRP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більше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міждисциплінарних </w:t>
      </w:r>
      <w:r w:rsidRP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практикумів.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На сьогоднішній день є</w:t>
      </w:r>
      <w:r w:rsidRP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багато сучасних посібників для студентів-медиків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, які</w:t>
      </w:r>
      <w:r w:rsidRP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складалися на основі попередніх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, тому</w:t>
      </w:r>
      <w:r w:rsidRP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потребують серйозної переробки з метою розміщення акцентів на медичних проблем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ах</w:t>
      </w:r>
      <w:r w:rsidRPr="00424F38"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</w:p>
    <w:p w:rsidR="00E025C2" w:rsidRDefault="00E025C2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>Перелічені у статті пропозиції, інноваційні підходи, виявлені недоліки та шляхи їх усунення дозволять не лише посилити інтерес студентів до дисциплін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, які викладаються</w:t>
      </w:r>
      <w:r w:rsidRPr="00E025C2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на кафедрі загальної та біологічної хімії, а також покращити якість вищої медичної освіти загалом.</w:t>
      </w:r>
    </w:p>
    <w:p w:rsidR="00E025C2" w:rsidRDefault="00E025C2" w:rsidP="001A5F77">
      <w:pPr>
        <w:spacing w:after="0" w:line="240" w:lineRule="auto"/>
        <w:ind w:firstLine="425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</w:p>
    <w:sectPr w:rsidR="00E025C2" w:rsidSect="001A5F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316C6"/>
    <w:multiLevelType w:val="hybridMultilevel"/>
    <w:tmpl w:val="CA3622B4"/>
    <w:lvl w:ilvl="0" w:tplc="C3566ED2">
      <w:start w:val="1"/>
      <w:numFmt w:val="decimal"/>
      <w:lvlText w:val="%1."/>
      <w:lvlJc w:val="left"/>
      <w:pPr>
        <w:ind w:left="78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4EC"/>
    <w:rsid w:val="001A5F77"/>
    <w:rsid w:val="003E35BD"/>
    <w:rsid w:val="00424F38"/>
    <w:rsid w:val="00684F78"/>
    <w:rsid w:val="009D64EC"/>
    <w:rsid w:val="00B55EEE"/>
    <w:rsid w:val="00B667DF"/>
    <w:rsid w:val="00DE2EB5"/>
    <w:rsid w:val="00E025C2"/>
    <w:rsid w:val="00EC4531"/>
    <w:rsid w:val="00EE35F1"/>
    <w:rsid w:val="00F51DEF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9D64EC"/>
  </w:style>
  <w:style w:type="character" w:styleId="a3">
    <w:name w:val="Hyperlink"/>
    <w:basedOn w:val="a0"/>
    <w:uiPriority w:val="99"/>
    <w:unhideWhenUsed/>
    <w:rsid w:val="001A5F77"/>
    <w:rPr>
      <w:color w:val="0000FF"/>
      <w:u w:val="single"/>
    </w:rPr>
  </w:style>
  <w:style w:type="character" w:customStyle="1" w:styleId="viiyi">
    <w:name w:val="viiyi"/>
    <w:basedOn w:val="a0"/>
    <w:rsid w:val="00E025C2"/>
  </w:style>
  <w:style w:type="paragraph" w:styleId="a4">
    <w:name w:val="List Paragraph"/>
    <w:basedOn w:val="a"/>
    <w:uiPriority w:val="34"/>
    <w:qFormat/>
    <w:rsid w:val="00424F38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markedcontent">
    <w:name w:val="markedcontent"/>
    <w:basedOn w:val="a0"/>
    <w:rsid w:val="00424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Irisha</cp:lastModifiedBy>
  <cp:revision>6</cp:revision>
  <dcterms:created xsi:type="dcterms:W3CDTF">2022-07-24T09:27:00Z</dcterms:created>
  <dcterms:modified xsi:type="dcterms:W3CDTF">2024-09-21T11:31:00Z</dcterms:modified>
</cp:coreProperties>
</file>