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654"/>
      </w:tblGrid>
      <w:tr w:rsidR="00004B5F" w:rsidRPr="00004B5F" w:rsidTr="00D31B7A">
        <w:tc>
          <w:tcPr>
            <w:tcW w:w="7338" w:type="dxa"/>
          </w:tcPr>
          <w:p w:rsidR="00004B5F" w:rsidRPr="00004B5F" w:rsidRDefault="00004B5F" w:rsidP="003C4E55">
            <w:pPr>
              <w:rPr>
                <w:rFonts w:cstheme="minorHAnsi"/>
                <w:lang w:val="uk-UA"/>
              </w:rPr>
            </w:pPr>
            <w:r w:rsidRPr="00064906">
              <w:rPr>
                <w:rFonts w:cstheme="minorHAnsi"/>
                <w:b/>
                <w:lang w:val="uk-UA"/>
              </w:rPr>
              <w:t>Оригінал</w:t>
            </w:r>
            <w:r w:rsidR="0070027B" w:rsidRPr="00064906">
              <w:rPr>
                <w:rFonts w:cstheme="minorHAnsi"/>
                <w:b/>
                <w:lang w:val="uk-UA"/>
              </w:rPr>
              <w:t xml:space="preserve"> тексту</w:t>
            </w:r>
            <w:r w:rsidR="0070027B">
              <w:rPr>
                <w:rFonts w:cstheme="minorHAnsi"/>
                <w:lang w:val="uk-UA"/>
              </w:rPr>
              <w:t xml:space="preserve"> </w:t>
            </w:r>
            <w:r w:rsidR="00B96ED3">
              <w:rPr>
                <w:rFonts w:cstheme="minorHAnsi"/>
                <w:b/>
                <w:lang w:val="uk-UA"/>
              </w:rPr>
              <w:t>Українською</w:t>
            </w:r>
            <w:r w:rsidR="0070027B" w:rsidRPr="00DE7605">
              <w:rPr>
                <w:b/>
                <w:lang w:val="uk-UA"/>
              </w:rPr>
              <w:t xml:space="preserve"> </w:t>
            </w:r>
            <w:r w:rsidR="0070027B" w:rsidRPr="00064906">
              <w:rPr>
                <w:rFonts w:cstheme="minorHAnsi"/>
                <w:b/>
                <w:lang w:val="uk-UA" w:eastAsia="zh-CN"/>
              </w:rPr>
              <w:t>мовою</w:t>
            </w:r>
            <w:r w:rsidR="00064906">
              <w:rPr>
                <w:rFonts w:cstheme="minorHAnsi"/>
                <w:b/>
                <w:lang w:val="uk-UA" w:eastAsia="zh-CN"/>
              </w:rPr>
              <w:t>:</w:t>
            </w:r>
          </w:p>
        </w:tc>
        <w:tc>
          <w:tcPr>
            <w:tcW w:w="7654" w:type="dxa"/>
          </w:tcPr>
          <w:p w:rsidR="00004B5F" w:rsidRPr="00DE7605" w:rsidRDefault="00D72ACB" w:rsidP="00D72ACB">
            <w:pPr>
              <w:rPr>
                <w:rFonts w:cstheme="minorHAnsi"/>
                <w:b/>
                <w:lang w:val="uk-UA"/>
              </w:rPr>
            </w:pPr>
            <w:r w:rsidRPr="00D72ACB">
              <w:rPr>
                <w:rFonts w:cstheme="minorHAnsi"/>
                <w:b/>
                <w:lang w:val="uk-UA"/>
              </w:rPr>
              <w:t>Перекладений текст</w:t>
            </w:r>
            <w:r w:rsidRPr="00DE7605">
              <w:rPr>
                <w:rFonts w:cstheme="minorHAnsi"/>
                <w:b/>
                <w:lang w:val="uk-UA"/>
              </w:rPr>
              <w:t xml:space="preserve"> </w:t>
            </w:r>
            <w:r w:rsidR="003E744F" w:rsidRPr="00DE7605">
              <w:rPr>
                <w:rFonts w:cstheme="minorHAnsi"/>
                <w:b/>
                <w:lang w:val="uk-UA"/>
              </w:rPr>
              <w:t>на</w:t>
            </w:r>
            <w:r w:rsidR="0070027B" w:rsidRPr="00DE7605">
              <w:rPr>
                <w:rFonts w:cstheme="minorHAnsi"/>
                <w:b/>
                <w:lang w:val="uk-UA"/>
              </w:rPr>
              <w:t xml:space="preserve"> </w:t>
            </w:r>
            <w:r w:rsidRPr="00D72ACB">
              <w:rPr>
                <w:rFonts w:cstheme="minorHAnsi"/>
                <w:b/>
                <w:lang w:val="uk-UA"/>
              </w:rPr>
              <w:t>італійську</w:t>
            </w:r>
            <w:r>
              <w:rPr>
                <w:rFonts w:cstheme="minorHAnsi"/>
                <w:b/>
                <w:lang w:val="uk-UA"/>
              </w:rPr>
              <w:t xml:space="preserve"> мову</w:t>
            </w:r>
            <w:r w:rsidR="00004B5F" w:rsidRPr="00DE7605">
              <w:rPr>
                <w:rFonts w:cstheme="minorHAnsi"/>
                <w:b/>
                <w:lang w:val="uk-UA"/>
              </w:rPr>
              <w:t>:</w:t>
            </w:r>
          </w:p>
        </w:tc>
      </w:tr>
      <w:tr w:rsidR="0070027B" w:rsidRPr="00B96ED3" w:rsidTr="00D31B7A">
        <w:tc>
          <w:tcPr>
            <w:tcW w:w="7338" w:type="dxa"/>
          </w:tcPr>
          <w:p w:rsidR="00D72ACB" w:rsidRDefault="00D72ACB" w:rsidP="00B96ED3">
            <w:pPr>
              <w:ind w:firstLine="709"/>
              <w:jc w:val="both"/>
              <w:rPr>
                <w:rFonts w:asciiTheme="majorHAnsi" w:eastAsiaTheme="minorHAnsi" w:hAnsiTheme="majorHAnsi" w:cs="Times New Roman"/>
                <w:color w:val="000000"/>
                <w:lang w:val="uk-UA"/>
              </w:rPr>
            </w:pPr>
          </w:p>
          <w:p w:rsidR="00B96ED3" w:rsidRPr="00DB6F0F" w:rsidRDefault="00B96ED3" w:rsidP="00B96ED3">
            <w:pPr>
              <w:ind w:firstLine="709"/>
              <w:jc w:val="both"/>
              <w:rPr>
                <w:rFonts w:asciiTheme="majorHAnsi" w:eastAsiaTheme="minorHAnsi" w:hAnsiTheme="majorHAnsi" w:cs="Times New Roman"/>
                <w:color w:val="000000"/>
                <w:lang w:val="uk-UA"/>
              </w:rPr>
            </w:pPr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Відповідно до ст. 1 Рамкової конвенції про захист національних меншин захист національних меншин та прав і свобод осіб, які належать до цих меншин, є невід'ємною частиною міжнародного захисту прав людини і як такий є одним з напрямків міжнародного співробітництва.</w:t>
            </w:r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ab/>
            </w:r>
          </w:p>
          <w:p w:rsidR="00B96ED3" w:rsidRDefault="00B96ED3" w:rsidP="00B96ED3">
            <w:pPr>
              <w:ind w:firstLine="709"/>
              <w:jc w:val="both"/>
              <w:rPr>
                <w:rFonts w:asciiTheme="majorHAnsi" w:eastAsiaTheme="minorHAnsi" w:hAnsiTheme="majorHAnsi" w:cs="Times New Roman"/>
                <w:color w:val="000000"/>
                <w:lang w:val="uk-UA"/>
              </w:rPr>
            </w:pPr>
            <w:r w:rsidRPr="00DB6F0F">
              <w:rPr>
                <w:rFonts w:asciiTheme="majorHAnsi" w:eastAsia="Times New Roman" w:hAnsiTheme="majorHAnsi" w:cs="Times New Roman"/>
                <w:color w:val="000000"/>
                <w:lang w:val="uk-UA" w:eastAsia="ru-RU"/>
              </w:rPr>
              <w:t>Враховуючи вищенаведене, к</w:t>
            </w:r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омпактне поселення </w:t>
            </w:r>
            <w:proofErr w:type="spellStart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етнонаціональних</w:t>
            </w:r>
            <w:proofErr w:type="spellEnd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 спільнот, наявність регіональної етнічної </w:t>
            </w:r>
            <w:proofErr w:type="spellStart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самоідентифікації</w:t>
            </w:r>
            <w:proofErr w:type="spellEnd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 та етнічного самоуправління деяких найчисельніших національних меншин, специфіка розселення національних спільнот єдиним масивом поряд з державним кордоном, несприятлива економічна ситуація та транскордонна співпраця з материнськими країнами національних меншин, обумовлене прикордонним розміщенням областей, нещодавнє поновлення роботи двосторонніх комісій </w:t>
            </w:r>
            <w:proofErr w:type="spellStart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Україна - </w:t>
            </w:r>
            <w:proofErr w:type="spellEnd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Угорщина, </w:t>
            </w:r>
            <w:proofErr w:type="spellStart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Україна -</w:t>
            </w:r>
            <w:proofErr w:type="spellEnd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 Румунія та інших вимагають обов’язкового врахування </w:t>
            </w:r>
            <w:proofErr w:type="spellStart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етнополітичної</w:t>
            </w:r>
            <w:proofErr w:type="spellEnd"/>
            <w:r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 специфіки під час реалізації реформи децентралізації.</w:t>
            </w:r>
          </w:p>
          <w:p w:rsidR="00DE7605" w:rsidRPr="00B96ED3" w:rsidRDefault="00D72ACB" w:rsidP="00B96ED3">
            <w:pPr>
              <w:spacing w:before="100" w:after="100" w:line="260" w:lineRule="atLeast"/>
              <w:jc w:val="both"/>
              <w:rPr>
                <w:sz w:val="20"/>
                <w:lang w:val="uk-UA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              </w:t>
            </w:r>
            <w:r w:rsidR="00B96ED3"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Положення </w:t>
            </w:r>
            <w:proofErr w:type="spellStart"/>
            <w:r w:rsidR="00B96ED3"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ст</w:t>
            </w:r>
            <w:proofErr w:type="spellEnd"/>
            <w:r w:rsidR="00B96ED3"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. 14 Європейської Конвенції з прав людини, посиленої Протоколом № 12 до Конвенції, </w:t>
            </w:r>
            <w:r w:rsidR="00B96ED3" w:rsidRPr="00DB6F0F">
              <w:rPr>
                <w:rFonts w:asciiTheme="majorHAnsi" w:eastAsiaTheme="minorHAnsi" w:hAnsiTheme="majorHAnsi" w:cs="Times New Roman"/>
                <w:bCs/>
                <w:color w:val="000000"/>
                <w:lang w:val="uk-UA"/>
              </w:rPr>
              <w:t xml:space="preserve">ст. 5 </w:t>
            </w:r>
            <w:r w:rsidR="00B96ED3"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>і 6 Рамкової конвенції про захист національних меншин наголошують на забезпеченні збереження та розвитку культури, основних елементів самобутності, зокрема релігії, мови, традицій та культурної спадщини національних меншин,</w:t>
            </w:r>
            <w:r w:rsidR="00B96ED3" w:rsidRPr="00DB6F0F">
              <w:rPr>
                <w:rFonts w:asciiTheme="majorHAnsi" w:eastAsia="Times New Roman" w:hAnsiTheme="majorHAnsi" w:cs="Times New Roman"/>
                <w:i/>
                <w:color w:val="000000"/>
                <w:lang w:val="uk-UA" w:eastAsia="ru-RU"/>
              </w:rPr>
              <w:t xml:space="preserve"> </w:t>
            </w:r>
            <w:r w:rsidR="00B96ED3"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заохочення атмосфери терпимості та міжкультурного діалогу і вживають ефективних заходів для поглиблення взаємної поваги, взаєморозуміння та співробітництва. Необхідність утримання від політики та практики асиміляції та вжиття належних заходів для </w:t>
            </w:r>
            <w:r w:rsidR="00B96ED3" w:rsidRPr="00DB6F0F">
              <w:rPr>
                <w:rFonts w:asciiTheme="majorHAnsi" w:eastAsiaTheme="minorHAnsi" w:hAnsiTheme="majorHAnsi" w:cs="Times New Roman"/>
                <w:bCs/>
                <w:color w:val="000000"/>
                <w:lang w:val="uk-UA"/>
              </w:rPr>
              <w:t>захисту осіб</w:t>
            </w:r>
            <w:r w:rsidR="00B96ED3"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, які можуть стати </w:t>
            </w:r>
            <w:r w:rsidR="00B96ED3" w:rsidRPr="00DB6F0F">
              <w:rPr>
                <w:rFonts w:asciiTheme="majorHAnsi" w:eastAsiaTheme="minorHAnsi" w:hAnsiTheme="majorHAnsi" w:cs="Times New Roman"/>
                <w:bCs/>
                <w:color w:val="000000"/>
                <w:lang w:val="uk-UA"/>
              </w:rPr>
              <w:t>об'єктами погроз або актів дискримінації</w:t>
            </w:r>
            <w:r w:rsidR="00B96ED3" w:rsidRPr="00DB6F0F">
              <w:rPr>
                <w:rFonts w:asciiTheme="majorHAnsi" w:eastAsiaTheme="minorHAnsi" w:hAnsiTheme="majorHAnsi" w:cs="Times New Roman"/>
                <w:color w:val="000000"/>
                <w:lang w:val="uk-UA"/>
              </w:rPr>
              <w:t xml:space="preserve">, ворожого ставлення чи насильства на підставі їхньої </w:t>
            </w:r>
            <w:r w:rsidR="00B96ED3" w:rsidRPr="00DB6F0F">
              <w:rPr>
                <w:rFonts w:asciiTheme="majorHAnsi" w:eastAsiaTheme="minorHAnsi" w:hAnsiTheme="majorHAnsi" w:cs="Times New Roman"/>
                <w:bCs/>
                <w:color w:val="000000"/>
                <w:lang w:val="uk-UA"/>
              </w:rPr>
              <w:t>етнічної, культурної, мовної або релігійної самобутності розглядається як необхідна умова.</w:t>
            </w:r>
          </w:p>
          <w:p w:rsidR="00064906" w:rsidRPr="00064906" w:rsidRDefault="00064906" w:rsidP="000C407E">
            <w:pPr>
              <w:rPr>
                <w:rFonts w:cstheme="minorHAnsi"/>
                <w:color w:val="000000"/>
                <w:shd w:val="clear" w:color="auto" w:fill="FFFFFF"/>
                <w:lang w:val="uk-UA" w:eastAsia="zh-CN"/>
              </w:rPr>
            </w:pPr>
          </w:p>
        </w:tc>
        <w:tc>
          <w:tcPr>
            <w:tcW w:w="7654" w:type="dxa"/>
          </w:tcPr>
          <w:p w:rsidR="00D72ACB" w:rsidRDefault="00D72ACB" w:rsidP="000E484E">
            <w:pPr>
              <w:jc w:val="both"/>
              <w:rPr>
                <w:rFonts w:asciiTheme="majorHAnsi" w:hAnsiTheme="majorHAnsi" w:cstheme="minorHAnsi"/>
                <w:lang w:val="uk-UA" w:eastAsia="zh-CN"/>
              </w:rPr>
            </w:pPr>
          </w:p>
          <w:p w:rsidR="0070027B" w:rsidRDefault="00D72ACB" w:rsidP="000E484E">
            <w:pPr>
              <w:jc w:val="both"/>
              <w:rPr>
                <w:rFonts w:asciiTheme="majorHAnsi" w:hAnsiTheme="majorHAnsi" w:cstheme="minorHAnsi"/>
                <w:lang w:val="it-IT" w:eastAsia="zh-CN"/>
              </w:rPr>
            </w:pPr>
            <w:r>
              <w:rPr>
                <w:rFonts w:asciiTheme="majorHAnsi" w:hAnsiTheme="majorHAnsi" w:cstheme="minorHAnsi"/>
                <w:lang w:val="uk-UA" w:eastAsia="zh-CN"/>
              </w:rPr>
              <w:t xml:space="preserve">              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Ai sensi e per gli effetti di cui all'art.1 </w:t>
            </w:r>
            <w:r w:rsidR="000E484E">
              <w:rPr>
                <w:rFonts w:asciiTheme="majorHAnsi" w:hAnsiTheme="majorHAnsi" w:cstheme="minorHAnsi"/>
                <w:lang w:val="it-IT" w:eastAsia="zh-CN"/>
              </w:rPr>
              <w:t xml:space="preserve">della 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>Convenzione</w:t>
            </w:r>
            <w:r w:rsidR="000E484E">
              <w:rPr>
                <w:rFonts w:asciiTheme="majorHAnsi" w:hAnsiTheme="majorHAnsi" w:cstheme="minorHAnsi"/>
                <w:lang w:val="it-IT" w:eastAsia="zh-CN"/>
              </w:rPr>
              <w:t>-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>quadro per la protezione delle minoranze nazionali</w:t>
            </w:r>
            <w:r w:rsidR="000E484E">
              <w:rPr>
                <w:rFonts w:asciiTheme="majorHAnsi" w:hAnsiTheme="majorHAnsi" w:cstheme="minorHAnsi"/>
                <w:lang w:val="it-IT" w:eastAsia="zh-CN"/>
              </w:rPr>
              <w:t>,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0E484E">
              <w:rPr>
                <w:rFonts w:asciiTheme="majorHAnsi" w:hAnsiTheme="majorHAnsi" w:cstheme="minorHAnsi"/>
                <w:lang w:val="it-IT" w:eastAsia="zh-CN"/>
              </w:rPr>
              <w:t>l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a 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>tutela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 delle minoranze nazionali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0E484E">
              <w:rPr>
                <w:rFonts w:asciiTheme="majorHAnsi" w:hAnsiTheme="majorHAnsi" w:cstheme="minorHAnsi"/>
                <w:lang w:val="it-IT" w:eastAsia="zh-CN"/>
              </w:rPr>
              <w:t>de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i diritti e 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 xml:space="preserve">delle 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>libertà delle persone appartenenti a queste minoranze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>,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0E484E">
              <w:rPr>
                <w:rFonts w:asciiTheme="majorHAnsi" w:hAnsiTheme="majorHAnsi" w:cstheme="minorHAnsi"/>
                <w:lang w:val="it-IT" w:eastAsia="zh-CN"/>
              </w:rPr>
              <w:t>e’ una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 parte integrante della 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>protezione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 internazionale dei diritti umani e </w:t>
            </w:r>
            <w:r w:rsidR="000E484E">
              <w:rPr>
                <w:rFonts w:asciiTheme="majorHAnsi" w:hAnsiTheme="majorHAnsi" w:cstheme="minorHAnsi"/>
                <w:lang w:val="it-IT" w:eastAsia="zh-CN"/>
              </w:rPr>
              <w:t>come</w:t>
            </w:r>
            <w:r w:rsidR="000E484E" w:rsidRPr="000E484E">
              <w:rPr>
                <w:rFonts w:asciiTheme="majorHAnsi" w:hAnsiTheme="majorHAnsi" w:cstheme="minorHAnsi"/>
                <w:lang w:val="it-IT" w:eastAsia="zh-CN"/>
              </w:rPr>
              <w:t xml:space="preserve"> tale è uno dei settori della cooperazione internazionale.</w:t>
            </w:r>
          </w:p>
          <w:p w:rsidR="000C00DA" w:rsidRDefault="00D72ACB" w:rsidP="000C00DA">
            <w:pPr>
              <w:jc w:val="both"/>
              <w:rPr>
                <w:rFonts w:asciiTheme="majorHAnsi" w:hAnsiTheme="majorHAnsi" w:cstheme="minorHAnsi"/>
                <w:lang w:val="it-IT" w:eastAsia="zh-CN"/>
              </w:rPr>
            </w:pPr>
            <w:r>
              <w:rPr>
                <w:rFonts w:asciiTheme="majorHAnsi" w:hAnsiTheme="majorHAnsi" w:cstheme="minorHAnsi"/>
                <w:lang w:val="uk-UA" w:eastAsia="zh-CN"/>
              </w:rPr>
              <w:t xml:space="preserve">             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>Ciò premesso, l'insediamento compatto delle comunità etn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>onazionali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, la presenza di </w:t>
            </w:r>
            <w:r w:rsidR="00C11B35" w:rsidRPr="00C11B35">
              <w:rPr>
                <w:rFonts w:asciiTheme="majorHAnsi" w:hAnsiTheme="majorHAnsi" w:cstheme="minorHAnsi"/>
                <w:lang w:val="it-IT" w:eastAsia="zh-CN"/>
              </w:rPr>
              <w:t>autoidentificazione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etnica regionale e di </w:t>
            </w:r>
            <w:r w:rsidR="000C00DA">
              <w:rPr>
                <w:rFonts w:asciiTheme="majorHAnsi" w:hAnsiTheme="majorHAnsi" w:cstheme="minorHAnsi"/>
                <w:lang w:val="it-IT" w:eastAsia="zh-CN"/>
              </w:rPr>
              <w:t>a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utoamministrazione etnica </w:t>
            </w:r>
            <w:r w:rsidR="00954B1B">
              <w:rPr>
                <w:rFonts w:asciiTheme="majorHAnsi" w:hAnsiTheme="majorHAnsi" w:cstheme="minorHAnsi"/>
                <w:lang w:val="it-IT" w:eastAsia="zh-CN"/>
              </w:rPr>
              <w:t xml:space="preserve">di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>alcun</w:t>
            </w:r>
            <w:r w:rsidR="00FC4047">
              <w:rPr>
                <w:rFonts w:asciiTheme="majorHAnsi" w:hAnsiTheme="majorHAnsi" w:cstheme="minorHAnsi"/>
                <w:lang w:val="it-IT" w:eastAsia="zh-CN"/>
              </w:rPr>
              <w:t xml:space="preserve">e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>minoranz</w:t>
            </w:r>
            <w:r w:rsidR="00FC4047">
              <w:rPr>
                <w:rFonts w:asciiTheme="majorHAnsi" w:hAnsiTheme="majorHAnsi" w:cstheme="minorHAnsi"/>
                <w:lang w:val="it-IT" w:eastAsia="zh-CN"/>
              </w:rPr>
              <w:t xml:space="preserve">e </w:t>
            </w:r>
            <w:r w:rsidR="00FC4047" w:rsidRPr="00FC4047">
              <w:rPr>
                <w:rFonts w:asciiTheme="majorHAnsi" w:hAnsiTheme="majorHAnsi" w:cstheme="minorHAnsi"/>
                <w:lang w:val="it-IT" w:eastAsia="zh-CN"/>
              </w:rPr>
              <w:t>più numerose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, la </w:t>
            </w:r>
            <w:r w:rsidR="00F73312" w:rsidRPr="00F73312">
              <w:rPr>
                <w:rFonts w:asciiTheme="majorHAnsi" w:hAnsiTheme="majorHAnsi" w:cstheme="minorHAnsi"/>
                <w:lang w:val="it-IT" w:eastAsia="zh-CN"/>
              </w:rPr>
              <w:t>peculiarità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di </w:t>
            </w:r>
            <w:r w:rsidR="003B1BB2">
              <w:rPr>
                <w:rFonts w:asciiTheme="majorHAnsi" w:hAnsiTheme="majorHAnsi" w:cstheme="minorHAnsi"/>
                <w:lang w:val="it-IT" w:eastAsia="zh-CN"/>
              </w:rPr>
              <w:t xml:space="preserve">insediamento delle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comunità etniche </w:t>
            </w:r>
            <w:r w:rsidR="00B33707">
              <w:rPr>
                <w:rFonts w:asciiTheme="majorHAnsi" w:hAnsiTheme="majorHAnsi" w:cstheme="minorHAnsi"/>
                <w:lang w:val="it-IT" w:eastAsia="zh-CN"/>
              </w:rPr>
              <w:t>su</w:t>
            </w:r>
            <w:r w:rsidR="00955507">
              <w:rPr>
                <w:rFonts w:asciiTheme="majorHAnsi" w:hAnsiTheme="majorHAnsi" w:cstheme="minorHAnsi"/>
                <w:lang w:val="it-IT" w:eastAsia="zh-CN"/>
              </w:rPr>
              <w:t xml:space="preserve"> un</w:t>
            </w:r>
            <w:r w:rsidR="00B33707">
              <w:rPr>
                <w:rFonts w:asciiTheme="majorHAnsi" w:hAnsiTheme="majorHAnsi" w:cstheme="minorHAnsi"/>
                <w:lang w:val="it-IT" w:eastAsia="zh-CN"/>
              </w:rPr>
              <w:t>’</w:t>
            </w:r>
            <w:r w:rsidR="00955507">
              <w:rPr>
                <w:rFonts w:asciiTheme="majorHAnsi" w:hAnsiTheme="majorHAnsi" w:cstheme="minorHAnsi"/>
                <w:lang w:val="it-IT" w:eastAsia="zh-CN"/>
              </w:rPr>
              <w:t xml:space="preserve">area unica </w:t>
            </w:r>
            <w:r w:rsidR="00D46646">
              <w:rPr>
                <w:rFonts w:asciiTheme="majorHAnsi" w:hAnsiTheme="majorHAnsi" w:cstheme="minorHAnsi"/>
                <w:lang w:val="it-IT" w:eastAsia="zh-CN"/>
              </w:rPr>
              <w:t>vicino a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>l confine di stato, la situazione economica sfavorevole</w:t>
            </w:r>
            <w:r w:rsidR="00071AC3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ED66F1">
              <w:rPr>
                <w:rFonts w:asciiTheme="majorHAnsi" w:hAnsiTheme="majorHAnsi" w:cstheme="minorHAnsi"/>
                <w:lang w:val="it-IT" w:eastAsia="zh-CN"/>
              </w:rPr>
              <w:t>la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cooperazione transfrontaliera </w:t>
            </w:r>
            <w:r w:rsidR="00071AC3" w:rsidRPr="000C00DA">
              <w:rPr>
                <w:rFonts w:asciiTheme="majorHAnsi" w:hAnsiTheme="majorHAnsi" w:cstheme="minorHAnsi"/>
                <w:lang w:val="it-IT" w:eastAsia="zh-CN"/>
              </w:rPr>
              <w:t xml:space="preserve">delle minoranze nazionali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con i paesi madri </w:t>
            </w:r>
            <w:r w:rsidR="00BF7432">
              <w:rPr>
                <w:rFonts w:asciiTheme="majorHAnsi" w:hAnsiTheme="majorHAnsi" w:cstheme="minorHAnsi"/>
                <w:lang w:val="it-IT" w:eastAsia="zh-CN"/>
              </w:rPr>
              <w:t>condizionata d</w:t>
            </w:r>
            <w:r w:rsidR="006736AD">
              <w:rPr>
                <w:rFonts w:asciiTheme="majorHAnsi" w:hAnsiTheme="majorHAnsi" w:cstheme="minorHAnsi"/>
                <w:lang w:val="it-IT" w:eastAsia="zh-CN"/>
              </w:rPr>
              <w:t xml:space="preserve">alla </w:t>
            </w:r>
            <w:r w:rsidR="00DD6800">
              <w:rPr>
                <w:rFonts w:asciiTheme="majorHAnsi" w:hAnsiTheme="majorHAnsi" w:cstheme="minorHAnsi"/>
                <w:lang w:val="it-IT" w:eastAsia="zh-CN"/>
              </w:rPr>
              <w:t>posizione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BF7432" w:rsidRPr="00BF7432">
              <w:rPr>
                <w:rFonts w:asciiTheme="majorHAnsi" w:hAnsiTheme="majorHAnsi" w:cstheme="minorHAnsi"/>
                <w:lang w:val="it-IT" w:eastAsia="zh-CN"/>
              </w:rPr>
              <w:t>limitrof</w:t>
            </w:r>
            <w:r w:rsidR="00DD6800">
              <w:rPr>
                <w:rFonts w:asciiTheme="majorHAnsi" w:hAnsiTheme="majorHAnsi" w:cstheme="minorHAnsi"/>
                <w:lang w:val="it-IT" w:eastAsia="zh-CN"/>
              </w:rPr>
              <w:t>a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6736AD">
              <w:rPr>
                <w:rFonts w:asciiTheme="majorHAnsi" w:hAnsiTheme="majorHAnsi" w:cstheme="minorHAnsi"/>
                <w:lang w:val="it-IT" w:eastAsia="zh-CN"/>
              </w:rPr>
              <w:t xml:space="preserve">la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recente </w:t>
            </w:r>
            <w:r w:rsidR="006736AD">
              <w:rPr>
                <w:rFonts w:asciiTheme="majorHAnsi" w:hAnsiTheme="majorHAnsi" w:cstheme="minorHAnsi"/>
                <w:lang w:val="it-IT" w:eastAsia="zh-CN"/>
              </w:rPr>
              <w:t>ripresa d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>i</w:t>
            </w:r>
            <w:r w:rsidR="006736AD">
              <w:rPr>
                <w:rFonts w:asciiTheme="majorHAnsi" w:hAnsiTheme="majorHAnsi" w:cstheme="minorHAnsi"/>
                <w:lang w:val="it-IT" w:eastAsia="zh-CN"/>
              </w:rPr>
              <w:t xml:space="preserve"> lavoro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d</w:t>
            </w:r>
            <w:r w:rsidR="002A4749">
              <w:rPr>
                <w:rFonts w:asciiTheme="majorHAnsi" w:hAnsiTheme="majorHAnsi" w:cstheme="minorHAnsi"/>
                <w:lang w:val="it-IT" w:eastAsia="zh-CN"/>
              </w:rPr>
              <w:t>e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>lle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commissioni bilaterali Ucraina 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>–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 Ungheria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 xml:space="preserve">Ucraina - Romania e </w:t>
            </w:r>
            <w:r w:rsidR="002A4749">
              <w:rPr>
                <w:rFonts w:asciiTheme="majorHAnsi" w:hAnsiTheme="majorHAnsi" w:cstheme="minorHAnsi"/>
                <w:lang w:val="it-IT" w:eastAsia="zh-CN"/>
              </w:rPr>
              <w:t>del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 xml:space="preserve">le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>altr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>e</w:t>
            </w:r>
            <w:r w:rsidR="006736AD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A80065">
              <w:rPr>
                <w:rFonts w:asciiTheme="majorHAnsi" w:hAnsiTheme="majorHAnsi" w:cstheme="minorHAnsi"/>
                <w:lang w:val="it-IT" w:eastAsia="zh-CN"/>
              </w:rPr>
              <w:t>richiedono</w:t>
            </w:r>
            <w:r w:rsidR="007604E7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6572F4" w:rsidRPr="006572F4">
              <w:rPr>
                <w:rFonts w:asciiTheme="majorHAnsi" w:hAnsiTheme="majorHAnsi" w:cstheme="minorHAnsi"/>
                <w:lang w:val="it-IT" w:eastAsia="zh-CN"/>
              </w:rPr>
              <w:t xml:space="preserve">necessariamente </w:t>
            </w:r>
            <w:r w:rsidR="007604E7">
              <w:rPr>
                <w:rFonts w:asciiTheme="majorHAnsi" w:hAnsiTheme="majorHAnsi" w:cstheme="minorHAnsi"/>
                <w:lang w:val="it-IT" w:eastAsia="zh-CN"/>
              </w:rPr>
              <w:t xml:space="preserve">di prendere in considerazione  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>l</w:t>
            </w:r>
            <w:r w:rsidR="00094BFE">
              <w:rPr>
                <w:rFonts w:asciiTheme="majorHAnsi" w:hAnsiTheme="majorHAnsi" w:cstheme="minorHAnsi"/>
                <w:lang w:val="it-IT" w:eastAsia="zh-CN"/>
              </w:rPr>
              <w:t>a speci</w:t>
            </w:r>
            <w:r w:rsidR="00F73312">
              <w:rPr>
                <w:rFonts w:asciiTheme="majorHAnsi" w:hAnsiTheme="majorHAnsi" w:cstheme="minorHAnsi"/>
                <w:lang w:val="it-IT" w:eastAsia="zh-CN"/>
              </w:rPr>
              <w:t>ficita’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 xml:space="preserve"> etnopolitic</w:t>
            </w:r>
            <w:r w:rsidR="00F73312">
              <w:rPr>
                <w:rFonts w:asciiTheme="majorHAnsi" w:hAnsiTheme="majorHAnsi" w:cstheme="minorHAnsi"/>
                <w:lang w:val="it-IT" w:eastAsia="zh-CN"/>
              </w:rPr>
              <w:t>a</w:t>
            </w:r>
            <w:r w:rsidR="00FD24B0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0C00DA" w:rsidRPr="000C00DA">
              <w:rPr>
                <w:rFonts w:asciiTheme="majorHAnsi" w:hAnsiTheme="majorHAnsi" w:cstheme="minorHAnsi"/>
                <w:lang w:val="it-IT" w:eastAsia="zh-CN"/>
              </w:rPr>
              <w:t>durante l'attuazione delle riforme di decentramento.</w:t>
            </w:r>
          </w:p>
          <w:p w:rsidR="00C11B35" w:rsidRDefault="00C11B35" w:rsidP="000C00DA">
            <w:pPr>
              <w:jc w:val="both"/>
              <w:rPr>
                <w:rFonts w:asciiTheme="majorHAnsi" w:hAnsiTheme="majorHAnsi" w:cstheme="minorHAnsi"/>
                <w:lang w:eastAsia="zh-CN"/>
              </w:rPr>
            </w:pPr>
          </w:p>
          <w:p w:rsidR="005D39B8" w:rsidRPr="005D39B8" w:rsidRDefault="00D72ACB" w:rsidP="003D71E6">
            <w:pPr>
              <w:jc w:val="both"/>
              <w:rPr>
                <w:rFonts w:asciiTheme="majorHAnsi" w:hAnsiTheme="majorHAnsi" w:cstheme="minorHAnsi"/>
                <w:lang w:val="it-IT" w:eastAsia="zh-CN"/>
              </w:rPr>
            </w:pPr>
            <w:r>
              <w:rPr>
                <w:rFonts w:asciiTheme="majorHAnsi" w:hAnsiTheme="majorHAnsi" w:cstheme="minorHAnsi"/>
                <w:lang w:val="uk-UA" w:eastAsia="zh-CN"/>
              </w:rPr>
              <w:t xml:space="preserve">               </w:t>
            </w:r>
            <w:bookmarkStart w:id="0" w:name="_GoBack"/>
            <w:bookmarkEnd w:id="0"/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>Le disposizioni di cui all'art. 14 della Convenzione europea dei diritti dell'uomo</w:t>
            </w:r>
            <w:r w:rsidR="00634C8A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634C8A" w:rsidRPr="00634C8A">
              <w:rPr>
                <w:rFonts w:asciiTheme="majorHAnsi" w:hAnsiTheme="majorHAnsi" w:cstheme="minorHAnsi"/>
                <w:lang w:val="it-IT" w:eastAsia="zh-CN"/>
              </w:rPr>
              <w:t>rafforzata dagli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art</w:t>
            </w:r>
            <w:r w:rsidR="00634C8A">
              <w:rPr>
                <w:rFonts w:asciiTheme="majorHAnsi" w:hAnsiTheme="majorHAnsi" w:cstheme="minorHAnsi"/>
                <w:lang w:val="it-IT" w:eastAsia="zh-CN"/>
              </w:rPr>
              <w:t>t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. 5 e 6 della Convenzione quadro per la protezione delle minoranze nazionali </w:t>
            </w:r>
            <w:r w:rsidR="00634C8A">
              <w:rPr>
                <w:rFonts w:asciiTheme="majorHAnsi" w:hAnsiTheme="majorHAnsi" w:cstheme="minorHAnsi"/>
                <w:lang w:val="it-IT" w:eastAsia="zh-CN"/>
              </w:rPr>
              <w:t>ribadiscono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la </w:t>
            </w:r>
            <w:r w:rsidR="00E51E9E">
              <w:rPr>
                <w:rFonts w:asciiTheme="majorHAnsi" w:hAnsiTheme="majorHAnsi" w:cstheme="minorHAnsi"/>
                <w:lang w:val="it-IT" w:eastAsia="zh-CN"/>
              </w:rPr>
              <w:t xml:space="preserve">garanzaia di tutela 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e  sviluppo della cultura, </w:t>
            </w:r>
            <w:r w:rsidR="00044436">
              <w:rPr>
                <w:rFonts w:asciiTheme="majorHAnsi" w:hAnsiTheme="majorHAnsi" w:cstheme="minorHAnsi"/>
                <w:lang w:val="it-IT" w:eastAsia="zh-CN"/>
              </w:rPr>
              <w:t>de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gli elementi </w:t>
            </w:r>
            <w:r w:rsidR="00044436">
              <w:rPr>
                <w:rFonts w:asciiTheme="majorHAnsi" w:hAnsiTheme="majorHAnsi" w:cstheme="minorHAnsi"/>
                <w:lang w:val="it-IT" w:eastAsia="zh-CN"/>
              </w:rPr>
              <w:t>b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ase di </w:t>
            </w:r>
            <w:r w:rsidR="00044436">
              <w:rPr>
                <w:rFonts w:asciiTheme="majorHAnsi" w:hAnsiTheme="majorHAnsi" w:cstheme="minorHAnsi"/>
                <w:lang w:val="it-IT" w:eastAsia="zh-CN"/>
              </w:rPr>
              <w:t>originalita’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044436" w:rsidRPr="00044436">
              <w:rPr>
                <w:rFonts w:asciiTheme="majorHAnsi" w:hAnsiTheme="majorHAnsi" w:cstheme="minorHAnsi"/>
                <w:lang w:val="it-IT" w:eastAsia="zh-CN"/>
              </w:rPr>
              <w:t xml:space="preserve">specificamente </w:t>
            </w:r>
            <w:r w:rsidR="00044436">
              <w:rPr>
                <w:rFonts w:asciiTheme="majorHAnsi" w:hAnsiTheme="majorHAnsi" w:cstheme="minorHAnsi"/>
                <w:lang w:val="it-IT" w:eastAsia="zh-CN"/>
              </w:rPr>
              <w:t>del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la  religione, </w:t>
            </w:r>
            <w:r w:rsidR="00044436">
              <w:rPr>
                <w:rFonts w:asciiTheme="majorHAnsi" w:hAnsiTheme="majorHAnsi" w:cstheme="minorHAnsi"/>
                <w:lang w:val="it-IT" w:eastAsia="zh-CN"/>
              </w:rPr>
              <w:t>del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la lingua, </w:t>
            </w:r>
            <w:r w:rsidR="00044436">
              <w:rPr>
                <w:rFonts w:asciiTheme="majorHAnsi" w:hAnsiTheme="majorHAnsi" w:cstheme="minorHAnsi"/>
                <w:lang w:val="it-IT" w:eastAsia="zh-CN"/>
              </w:rPr>
              <w:t>del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>le tradizioni e del patrimonio culturale delle minoranze nazionali, promuovendo lo spirito di tolleranza e di dialogo interculturale</w:t>
            </w:r>
            <w:r w:rsidR="004A16BC">
              <w:rPr>
                <w:rFonts w:asciiTheme="majorHAnsi" w:hAnsiTheme="majorHAnsi" w:cstheme="minorHAnsi"/>
                <w:lang w:val="it-IT" w:eastAsia="zh-CN"/>
              </w:rPr>
              <w:t>,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e adotta</w:t>
            </w:r>
            <w:r w:rsidR="004A16BC">
              <w:rPr>
                <w:rFonts w:asciiTheme="majorHAnsi" w:hAnsiTheme="majorHAnsi" w:cstheme="minorHAnsi"/>
                <w:lang w:val="it-IT" w:eastAsia="zh-CN"/>
              </w:rPr>
              <w:t>no delle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misure efficaci per promuovere </w:t>
            </w:r>
            <w:r w:rsidR="004A16BC">
              <w:rPr>
                <w:rFonts w:asciiTheme="majorHAnsi" w:hAnsiTheme="majorHAnsi" w:cstheme="minorHAnsi"/>
                <w:lang w:val="it-IT" w:eastAsia="zh-CN"/>
              </w:rPr>
              <w:t xml:space="preserve">la </w:t>
            </w:r>
            <w:r w:rsidR="004A16BC" w:rsidRPr="004A16BC">
              <w:rPr>
                <w:rFonts w:asciiTheme="majorHAnsi" w:hAnsiTheme="majorHAnsi" w:cstheme="minorHAnsi"/>
                <w:lang w:val="it-IT" w:eastAsia="zh-CN"/>
              </w:rPr>
              <w:t xml:space="preserve">stima 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>e la comprensione reciproca</w:t>
            </w:r>
            <w:r w:rsidR="004A16BC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la cooperazione. La necessità di </w:t>
            </w:r>
            <w:r w:rsidR="00BE5284" w:rsidRPr="00BE5284">
              <w:rPr>
                <w:rFonts w:asciiTheme="majorHAnsi" w:hAnsiTheme="majorHAnsi" w:cstheme="minorHAnsi"/>
                <w:lang w:val="it-IT" w:eastAsia="zh-CN"/>
              </w:rPr>
              <w:t>ast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enersi</w:t>
            </w:r>
            <w:r w:rsidR="00BE5284" w:rsidRPr="00BE5284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>d</w:t>
            </w:r>
            <w:r w:rsidR="00BE5284">
              <w:rPr>
                <w:rFonts w:asciiTheme="majorHAnsi" w:hAnsiTheme="majorHAnsi" w:cstheme="minorHAnsi"/>
                <w:lang w:val="it-IT" w:eastAsia="zh-CN"/>
              </w:rPr>
              <w:t>a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lle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politiche e pratiche di assimilazione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,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e di ado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ttare</w:t>
            </w:r>
            <w:r w:rsidR="00BE5284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le</w:t>
            </w:r>
            <w:r w:rsidR="00BE5284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misure appropriate per 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difendere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le persone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,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che potrebbero </w:t>
            </w:r>
            <w:r w:rsidR="00BE5284">
              <w:rPr>
                <w:rFonts w:asciiTheme="majorHAnsi" w:hAnsiTheme="majorHAnsi" w:cstheme="minorHAnsi"/>
                <w:lang w:val="it-IT" w:eastAsia="zh-CN"/>
              </w:rPr>
              <w:t>diventare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BE5284">
              <w:rPr>
                <w:rFonts w:asciiTheme="majorHAnsi" w:hAnsiTheme="majorHAnsi" w:cstheme="minorHAnsi"/>
                <w:lang w:val="it-IT" w:eastAsia="zh-CN"/>
              </w:rPr>
              <w:t>oggetto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di minacce o </w:t>
            </w:r>
            <w:r w:rsidR="00BE5284" w:rsidRPr="00BE5284">
              <w:rPr>
                <w:rFonts w:asciiTheme="majorHAnsi" w:hAnsiTheme="majorHAnsi" w:cstheme="minorHAnsi"/>
                <w:lang w:val="it-IT" w:eastAsia="zh-CN"/>
              </w:rPr>
              <w:t>di discriminazione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, </w:t>
            </w:r>
            <w:r w:rsidR="001C110D">
              <w:rPr>
                <w:rFonts w:asciiTheme="majorHAnsi" w:hAnsiTheme="majorHAnsi" w:cstheme="minorHAnsi"/>
                <w:lang w:val="it-IT" w:eastAsia="zh-CN"/>
              </w:rPr>
              <w:t>d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 xml:space="preserve">a 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ostilità o </w:t>
            </w:r>
            <w:r w:rsidR="001C110D">
              <w:rPr>
                <w:rFonts w:asciiTheme="majorHAnsi" w:hAnsiTheme="majorHAnsi" w:cstheme="minorHAnsi"/>
                <w:lang w:val="it-IT" w:eastAsia="zh-CN"/>
              </w:rPr>
              <w:t>d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 xml:space="preserve">a 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>violenz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dovute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</w:t>
            </w:r>
            <w:r w:rsidR="00556D89">
              <w:rPr>
                <w:rFonts w:asciiTheme="majorHAnsi" w:hAnsiTheme="majorHAnsi" w:cstheme="minorHAnsi"/>
                <w:lang w:val="it-IT" w:eastAsia="zh-CN"/>
              </w:rPr>
              <w:t>all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>a loro identità etnica, culturale, linguistica o religiosa</w:t>
            </w:r>
            <w:r w:rsidR="003D71E6">
              <w:rPr>
                <w:rFonts w:asciiTheme="majorHAnsi" w:hAnsiTheme="majorHAnsi" w:cstheme="minorHAnsi"/>
                <w:lang w:val="it-IT" w:eastAsia="zh-CN"/>
              </w:rPr>
              <w:t>,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è </w:t>
            </w:r>
            <w:r w:rsidR="00374EB3">
              <w:rPr>
                <w:rFonts w:asciiTheme="majorHAnsi" w:hAnsiTheme="majorHAnsi" w:cstheme="minorHAnsi"/>
                <w:lang w:val="it-IT" w:eastAsia="zh-CN"/>
              </w:rPr>
              <w:t>considerata</w:t>
            </w:r>
            <w:r w:rsidR="005D39B8" w:rsidRPr="005D39B8">
              <w:rPr>
                <w:rFonts w:asciiTheme="majorHAnsi" w:hAnsiTheme="majorHAnsi" w:cstheme="minorHAnsi"/>
                <w:lang w:val="it-IT" w:eastAsia="zh-CN"/>
              </w:rPr>
              <w:t xml:space="preserve"> come una condizione necessaria.</w:t>
            </w:r>
          </w:p>
        </w:tc>
      </w:tr>
      <w:tr w:rsidR="00D72ACB" w:rsidRPr="00B96ED3" w:rsidTr="00D31B7A">
        <w:tc>
          <w:tcPr>
            <w:tcW w:w="7338" w:type="dxa"/>
          </w:tcPr>
          <w:p w:rsidR="00D72ACB" w:rsidRDefault="00D72ACB" w:rsidP="00B96ED3">
            <w:pPr>
              <w:ind w:firstLine="709"/>
              <w:jc w:val="both"/>
              <w:rPr>
                <w:rFonts w:asciiTheme="majorHAnsi" w:hAnsiTheme="majorHAnsi" w:cs="Times New Roman"/>
                <w:color w:val="000000"/>
                <w:lang w:val="uk-UA"/>
              </w:rPr>
            </w:pPr>
          </w:p>
        </w:tc>
        <w:tc>
          <w:tcPr>
            <w:tcW w:w="7654" w:type="dxa"/>
          </w:tcPr>
          <w:p w:rsidR="00D72ACB" w:rsidRDefault="00D72ACB" w:rsidP="000E484E">
            <w:pPr>
              <w:jc w:val="both"/>
              <w:rPr>
                <w:rFonts w:asciiTheme="majorHAnsi" w:hAnsiTheme="majorHAnsi" w:cstheme="minorHAnsi"/>
                <w:lang w:val="uk-UA" w:eastAsia="zh-CN"/>
              </w:rPr>
            </w:pPr>
          </w:p>
        </w:tc>
      </w:tr>
    </w:tbl>
    <w:p w:rsidR="00004B5F" w:rsidRPr="00004B5F" w:rsidRDefault="00004B5F" w:rsidP="00004B5F"/>
    <w:sectPr w:rsidR="00004B5F" w:rsidRPr="00004B5F" w:rsidSect="00D31B7A">
      <w:pgSz w:w="16838" w:h="11906" w:orient="landscape"/>
      <w:pgMar w:top="851" w:right="709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21" w:rsidRDefault="00037D21" w:rsidP="00D31B7A">
      <w:pPr>
        <w:spacing w:after="0" w:line="240" w:lineRule="auto"/>
      </w:pPr>
      <w:r>
        <w:separator/>
      </w:r>
    </w:p>
  </w:endnote>
  <w:endnote w:type="continuationSeparator" w:id="0">
    <w:p w:rsidR="00037D21" w:rsidRDefault="00037D21" w:rsidP="00D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21" w:rsidRDefault="00037D21" w:rsidP="00D31B7A">
      <w:pPr>
        <w:spacing w:after="0" w:line="240" w:lineRule="auto"/>
      </w:pPr>
      <w:r>
        <w:separator/>
      </w:r>
    </w:p>
  </w:footnote>
  <w:footnote w:type="continuationSeparator" w:id="0">
    <w:p w:rsidR="00037D21" w:rsidRDefault="00037D21" w:rsidP="00D31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92256"/>
    <w:multiLevelType w:val="hybridMultilevel"/>
    <w:tmpl w:val="F618B76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6AC438FD"/>
    <w:multiLevelType w:val="hybridMultilevel"/>
    <w:tmpl w:val="184095EA"/>
    <w:lvl w:ilvl="0" w:tplc="0D0017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AE60FB0"/>
    <w:multiLevelType w:val="hybridMultilevel"/>
    <w:tmpl w:val="F788D512"/>
    <w:lvl w:ilvl="0" w:tplc="C0C8431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7CB7C6">
      <w:numFmt w:val="none"/>
      <w:lvlText w:val=""/>
      <w:lvlJc w:val="left"/>
      <w:pPr>
        <w:tabs>
          <w:tab w:val="num" w:pos="360"/>
        </w:tabs>
      </w:pPr>
    </w:lvl>
    <w:lvl w:ilvl="2" w:tplc="BA7463E6">
      <w:numFmt w:val="none"/>
      <w:lvlText w:val=""/>
      <w:lvlJc w:val="left"/>
      <w:pPr>
        <w:tabs>
          <w:tab w:val="num" w:pos="360"/>
        </w:tabs>
      </w:pPr>
    </w:lvl>
    <w:lvl w:ilvl="3" w:tplc="E6EA6702">
      <w:numFmt w:val="none"/>
      <w:lvlText w:val=""/>
      <w:lvlJc w:val="left"/>
      <w:pPr>
        <w:tabs>
          <w:tab w:val="num" w:pos="360"/>
        </w:tabs>
      </w:pPr>
    </w:lvl>
    <w:lvl w:ilvl="4" w:tplc="33FCA2F2">
      <w:numFmt w:val="none"/>
      <w:lvlText w:val=""/>
      <w:lvlJc w:val="left"/>
      <w:pPr>
        <w:tabs>
          <w:tab w:val="num" w:pos="360"/>
        </w:tabs>
      </w:pPr>
    </w:lvl>
    <w:lvl w:ilvl="5" w:tplc="99501972">
      <w:numFmt w:val="none"/>
      <w:lvlText w:val=""/>
      <w:lvlJc w:val="left"/>
      <w:pPr>
        <w:tabs>
          <w:tab w:val="num" w:pos="360"/>
        </w:tabs>
      </w:pPr>
    </w:lvl>
    <w:lvl w:ilvl="6" w:tplc="837CD110">
      <w:numFmt w:val="none"/>
      <w:lvlText w:val=""/>
      <w:lvlJc w:val="left"/>
      <w:pPr>
        <w:tabs>
          <w:tab w:val="num" w:pos="360"/>
        </w:tabs>
      </w:pPr>
    </w:lvl>
    <w:lvl w:ilvl="7" w:tplc="00CCF51E">
      <w:numFmt w:val="none"/>
      <w:lvlText w:val=""/>
      <w:lvlJc w:val="left"/>
      <w:pPr>
        <w:tabs>
          <w:tab w:val="num" w:pos="360"/>
        </w:tabs>
      </w:pPr>
    </w:lvl>
    <w:lvl w:ilvl="8" w:tplc="4BF099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85"/>
    <w:rsid w:val="00004B5F"/>
    <w:rsid w:val="00037D21"/>
    <w:rsid w:val="00044436"/>
    <w:rsid w:val="00064906"/>
    <w:rsid w:val="00066CE7"/>
    <w:rsid w:val="00071AC3"/>
    <w:rsid w:val="000927FD"/>
    <w:rsid w:val="00094BFE"/>
    <w:rsid w:val="000C00DA"/>
    <w:rsid w:val="000C2495"/>
    <w:rsid w:val="000E484E"/>
    <w:rsid w:val="00156E67"/>
    <w:rsid w:val="001C110D"/>
    <w:rsid w:val="001D1595"/>
    <w:rsid w:val="001E2FC7"/>
    <w:rsid w:val="00213277"/>
    <w:rsid w:val="002729FC"/>
    <w:rsid w:val="00280859"/>
    <w:rsid w:val="002A4749"/>
    <w:rsid w:val="003447FD"/>
    <w:rsid w:val="00370D92"/>
    <w:rsid w:val="00374EB3"/>
    <w:rsid w:val="003B1BB2"/>
    <w:rsid w:val="003C4E55"/>
    <w:rsid w:val="003D71E6"/>
    <w:rsid w:val="003E744F"/>
    <w:rsid w:val="003F0720"/>
    <w:rsid w:val="0043173F"/>
    <w:rsid w:val="00445069"/>
    <w:rsid w:val="004A16BC"/>
    <w:rsid w:val="004D1510"/>
    <w:rsid w:val="004D5B21"/>
    <w:rsid w:val="00510360"/>
    <w:rsid w:val="00516A7F"/>
    <w:rsid w:val="00554C49"/>
    <w:rsid w:val="00556D89"/>
    <w:rsid w:val="005D39B8"/>
    <w:rsid w:val="005F1DE3"/>
    <w:rsid w:val="00634C8A"/>
    <w:rsid w:val="0064740F"/>
    <w:rsid w:val="006572F4"/>
    <w:rsid w:val="006736AD"/>
    <w:rsid w:val="006F5376"/>
    <w:rsid w:val="006F7A92"/>
    <w:rsid w:val="0070027B"/>
    <w:rsid w:val="0070797F"/>
    <w:rsid w:val="007604E7"/>
    <w:rsid w:val="00774FE6"/>
    <w:rsid w:val="00782916"/>
    <w:rsid w:val="0079749F"/>
    <w:rsid w:val="007B42A9"/>
    <w:rsid w:val="00851470"/>
    <w:rsid w:val="00870F67"/>
    <w:rsid w:val="00892985"/>
    <w:rsid w:val="0094706B"/>
    <w:rsid w:val="00954B1B"/>
    <w:rsid w:val="00955507"/>
    <w:rsid w:val="00994822"/>
    <w:rsid w:val="009A2840"/>
    <w:rsid w:val="009E4744"/>
    <w:rsid w:val="00A15730"/>
    <w:rsid w:val="00A2590E"/>
    <w:rsid w:val="00A66344"/>
    <w:rsid w:val="00A80065"/>
    <w:rsid w:val="00AF13CB"/>
    <w:rsid w:val="00B22D2B"/>
    <w:rsid w:val="00B33707"/>
    <w:rsid w:val="00B400FB"/>
    <w:rsid w:val="00B96ED3"/>
    <w:rsid w:val="00BE5284"/>
    <w:rsid w:val="00BF7432"/>
    <w:rsid w:val="00C10A90"/>
    <w:rsid w:val="00C11B35"/>
    <w:rsid w:val="00C42AC9"/>
    <w:rsid w:val="00CC53BF"/>
    <w:rsid w:val="00CF7E85"/>
    <w:rsid w:val="00D31B7A"/>
    <w:rsid w:val="00D46646"/>
    <w:rsid w:val="00D72ACB"/>
    <w:rsid w:val="00DD6800"/>
    <w:rsid w:val="00DE7605"/>
    <w:rsid w:val="00DF3DDA"/>
    <w:rsid w:val="00E06DB7"/>
    <w:rsid w:val="00E350D8"/>
    <w:rsid w:val="00E44F4D"/>
    <w:rsid w:val="00E51E9E"/>
    <w:rsid w:val="00ED66F1"/>
    <w:rsid w:val="00EE30AB"/>
    <w:rsid w:val="00F73312"/>
    <w:rsid w:val="00F808C5"/>
    <w:rsid w:val="00FC4047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B5F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004B5F"/>
    <w:pPr>
      <w:spacing w:after="120" w:line="480" w:lineRule="auto"/>
      <w:ind w:left="360"/>
    </w:pPr>
    <w:rPr>
      <w:rFonts w:ascii="Arial" w:eastAsia="SimSun" w:hAnsi="Arial" w:cs="Times New Roman"/>
      <w:sz w:val="19"/>
      <w:szCs w:val="24"/>
    </w:rPr>
  </w:style>
  <w:style w:type="character" w:customStyle="1" w:styleId="20">
    <w:name w:val="Основной текст с отступом 2 Знак"/>
    <w:basedOn w:val="a0"/>
    <w:link w:val="2"/>
    <w:rsid w:val="00004B5F"/>
    <w:rPr>
      <w:rFonts w:ascii="Arial" w:eastAsia="SimSun" w:hAnsi="Arial" w:cs="Times New Roman"/>
      <w:sz w:val="19"/>
      <w:szCs w:val="24"/>
    </w:rPr>
  </w:style>
  <w:style w:type="character" w:styleId="a4">
    <w:name w:val="Hyperlink"/>
    <w:basedOn w:val="a0"/>
    <w:uiPriority w:val="99"/>
    <w:unhideWhenUsed/>
    <w:rsid w:val="00004B5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E74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744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744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74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744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44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D31B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31B7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31B7A"/>
    <w:rPr>
      <w:vertAlign w:val="superscript"/>
    </w:rPr>
  </w:style>
  <w:style w:type="paragraph" w:styleId="af">
    <w:name w:val="Body Text Indent"/>
    <w:basedOn w:val="a"/>
    <w:link w:val="af0"/>
    <w:rsid w:val="00DE76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E7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e">
    <w:name w:val="Acte"/>
    <w:basedOn w:val="a"/>
    <w:rsid w:val="00DE76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fr-FR"/>
    </w:rPr>
  </w:style>
  <w:style w:type="paragraph" w:styleId="af1">
    <w:name w:val="List Paragraph"/>
    <w:basedOn w:val="a"/>
    <w:uiPriority w:val="34"/>
    <w:qFormat/>
    <w:rsid w:val="00947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B5F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004B5F"/>
    <w:pPr>
      <w:spacing w:after="120" w:line="480" w:lineRule="auto"/>
      <w:ind w:left="360"/>
    </w:pPr>
    <w:rPr>
      <w:rFonts w:ascii="Arial" w:eastAsia="SimSun" w:hAnsi="Arial" w:cs="Times New Roman"/>
      <w:sz w:val="19"/>
      <w:szCs w:val="24"/>
    </w:rPr>
  </w:style>
  <w:style w:type="character" w:customStyle="1" w:styleId="20">
    <w:name w:val="Основной текст с отступом 2 Знак"/>
    <w:basedOn w:val="a0"/>
    <w:link w:val="2"/>
    <w:rsid w:val="00004B5F"/>
    <w:rPr>
      <w:rFonts w:ascii="Arial" w:eastAsia="SimSun" w:hAnsi="Arial" w:cs="Times New Roman"/>
      <w:sz w:val="19"/>
      <w:szCs w:val="24"/>
    </w:rPr>
  </w:style>
  <w:style w:type="character" w:styleId="a4">
    <w:name w:val="Hyperlink"/>
    <w:basedOn w:val="a0"/>
    <w:uiPriority w:val="99"/>
    <w:unhideWhenUsed/>
    <w:rsid w:val="00004B5F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E74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744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744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74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744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7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44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D31B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31B7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31B7A"/>
    <w:rPr>
      <w:vertAlign w:val="superscript"/>
    </w:rPr>
  </w:style>
  <w:style w:type="paragraph" w:styleId="af">
    <w:name w:val="Body Text Indent"/>
    <w:basedOn w:val="a"/>
    <w:link w:val="af0"/>
    <w:rsid w:val="00DE76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E7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e">
    <w:name w:val="Acte"/>
    <w:basedOn w:val="a"/>
    <w:rsid w:val="00DE76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fr-FR"/>
    </w:rPr>
  </w:style>
  <w:style w:type="paragraph" w:styleId="af1">
    <w:name w:val="List Paragraph"/>
    <w:basedOn w:val="a"/>
    <w:uiPriority w:val="34"/>
    <w:qFormat/>
    <w:rsid w:val="0094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AE0E-CC40-46B3-8EB4-9C530806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Translator</dc:creator>
  <cp:lastModifiedBy>Тимофеева</cp:lastModifiedBy>
  <cp:revision>3</cp:revision>
  <dcterms:created xsi:type="dcterms:W3CDTF">2018-05-16T11:13:00Z</dcterms:created>
  <dcterms:modified xsi:type="dcterms:W3CDTF">2018-05-16T11:15:00Z</dcterms:modified>
</cp:coreProperties>
</file>