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9D1A11" w:rsidRPr="00F26312" w:rsidTr="00F26312">
        <w:tc>
          <w:tcPr>
            <w:tcW w:w="5103" w:type="dxa"/>
          </w:tcPr>
          <w:p w:rsidR="009D1A11" w:rsidRPr="00F26312" w:rsidRDefault="009D1A11" w:rsidP="00F26312">
            <w:pPr>
              <w:ind w:firstLine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>Ukraine</w:t>
            </w:r>
            <w:proofErr w:type="spellEnd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>looks</w:t>
            </w:r>
            <w:proofErr w:type="spellEnd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>restructure</w:t>
            </w:r>
            <w:proofErr w:type="spellEnd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€14bn</w:t>
            </w:r>
          </w:p>
          <w:p w:rsidR="009D1A11" w:rsidRPr="00F26312" w:rsidRDefault="009D1A11" w:rsidP="00F26312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26312" w:rsidRPr="00F26312" w:rsidRDefault="00F26312" w:rsidP="00F26312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A11" w:rsidRPr="00F26312" w:rsidRDefault="00F26312" w:rsidP="00F2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>Ukraine’s</w:t>
            </w:r>
            <w:proofErr w:type="spellEnd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>government</w:t>
            </w:r>
            <w:proofErr w:type="spellEnd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proofErr w:type="spellEnd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>approved</w:t>
            </w:r>
            <w:proofErr w:type="spellEnd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  <w:proofErr w:type="spellEnd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>debt</w:t>
            </w:r>
            <w:proofErr w:type="spellEnd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>should</w:t>
            </w:r>
            <w:proofErr w:type="spellEnd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>restructured</w:t>
            </w:r>
            <w:proofErr w:type="spellEnd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>under</w:t>
            </w:r>
            <w:proofErr w:type="spellEnd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IMF </w:t>
            </w:r>
            <w:proofErr w:type="spellStart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>save</w:t>
            </w:r>
            <w:proofErr w:type="spellEnd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>nation</w:t>
            </w:r>
            <w:proofErr w:type="spellEnd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$15.3bn (€13.94bn), </w:t>
            </w:r>
            <w:proofErr w:type="spellStart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>including</w:t>
            </w:r>
            <w:proofErr w:type="spellEnd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$3bn </w:t>
            </w:r>
            <w:proofErr w:type="spellStart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>Eurobonds</w:t>
            </w:r>
            <w:proofErr w:type="spellEnd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>sold</w:t>
            </w:r>
            <w:proofErr w:type="spellEnd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  <w:r w:rsidR="009D1A11" w:rsidRPr="00F2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1A11" w:rsidRPr="00F26312" w:rsidRDefault="009D1A11" w:rsidP="00F26312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A11" w:rsidRPr="00F26312" w:rsidRDefault="009D1A11" w:rsidP="00F26312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Ukraine’s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sovereign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corporate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debt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incurred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before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28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included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Finance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Ministry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said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last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covers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banks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railways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operator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Kiev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according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1A11" w:rsidRPr="00F26312" w:rsidRDefault="009D1A11" w:rsidP="00F26312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A11" w:rsidRPr="00F26312" w:rsidRDefault="009D1A11" w:rsidP="00F26312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Ukraine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trying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reach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agreement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creditors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including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Franklin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Templeton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holds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$7bn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debt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save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$15.3bn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restructuring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says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bought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Eurobonds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2013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government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then-Ukrainian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president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Viktor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Yanukovych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already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contributing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demanding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early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repayment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1A11" w:rsidRPr="00F26312" w:rsidRDefault="009D1A11" w:rsidP="00F26312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A11" w:rsidRPr="00F26312" w:rsidRDefault="009D1A11" w:rsidP="00F26312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D1A11" w:rsidRPr="00F26312" w:rsidRDefault="009D1A11" w:rsidP="00F26312">
            <w:pPr>
              <w:ind w:firstLine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>Україна сподівається реструктурувати 14 млрд. дол.</w:t>
            </w:r>
          </w:p>
          <w:p w:rsidR="00F26312" w:rsidRPr="00F26312" w:rsidRDefault="00F26312" w:rsidP="00F26312">
            <w:pPr>
              <w:ind w:firstLine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A11" w:rsidRPr="00F26312" w:rsidRDefault="009D1A11" w:rsidP="00F26312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Уряд України затвердив перелік боргу, який повинен бути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реструктиризований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програми </w:t>
            </w: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МВФ, щоб зберегти наці державні $ 15.3 млрд. дол. (€ 13.94 </w:t>
            </w: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млрд. дол.</w:t>
            </w: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), у тому числі $ 3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 євробондів продаються  Росії</w:t>
            </w: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1A11" w:rsidRPr="00F26312" w:rsidRDefault="009D1A11" w:rsidP="00F26312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A11" w:rsidRPr="00F26312" w:rsidRDefault="009D1A11" w:rsidP="00F26312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Державний зовнішній борг України, </w:t>
            </w: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станом на</w:t>
            </w: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28 лютого також підпадає під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реструкти</w:t>
            </w:r>
            <w:bookmarkStart w:id="0" w:name="_GoBack"/>
            <w:bookmarkEnd w:id="0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ризацію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, заявило  Міністерство фінансів на своєму веб-сайті. Остання категорія ох</w:t>
            </w: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оплює державні банки, залізничну</w:t>
            </w: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галузь і місто Київ, відповідно до звіту.</w:t>
            </w:r>
          </w:p>
          <w:p w:rsidR="009D1A11" w:rsidRPr="00F26312" w:rsidRDefault="009D1A11" w:rsidP="00F26312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A11" w:rsidRPr="00F26312" w:rsidRDefault="009D1A11" w:rsidP="00F26312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Україна намагається домовитися з кредиторами, включаючи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Franklin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Templeton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, який надав їй близько $ 7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в борг, щоб заощадити $ 15.3 млрд. шляхом реструктуризації. Росія </w:t>
            </w: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заявляє</w:t>
            </w: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, що вона купила євробонди в 2013 році, щоб підтримати уряд тодішнього президента України - Віктора Януковича і вже вносить свій вклад, не ви</w:t>
            </w: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магаючи дострокового погашення.</w:t>
            </w:r>
          </w:p>
        </w:tc>
      </w:tr>
      <w:tr w:rsidR="009D1A11" w:rsidRPr="00F26312" w:rsidTr="00F26312">
        <w:tc>
          <w:tcPr>
            <w:tcW w:w="5103" w:type="dxa"/>
          </w:tcPr>
          <w:p w:rsidR="009D1A11" w:rsidRPr="00F26312" w:rsidRDefault="00337FB5" w:rsidP="00F26312">
            <w:pPr>
              <w:ind w:firstLine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>Chernobyl</w:t>
            </w:r>
            <w:proofErr w:type="spellEnd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>disaster</w:t>
            </w:r>
            <w:proofErr w:type="spellEnd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>Ukraine</w:t>
            </w:r>
            <w:proofErr w:type="spellEnd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  <w:proofErr w:type="spellEnd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 </w:t>
            </w:r>
            <w:proofErr w:type="spellStart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>years</w:t>
            </w:r>
            <w:proofErr w:type="spellEnd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>since</w:t>
            </w:r>
            <w:proofErr w:type="spellEnd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>worst</w:t>
            </w:r>
            <w:proofErr w:type="spellEnd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>nuclear</w:t>
            </w:r>
            <w:proofErr w:type="spellEnd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>accident</w:t>
            </w:r>
            <w:proofErr w:type="spellEnd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proofErr w:type="spellEnd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t>history</w:t>
            </w:r>
            <w:proofErr w:type="spellEnd"/>
          </w:p>
          <w:p w:rsidR="00F26312" w:rsidRPr="00F26312" w:rsidRDefault="00F26312" w:rsidP="00F2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FB5" w:rsidRPr="00F26312" w:rsidRDefault="00337FB5" w:rsidP="00F26312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site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plant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itself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kilometres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Kiev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Ukraine's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president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Petro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Poroshenko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laid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wreath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monument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victims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7FB5" w:rsidRPr="00F26312" w:rsidRDefault="00337FB5" w:rsidP="00F26312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FB5" w:rsidRPr="00F26312" w:rsidRDefault="00337FB5" w:rsidP="00F26312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toll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disaster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still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disputed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7FB5" w:rsidRPr="00F26312" w:rsidRDefault="00337FB5" w:rsidP="00F26312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FB5" w:rsidRPr="00F26312" w:rsidRDefault="00337FB5" w:rsidP="00F26312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United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Nations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experts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officially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recognised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31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deaths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among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plant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workers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firefighters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directly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linked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blast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7FB5" w:rsidRPr="00F26312" w:rsidRDefault="00337FB5" w:rsidP="00F26312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FB5" w:rsidRPr="00F26312" w:rsidRDefault="00337FB5" w:rsidP="00F26312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But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Greenpeace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suggested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would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100,000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additional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cancer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deaths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caused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disaster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7FB5" w:rsidRPr="00F26312" w:rsidRDefault="00337FB5" w:rsidP="00F26312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FB5" w:rsidRPr="00F26312" w:rsidRDefault="00337FB5" w:rsidP="00F26312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Ban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called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"a forward-looking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strategy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designed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further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recovery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affected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areas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greater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nuclear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safety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worldwide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337FB5" w:rsidRPr="00F26312" w:rsidRDefault="00337FB5" w:rsidP="00F26312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FB5" w:rsidRPr="00F26312" w:rsidRDefault="00337FB5" w:rsidP="00F26312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Poroshenko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inspected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20,000-tonne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steel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cover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— a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estimated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than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$A3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billion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7FB5" w:rsidRPr="00F26312" w:rsidRDefault="00337FB5" w:rsidP="00F26312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FB5" w:rsidRPr="00F26312" w:rsidRDefault="00337FB5" w:rsidP="00F26312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financed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donations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managed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Reconstruction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(EBRD).</w:t>
            </w:r>
          </w:p>
          <w:p w:rsidR="00337FB5" w:rsidRPr="00F26312" w:rsidRDefault="00337FB5" w:rsidP="00F26312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FB5" w:rsidRPr="00F26312" w:rsidRDefault="00337FB5" w:rsidP="00F26312">
            <w:pPr>
              <w:ind w:firstLine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Poroshenko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said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cover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would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protect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forever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against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radiation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site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337FB5" w:rsidRPr="00F26312" w:rsidRDefault="00337FB5" w:rsidP="00F26312">
            <w:pPr>
              <w:ind w:firstLine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3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Чорнобильська катастрофа: Україна відзначає 29-річчя з найстрашнішої ядерної аварії в історії</w:t>
            </w:r>
          </w:p>
          <w:p w:rsidR="00337FB5" w:rsidRPr="00F26312" w:rsidRDefault="00337FB5" w:rsidP="00F26312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FB5" w:rsidRPr="00F26312" w:rsidRDefault="00337FB5" w:rsidP="00F26312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На місці самого заводу, близько 100 кілометрів від Києва, президент України Петро Порошенко поклав вінок до пам'ятника жертвам.</w:t>
            </w:r>
          </w:p>
          <w:p w:rsidR="00337FB5" w:rsidRPr="00F26312" w:rsidRDefault="00337FB5" w:rsidP="00F26312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FB5" w:rsidRPr="00F26312" w:rsidRDefault="00337FB5" w:rsidP="00F26312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людських жертв внаслідок катастрофи досі </w:t>
            </w: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залишається суперечливою</w:t>
            </w: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7FB5" w:rsidRPr="00F26312" w:rsidRDefault="00337FB5" w:rsidP="00F26312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FB5" w:rsidRPr="00F26312" w:rsidRDefault="00337FB5" w:rsidP="00F26312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Експерти Організації Об'єднаних Націй офіційно встановили 31 випадків смерті серед працівників заводу та пожежних безпосередньо пов'язаних з вибухом.</w:t>
            </w:r>
          </w:p>
          <w:p w:rsidR="00337FB5" w:rsidRPr="00F26312" w:rsidRDefault="00337FB5" w:rsidP="00F26312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FB5" w:rsidRPr="00F26312" w:rsidRDefault="00337FB5" w:rsidP="00F26312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Але екологічна група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Грінпіс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припустила, що там було близько 100 000 випадків смерті від раку, спричинених катастрофою.</w:t>
            </w:r>
          </w:p>
          <w:p w:rsidR="00337FB5" w:rsidRPr="00F26312" w:rsidRDefault="00337FB5" w:rsidP="00F26312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FB5" w:rsidRPr="00F26312" w:rsidRDefault="00337FB5" w:rsidP="00F26312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Пан Гі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 закликав до «розробки прогресивної стратегії, спрямованої на подальшу допомогу відновленню постраждалих районів і до спільної співпраці задля підвищення ядерної безпеки в усьому світі".</w:t>
            </w:r>
          </w:p>
          <w:p w:rsidR="00337FB5" w:rsidRPr="00F26312" w:rsidRDefault="00337FB5" w:rsidP="00F26312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FB5" w:rsidRPr="00F26312" w:rsidRDefault="00337FB5" w:rsidP="00F26312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Пан </w:t>
            </w: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Порошенко оглянув постійну роботу над новою 20000-тонною сталевою кришкою - проектом, вартістю в більш ніж $ 3 </w:t>
            </w:r>
            <w:proofErr w:type="spellStart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млрд.дол</w:t>
            </w:r>
            <w:proofErr w:type="spellEnd"/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7FB5" w:rsidRPr="00F26312" w:rsidRDefault="00337FB5" w:rsidP="00F26312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FB5" w:rsidRPr="00F26312" w:rsidRDefault="00337FB5" w:rsidP="00F26312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Вона була профінансована міжнародними пожертвуваннями Європейського банку ре</w:t>
            </w: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конструкції та розвитку (ЄБРР).</w:t>
            </w:r>
          </w:p>
          <w:p w:rsidR="009D1A11" w:rsidRPr="00F26312" w:rsidRDefault="00337FB5" w:rsidP="00F26312">
            <w:pPr>
              <w:ind w:firstLine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Порошенко заявив, що нове покриття </w:t>
            </w: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"навічно захистить" </w:t>
            </w: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 xml:space="preserve">це місце </w:t>
            </w:r>
            <w:r w:rsidRPr="00F26312">
              <w:rPr>
                <w:rFonts w:ascii="Times New Roman" w:hAnsi="Times New Roman" w:cs="Times New Roman"/>
                <w:sz w:val="24"/>
                <w:szCs w:val="24"/>
              </w:rPr>
              <w:t>від радіації.</w:t>
            </w:r>
          </w:p>
        </w:tc>
      </w:tr>
    </w:tbl>
    <w:p w:rsidR="009D1A11" w:rsidRPr="00F26312" w:rsidRDefault="009D1A11" w:rsidP="00F2631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D1A11" w:rsidRPr="00F26312" w:rsidSect="00337FB5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11"/>
    <w:rsid w:val="00337FB5"/>
    <w:rsid w:val="009D1A11"/>
    <w:rsid w:val="00F2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70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1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942201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7511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8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59357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477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50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73781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81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5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59972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1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83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3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92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542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79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93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01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311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1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2409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ВАНО</dc:creator>
  <cp:lastModifiedBy>ВАНО</cp:lastModifiedBy>
  <cp:revision>2</cp:revision>
  <dcterms:created xsi:type="dcterms:W3CDTF">2015-12-29T19:46:00Z</dcterms:created>
  <dcterms:modified xsi:type="dcterms:W3CDTF">2015-12-29T20:08:00Z</dcterms:modified>
</cp:coreProperties>
</file>