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5D6" w:rsidRPr="00AB6FC7" w:rsidRDefault="00DC05D6" w:rsidP="00DC05D6">
      <w:pPr>
        <w:spacing w:after="0"/>
        <w:ind w:left="3686"/>
        <w:rPr>
          <w:rFonts w:ascii="Times New Roman" w:hAnsi="Times New Roman" w:cs="Times New Roman"/>
          <w:b/>
          <w:lang w:val="uk-UA"/>
        </w:rPr>
      </w:pPr>
      <w:r w:rsidRPr="00AB6FC7">
        <w:rPr>
          <w:rFonts w:ascii="Times New Roman" w:hAnsi="Times New Roman" w:cs="Times New Roman"/>
          <w:b/>
          <w:lang w:val="uk-UA"/>
        </w:rPr>
        <w:t xml:space="preserve">Приазовський районний суд Запорізької області </w:t>
      </w:r>
    </w:p>
    <w:p w:rsidR="00DC05D6" w:rsidRPr="00AB6FC7" w:rsidRDefault="00DC05D6" w:rsidP="00DC05D6">
      <w:pPr>
        <w:spacing w:after="0"/>
        <w:ind w:left="3686"/>
        <w:rPr>
          <w:rFonts w:ascii="Times New Roman" w:hAnsi="Times New Roman" w:cs="Times New Roman"/>
          <w:b/>
          <w:lang w:val="uk-UA"/>
        </w:rPr>
      </w:pPr>
    </w:p>
    <w:p w:rsidR="00DC05D6" w:rsidRPr="00AB6FC7" w:rsidRDefault="00DC05D6" w:rsidP="00DC05D6">
      <w:pPr>
        <w:spacing w:after="0"/>
        <w:ind w:left="3686"/>
        <w:rPr>
          <w:rFonts w:ascii="Times New Roman" w:hAnsi="Times New Roman" w:cs="Times New Roman"/>
          <w:b/>
          <w:lang w:val="uk-UA"/>
        </w:rPr>
      </w:pPr>
      <w:r w:rsidRPr="00AB6FC7">
        <w:rPr>
          <w:rFonts w:ascii="Times New Roman" w:hAnsi="Times New Roman" w:cs="Times New Roman"/>
          <w:b/>
          <w:lang w:val="uk-UA"/>
        </w:rPr>
        <w:t xml:space="preserve">Суддя </w:t>
      </w:r>
      <w:proofErr w:type="spellStart"/>
      <w:r w:rsidRPr="00AB6FC7">
        <w:rPr>
          <w:rFonts w:ascii="Times New Roman" w:hAnsi="Times New Roman" w:cs="Times New Roman"/>
          <w:b/>
          <w:lang w:val="uk-UA"/>
        </w:rPr>
        <w:t>Пантилус</w:t>
      </w:r>
      <w:proofErr w:type="spellEnd"/>
      <w:r w:rsidRPr="00AB6FC7">
        <w:rPr>
          <w:rFonts w:ascii="Times New Roman" w:hAnsi="Times New Roman" w:cs="Times New Roman"/>
          <w:b/>
          <w:lang w:val="uk-UA"/>
        </w:rPr>
        <w:t xml:space="preserve"> О.П. </w:t>
      </w:r>
    </w:p>
    <w:p w:rsidR="00DC05D6" w:rsidRPr="00AB6FC7" w:rsidRDefault="00DC05D6" w:rsidP="00DC05D6">
      <w:pPr>
        <w:spacing w:after="0"/>
        <w:ind w:left="3686"/>
        <w:rPr>
          <w:rFonts w:ascii="Times New Roman" w:hAnsi="Times New Roman" w:cs="Times New Roman"/>
          <w:b/>
          <w:lang w:val="uk-UA"/>
        </w:rPr>
      </w:pPr>
      <w:r w:rsidRPr="00AB6FC7">
        <w:rPr>
          <w:rFonts w:ascii="Times New Roman" w:hAnsi="Times New Roman" w:cs="Times New Roman"/>
          <w:b/>
          <w:lang w:val="uk-UA"/>
        </w:rPr>
        <w:t>Справа № 325/2207/15-ц</w:t>
      </w:r>
    </w:p>
    <w:p w:rsidR="00DC05D6" w:rsidRPr="00AB6FC7" w:rsidRDefault="00DC05D6" w:rsidP="00DC05D6">
      <w:pPr>
        <w:spacing w:after="0"/>
        <w:ind w:left="3686"/>
        <w:rPr>
          <w:rFonts w:ascii="Times New Roman" w:hAnsi="Times New Roman" w:cs="Times New Roman"/>
          <w:b/>
          <w:lang w:val="uk-UA"/>
        </w:rPr>
      </w:pPr>
      <w:r w:rsidRPr="00AB6FC7">
        <w:rPr>
          <w:rFonts w:ascii="Times New Roman" w:hAnsi="Times New Roman" w:cs="Times New Roman"/>
          <w:b/>
          <w:lang w:val="uk-UA"/>
        </w:rPr>
        <w:t xml:space="preserve">Провадження № 2/325/49/2016 </w:t>
      </w:r>
    </w:p>
    <w:p w:rsidR="00DC05D6" w:rsidRPr="00AB6FC7" w:rsidRDefault="00DC05D6" w:rsidP="00DC05D6">
      <w:pPr>
        <w:spacing w:after="0"/>
        <w:ind w:left="3686"/>
        <w:rPr>
          <w:rFonts w:ascii="Times New Roman" w:hAnsi="Times New Roman" w:cs="Times New Roman"/>
          <w:lang w:val="uk-UA"/>
        </w:rPr>
      </w:pPr>
    </w:p>
    <w:p w:rsidR="00DC05D6" w:rsidRPr="00AB6FC7" w:rsidRDefault="00DC05D6" w:rsidP="00DC05D6">
      <w:pPr>
        <w:spacing w:after="0"/>
        <w:ind w:left="3686"/>
        <w:rPr>
          <w:rFonts w:ascii="Times New Roman" w:hAnsi="Times New Roman" w:cs="Times New Roman"/>
          <w:lang w:val="uk-UA"/>
        </w:rPr>
      </w:pPr>
    </w:p>
    <w:p w:rsidR="00DC05D6" w:rsidRPr="00AB6FC7" w:rsidRDefault="00DC05D6" w:rsidP="00DC05D6">
      <w:pPr>
        <w:spacing w:after="0"/>
        <w:ind w:left="3686" w:hanging="2268"/>
        <w:rPr>
          <w:rFonts w:ascii="Times New Roman" w:hAnsi="Times New Roman" w:cs="Times New Roman"/>
          <w:b/>
          <w:lang w:val="uk-UA"/>
        </w:rPr>
      </w:pPr>
      <w:r w:rsidRPr="00AB6FC7">
        <w:rPr>
          <w:rFonts w:ascii="Times New Roman" w:hAnsi="Times New Roman" w:cs="Times New Roman"/>
          <w:b/>
          <w:lang w:val="uk-UA"/>
        </w:rPr>
        <w:t xml:space="preserve">Особа, яка подає заяву: відповідач </w:t>
      </w:r>
      <w:r>
        <w:rPr>
          <w:rFonts w:ascii="Times New Roman" w:hAnsi="Times New Roman" w:cs="Times New Roman"/>
          <w:b/>
          <w:lang w:val="uk-UA"/>
        </w:rPr>
        <w:t>Б.</w:t>
      </w:r>
      <w:r w:rsidRPr="00AB6FC7">
        <w:rPr>
          <w:rFonts w:ascii="Times New Roman" w:hAnsi="Times New Roman" w:cs="Times New Roman"/>
          <w:b/>
          <w:lang w:val="uk-UA"/>
        </w:rPr>
        <w:t xml:space="preserve"> </w:t>
      </w:r>
    </w:p>
    <w:p w:rsidR="00DC05D6" w:rsidRPr="00AB6FC7" w:rsidRDefault="00DC05D6" w:rsidP="00DC05D6">
      <w:pPr>
        <w:spacing w:after="0"/>
        <w:ind w:left="368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</w:t>
      </w:r>
    </w:p>
    <w:p w:rsidR="00DC05D6" w:rsidRPr="00AB6FC7" w:rsidRDefault="00DC05D6" w:rsidP="00DC05D6">
      <w:pPr>
        <w:spacing w:after="0"/>
        <w:ind w:left="3686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Номер засобів зв’язку </w:t>
      </w:r>
      <w:r>
        <w:rPr>
          <w:rFonts w:ascii="Times New Roman" w:hAnsi="Times New Roman" w:cs="Times New Roman"/>
          <w:lang w:val="uk-UA"/>
        </w:rPr>
        <w:t>____________</w:t>
      </w:r>
      <w:bookmarkStart w:id="0" w:name="_GoBack"/>
      <w:bookmarkEnd w:id="0"/>
    </w:p>
    <w:p w:rsidR="00DC05D6" w:rsidRPr="00AB6FC7" w:rsidRDefault="00DC05D6" w:rsidP="00DC05D6">
      <w:pPr>
        <w:spacing w:after="0"/>
        <w:ind w:left="3686"/>
        <w:rPr>
          <w:rFonts w:ascii="Times New Roman" w:hAnsi="Times New Roman" w:cs="Times New Roman"/>
          <w:color w:val="FF0000"/>
          <w:lang w:val="uk-UA"/>
        </w:rPr>
      </w:pPr>
    </w:p>
    <w:p w:rsidR="00DC05D6" w:rsidRDefault="00DC05D6" w:rsidP="00DC05D6">
      <w:pPr>
        <w:spacing w:after="0"/>
        <w:ind w:left="3686"/>
        <w:rPr>
          <w:rFonts w:ascii="Times New Roman" w:hAnsi="Times New Roman" w:cs="Times New Roman"/>
          <w:b/>
          <w:lang w:val="uk-UA"/>
        </w:rPr>
      </w:pPr>
    </w:p>
    <w:p w:rsidR="00DC05D6" w:rsidRDefault="00DC05D6" w:rsidP="00DC05D6">
      <w:pPr>
        <w:spacing w:after="0"/>
        <w:ind w:left="3686"/>
        <w:rPr>
          <w:rFonts w:ascii="Times New Roman" w:hAnsi="Times New Roman" w:cs="Times New Roman"/>
          <w:b/>
          <w:lang w:val="uk-UA"/>
        </w:rPr>
      </w:pPr>
    </w:p>
    <w:p w:rsidR="00DC05D6" w:rsidRPr="00AB6FC7" w:rsidRDefault="00DC05D6" w:rsidP="00DC05D6">
      <w:pPr>
        <w:spacing w:after="0"/>
        <w:ind w:left="3686"/>
        <w:rPr>
          <w:rFonts w:ascii="Times New Roman" w:hAnsi="Times New Roman" w:cs="Times New Roman"/>
          <w:b/>
          <w:lang w:val="uk-UA"/>
        </w:rPr>
      </w:pPr>
    </w:p>
    <w:p w:rsidR="00DC05D6" w:rsidRPr="00AB6FC7" w:rsidRDefault="00DC05D6" w:rsidP="00DC05D6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AB6FC7">
        <w:rPr>
          <w:rFonts w:ascii="Times New Roman" w:hAnsi="Times New Roman" w:cs="Times New Roman"/>
          <w:b/>
          <w:lang w:val="uk-UA"/>
        </w:rPr>
        <w:t>ЗАЯВА</w:t>
      </w:r>
    </w:p>
    <w:p w:rsidR="00DC05D6" w:rsidRPr="00AB6FC7" w:rsidRDefault="00DC05D6" w:rsidP="00DC05D6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  <w:r w:rsidRPr="00AB6FC7">
        <w:rPr>
          <w:rFonts w:ascii="Times New Roman" w:hAnsi="Times New Roman" w:cs="Times New Roman"/>
          <w:b/>
          <w:lang w:val="uk-UA"/>
        </w:rPr>
        <w:t xml:space="preserve">про перегляд заочного рішення Приазовського районного суду Запорізької області від 09.02.2016 року по справі № 325/2207/15-ц  </w:t>
      </w:r>
    </w:p>
    <w:p w:rsidR="00DC05D6" w:rsidRPr="00AB6FC7" w:rsidRDefault="00DC05D6" w:rsidP="00DC05D6">
      <w:pPr>
        <w:spacing w:after="0"/>
        <w:jc w:val="center"/>
        <w:rPr>
          <w:rFonts w:ascii="Times New Roman" w:hAnsi="Times New Roman" w:cs="Times New Roman"/>
          <w:b/>
          <w:lang w:val="uk-UA"/>
        </w:rPr>
      </w:pPr>
    </w:p>
    <w:p w:rsidR="00DC05D6" w:rsidRPr="00AB6FC7" w:rsidRDefault="00DC05D6" w:rsidP="00DC05D6">
      <w:pPr>
        <w:spacing w:after="0"/>
        <w:ind w:firstLine="1134"/>
        <w:jc w:val="both"/>
        <w:rPr>
          <w:rFonts w:ascii="Times New Roman" w:hAnsi="Times New Roman" w:cs="Times New Roman"/>
          <w:lang w:val="uk-UA"/>
        </w:rPr>
      </w:pP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Щодо обставин, що свідчать про поважність причин неявки відповідача в судове засідання: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Місце проживання відповідача – Донецька область, м. </w:t>
      </w:r>
      <w:proofErr w:type="spellStart"/>
      <w:r w:rsidRPr="00AB6FC7">
        <w:rPr>
          <w:rFonts w:ascii="Times New Roman" w:hAnsi="Times New Roman" w:cs="Times New Roman"/>
          <w:lang w:val="uk-UA"/>
        </w:rPr>
        <w:t>Новоазовськ</w:t>
      </w:r>
      <w:proofErr w:type="spellEnd"/>
      <w:r w:rsidRPr="00AB6FC7">
        <w:rPr>
          <w:rFonts w:ascii="Times New Roman" w:hAnsi="Times New Roman" w:cs="Times New Roman"/>
          <w:lang w:val="uk-UA"/>
        </w:rPr>
        <w:t xml:space="preserve">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З 14 квітня 2014 року на території Донецької області проводиться антитерористична операція відповідно до Указу Президента України «Про рішення Ради національної безпеки і оборони України від 13 квітня 2014 року "Про невідкладні заходи щодо подолання терористичної загрози і збереження територіальної цілісності України" від 14.04.2014 р. № 405/2014.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lang w:val="uk-UA"/>
        </w:rPr>
        <w:t>Відповідно до Постанови Верховної Ради України «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Про визнання окремих районів, міст, селищ і сіл Донецької та Луганської областей тимчасово окупованими територіями» від 17.03.2015 р. № 254 та Постанови Верховної Ради України «Про визначення окремих районів, міст, селищ і сіл Донецької та Луганської областей, в яких запроваджується особливий порядок місцевого самоврядування» від 17.03.2015 р. № 252 місто </w:t>
      </w:r>
      <w:proofErr w:type="spellStart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Новоазовськ</w:t>
      </w:r>
      <w:proofErr w:type="spellEnd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належить до тимчасово окупованих територій.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Розпорядженням Кабінету Міністрів України від 07.11.2014 р. № 1085-р місто </w:t>
      </w:r>
      <w:proofErr w:type="spellStart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Новоазовськ</w:t>
      </w:r>
      <w:proofErr w:type="spellEnd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віднесено до населених пунктів, на території яких органи державної влади тимчасово не здійснюють повноваження.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Розпорядженням Кабінету Міністрів України від 02.12.2015 р. № 1275-р місто </w:t>
      </w:r>
      <w:proofErr w:type="spellStart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Новоазовськ</w:t>
      </w:r>
      <w:proofErr w:type="spellEnd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віднесено до населених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 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пунктів, на території яких здійснювалася антитерористична операція. </w:t>
      </w:r>
    </w:p>
    <w:p w:rsidR="00DC05D6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Отже, у зв’язку з надзвичайними обставинами - проведенням антитерористичної операції на території Донецької області та тимчасовою окупацією м. </w:t>
      </w:r>
      <w:proofErr w:type="spellStart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Новоазовська</w:t>
      </w:r>
      <w:proofErr w:type="spellEnd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, відповідач не мав можливості з’явитися в судове засідання та не мав можливості повідомити про причини неявки.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Щодо посилання на докази, якими відповідач обґрунтовує свої заперечення проти вимог позивача:</w:t>
      </w:r>
    </w:p>
    <w:p w:rsidR="00DC05D6" w:rsidRPr="00AB6FC7" w:rsidRDefault="00DC05D6" w:rsidP="00DC05D6">
      <w:pPr>
        <w:pStyle w:val="a3"/>
        <w:numPr>
          <w:ilvl w:val="0"/>
          <w:numId w:val="1"/>
        </w:numPr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lastRenderedPageBreak/>
        <w:t>Строк виконання відповідачем зобов’язань за договором поруки № 301013-П/3 не наступив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, оскільки: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Відповідно до ч. 1 ст. 530 ЦК України якщо у зобов'язанні встановлений строк (термін) його виконання, то воно підлягає виконанню у цей строк (термін).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Пунктом 2.1.1. договору поруки № 301013-П/3 передбачено, що поручитель зобов’язується у разі невиконання або неналежного виконання Позичальником зобов’язань перед Кредитором на підставі письмової вимоги Кредитора, що містить розрахунок суми існуючої заборгованості, перерахувати суми, що підлягають погашенню згідно р. 1 цього Договору, на рахунки, на яких враховується балансова заборгованість Позичальника перед Кредитором,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протягом 3 (трьох) банківських днів </w:t>
      </w:r>
      <w:r w:rsidRPr="00AB6FC7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  <w:lang w:val="uk-UA"/>
        </w:rPr>
        <w:t>з моменту отримання письмової вимоги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В заочному рішенні суду вказано: «Позивачем також надіслана поручителю 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Б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вимога від 24.11.2015 року № 6/21-7863 про сплату простроченої заборгованості по процентам за користування кредитними коштами, нарахованими за останні 6 місяців в розмірі 1260273,97 гривень (а.с.16)».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У </w:t>
      </w:r>
      <w:proofErr w:type="spellStart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вимозі</w:t>
      </w:r>
      <w:proofErr w:type="spellEnd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від 24.11.2015 року № 6/21-7863 зазначено, що вимога адресована пану 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Б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., що мешкає за </w:t>
      </w:r>
      <w:proofErr w:type="spellStart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адресою</w:t>
      </w:r>
      <w:proofErr w:type="spellEnd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: 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_____________________________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Відповідач ознайомився з копією цієї вимоги тільки отримавши копію позовної заяви. 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Однак, відповідно до повідомлення розмішеного на офіційному сайті,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з 09.05.2014 р. УДППЗ «Укрпошта» призупинила приймання для пересилання поштових відправлень до населених пунктів </w:t>
      </w:r>
      <w:proofErr w:type="spellStart"/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Новоазовського</w:t>
      </w:r>
      <w:proofErr w:type="spellEnd"/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 району Донецької області 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(у </w:t>
      </w:r>
      <w:proofErr w:type="spellStart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т.ч</w:t>
      </w:r>
      <w:proofErr w:type="spellEnd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до м. </w:t>
      </w:r>
      <w:proofErr w:type="spellStart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Новоазовськ</w:t>
      </w:r>
      <w:proofErr w:type="spellEnd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). Додається роздрукування з офіційного сайту УДППЗ «Укрпошта» (</w:t>
      </w:r>
      <w:hyperlink r:id="rId5" w:history="1">
        <w:r w:rsidRPr="00AB6FC7">
          <w:rPr>
            <w:rStyle w:val="a4"/>
            <w:rFonts w:ascii="Times New Roman" w:hAnsi="Times New Roman" w:cs="Times New Roman"/>
            <w:bCs/>
            <w:shd w:val="clear" w:color="auto" w:fill="FFFFFF"/>
            <w:lang w:val="uk-UA"/>
          </w:rPr>
          <w:t>http://ukrposhta.ua/ukrposhta-timchasovo-prizupinila-dostavku-poshti-do-novoazovska</w:t>
        </w:r>
      </w:hyperlink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).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Отже позивач не міг надіслати відповідачу до м. </w:t>
      </w:r>
      <w:proofErr w:type="spellStart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Новоазовськ</w:t>
      </w:r>
      <w:proofErr w:type="spellEnd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, Донецької області вимогу від 24.11.2015 року № 6/21-7863.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Відповідач не отримував від позивача цієї вимоги.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Таким чином, строк виконання відповідачем зобов’язань за договором поруки не наступив, оскільки позивач не направляв відповідачу вимогу.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Також відзначимо, що зміст вимоги від 24.11.2015 року № 6/21-7863 не відповідає п. 2.1.1. договору поруки № 301013-П/3, оскільки вимога не містить розрахунку суми існуючої заборгованості та у </w:t>
      </w:r>
      <w:proofErr w:type="spellStart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вимозі</w:t>
      </w:r>
      <w:proofErr w:type="spellEnd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не зазначені рахунки, на яких враховується балансова заборгованість Позичальника перед Кредитором. Тобто відповідач не має можливості виконати таку вимогу. </w:t>
      </w:r>
    </w:p>
    <w:p w:rsidR="00DC05D6" w:rsidRPr="00AB6FC7" w:rsidRDefault="00DC05D6" w:rsidP="00DC05D6">
      <w:pPr>
        <w:pStyle w:val="a3"/>
        <w:numPr>
          <w:ilvl w:val="0"/>
          <w:numId w:val="1"/>
        </w:numPr>
        <w:spacing w:before="200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Договір поруки № 301013-П/3 припинив дію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, оскільки: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Відповідно до ч. 4 ст. 559 ЦК України порука припиняється після закінчення строку, встановленого в договорі поруки. У разі, якщо такий строк не встановлено, порука припиняється, якщо кредитор протягом шести місяців від дня настання строку виконання основного зобов'язання не пред'явить вимоги до поручителя.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Пунктом 6.2. договору поруки № 301013-П/3 передбачено, що порука припиняється після закінчення строку, встановленого в п. 1.3. цього Договору.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Пунктом 1.3. договору поруки передбачено: «Строк договору поруки – 10 (десять) років».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Відповідно до ст. 253 ЦК України перебіг строку починається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з наступного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дня після відповідної календарної дати або настання події, з якою пов'язано його початок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.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lastRenderedPageBreak/>
        <w:t xml:space="preserve">Однак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пунктами 1.3., 6.2. договору поруки не передбачено з якої календарної дати або з настання якої події починається перебіг 10-річного строку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Таким чином на підставі пунктів 1.3., 6.2. договору поруки неможливо встановити коли закінчується 10-річний строк, оскільки договором не передбачено з якої дати починається перебіг цього строку. Тобто зазначеними пунктами договору не встановлений строк припинення договору поруки.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Пункт 6.1. договору поруки передбачає, що цей договір набуває чинності з моменту його підписання Сторонами та скріплення печаткою Кредитора і діє до повного виконання зобов’язань за Кредитним договором.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З цього приводу відзначимо наступне: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Листом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Верховного Суду України від 01.07.2012 р. 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«Висновки Верховного Суду України, викладені у рішеннях, прийнятих за результатами розгляду заяв про перегляд судового рішення з підстави, передбаченої п. 1 ч. 1 ст. 355 ЦПК України, за I півріччя 2012 р.» пунктом 3 «Спори, що виникають із договору поруки» передбачено: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«Відповідно до ч. 1 ст. 251 та ч. 1 ст. 252 ЦК строком є певний період у часі, зі </w:t>
      </w:r>
      <w:proofErr w:type="spellStart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спливом</w:t>
      </w:r>
      <w:proofErr w:type="spellEnd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якого пов'язана дія чи подія, яка має юридичне значення, і визначається він роками, місяцями, тижнями, днями або годинами, а не посиланням на подію, яка має настати. Вказівкою на подію, яка має неминуче настати, визначається термін - певний момент у часі, з настанням якого пов'язана дія чи подія, яка має юридичне значення (ч. 2 ст. 251, ч. 2 ст. 252 ЦК). Таким чином,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умова договору поруки про припинення поруки після повного виконання позичальником своїх зобов'язань за кредитним договором </w:t>
      </w:r>
      <w:r w:rsidRPr="00AB6FC7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  <w:lang w:val="uk-UA"/>
        </w:rPr>
        <w:t>не може вважатися встановленим сторонами договору поруки строком припинення поруки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.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У зв'язку з цим порука на підставі ч. 4 ст. 559 ЦК припиняється, якщо кредитор протягом шести місяців від дня настання строку виконання основного зобов'язання не пред'явить вимоги до поручителя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(постанови Верховного Суду України від 21 травня 2012 р. у справі N 6-48цс11, від 21 травня 2012 р. у справі N 6-68цс11, від 23 травня 2012 р. у справі N 6-33цс12)».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Листом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Верховного Суду України від 01.03.2015 р. 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«Висновки Верховного Суду України, викладені в постановах, ухвалених за результатами розгляду заяв про перегляд судового рішення з підстави, передбаченої п. 1 ч. 1 ст. 355 ЦПК України, за II півріччя 2014 р.» пунктом 1 із розділу «Спори щодо забезпечення виконання зобов'язань» передбачено: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«</w:t>
      </w:r>
      <w:r w:rsidRPr="00AB6FC7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  <w:lang w:val="uk-UA"/>
        </w:rPr>
        <w:t>Умови договору поруки про його дію до повного припинення всіх зобов'язань боржника не свідчать про те, що договором установлено строк припинення поруки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 в розумінні ст. 251 ЦК України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,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тому в цьому разі підлягають застосуванню норми ч. 4 ст. 559 цього Кодексу про те, що порука припиняється, якщо кредитор протягом шести місяців від дня настання строку виконання основного зобов'язання не пред'явить вимоги до поручителя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, а оскільки банк відповідно до умов кредитного договору змінив строк виконання основного зобов'язання, то відповідно до ч. 4 ст. 559 ЦК України вимоги до поручителів повинні бути заявлені в межах шести місяців від дня настання цього строку (постанова Судової палати у цивільних справах Верховного Суду України від 10 вересня 2014 р. у справі N 6-32цс14)».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Таким чином, пункт 6.1. договору поруки також не свідчить про те, що договором установлено строк припинення поруки.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lastRenderedPageBreak/>
        <w:t>Таким чином, оскільки договором строк припинення поруки не встановлений, то, відповідно до ч. 4 ст. 559 ЦК, порука припиняється, якщо позивач протягом шести місяців від дня настання строку виконання основного зобов'язання не пред'явить вимоги до відповідача.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Відповідно до пункту 1.1. кредитного договору № 291013-КЛВ від 29.10.2013 року строк повернення кредиту не пізніше 28 лютого 2014 року.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Отже позивач мав право звернутися до відповідача з вимогою протягом 6 місяців - до 28 серпня 2014 року.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Проте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позивач пропустив 6-місячний строк звернення з вимогою до відповідача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, а тому  договору поруки № 301013-П/3 є припиненим.  </w:t>
      </w:r>
    </w:p>
    <w:p w:rsidR="00DC05D6" w:rsidRPr="00AB6FC7" w:rsidRDefault="00DC05D6" w:rsidP="00DC05D6">
      <w:pPr>
        <w:pStyle w:val="a3"/>
        <w:numPr>
          <w:ilvl w:val="0"/>
          <w:numId w:val="1"/>
        </w:numPr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Кредитний договір № 291013-КЛВ від 29.10.2013 р. є неукладеним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, оскільки: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Договір поруки № 301013-П/3 укладений на забезпечення виконання зобов’язань за кредитним договором.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Відповідачу невідомо чи надав позивач копію кредитного договору до матеріалів справи та чи досліджував суд кредитний договір за яким позивач стягує заборгованість з відповідача. До позовної заяви позивач не надав копію кредитного договору.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Відповідач вважає, що кредитний договір № 291013-КЛВ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 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є неукладеним у зв’язку з наступним: </w:t>
      </w:r>
    </w:p>
    <w:p w:rsidR="00DC05D6" w:rsidRPr="00AB6FC7" w:rsidRDefault="00DC05D6" w:rsidP="00DC05D6">
      <w:pPr>
        <w:pStyle w:val="a3"/>
        <w:spacing w:before="200"/>
        <w:ind w:left="0"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Відповідно до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п. 14 постанови пленуму Вищого спеціалізованого суду України  з розгляду цивільних і кримінальних справ «Про практику застосування судами законодавства при вирішенні спорів, що виникають із кредитних правовідносин»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від 30 березня 2012 року № 5 Суди повинні розмежовувати кредитний договір, який є недійсним у силу закону (нікчемний) або може бути визнаний таким у судовому порядку (оспорюваний) з підстав, встановлених частиною першою статті 215 ЦК, та кредитний договір, який є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неукладеним (не відбувся), 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що не може бути визнаний недійсним, зокрема, у випадку,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 коли сторони в належній формі не досягли згоди щодо </w:t>
      </w:r>
      <w:r w:rsidRPr="00AB6FC7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  <w:lang w:val="uk-UA"/>
        </w:rPr>
        <w:t>хоча б з однієї його істотної умови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 або зміст яких неможливо встановити виходячи з норм чинного законодавства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(статті 536, 638, </w:t>
      </w:r>
      <w:r w:rsidRPr="00AB6FC7">
        <w:rPr>
          <w:rFonts w:ascii="Times New Roman" w:hAnsi="Times New Roman" w:cs="Times New Roman"/>
          <w:b/>
          <w:bCs/>
          <w:color w:val="000000"/>
          <w:u w:val="single"/>
          <w:shd w:val="clear" w:color="auto" w:fill="FFFFFF"/>
          <w:lang w:val="uk-UA"/>
        </w:rPr>
        <w:t>1056-1 ЦК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).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Частинами 1, 2 ст. 1056-1 ЦК України передбачено, що </w:t>
      </w:r>
      <w:r w:rsidRPr="00AB6FC7">
        <w:rPr>
          <w:rFonts w:ascii="Times New Roman" w:hAnsi="Times New Roman" w:cs="Times New Roman"/>
          <w:b/>
          <w:lang w:val="uk-UA"/>
        </w:rPr>
        <w:t>процентна ставка за кредитом може бути фіксованою або змінюваною.</w:t>
      </w:r>
      <w:r w:rsidRPr="00AB6FC7">
        <w:rPr>
          <w:rFonts w:ascii="Times New Roman" w:hAnsi="Times New Roman" w:cs="Times New Roman"/>
          <w:lang w:val="uk-UA"/>
        </w:rPr>
        <w:t xml:space="preserve"> </w:t>
      </w:r>
      <w:r w:rsidRPr="00AB6FC7">
        <w:rPr>
          <w:rFonts w:ascii="Times New Roman" w:hAnsi="Times New Roman" w:cs="Times New Roman"/>
          <w:b/>
          <w:lang w:val="uk-UA"/>
        </w:rPr>
        <w:t>Тип процентної ставки визначається кредитним договором.</w:t>
      </w:r>
      <w:r w:rsidRPr="00AB6FC7">
        <w:rPr>
          <w:rFonts w:ascii="Times New Roman" w:hAnsi="Times New Roman" w:cs="Times New Roman"/>
          <w:lang w:val="uk-UA"/>
        </w:rPr>
        <w:t xml:space="preserve"> Розмір процентів, </w:t>
      </w:r>
      <w:r w:rsidRPr="00AB6FC7">
        <w:rPr>
          <w:rFonts w:ascii="Times New Roman" w:hAnsi="Times New Roman" w:cs="Times New Roman"/>
          <w:b/>
          <w:lang w:val="uk-UA"/>
        </w:rPr>
        <w:t>тип процентної ставки (фіксована або змінювана)</w:t>
      </w:r>
      <w:r w:rsidRPr="00AB6FC7">
        <w:rPr>
          <w:rFonts w:ascii="Times New Roman" w:hAnsi="Times New Roman" w:cs="Times New Roman"/>
          <w:lang w:val="uk-UA"/>
        </w:rPr>
        <w:t xml:space="preserve"> та порядок їх сплати за кредитним договором </w:t>
      </w:r>
      <w:r w:rsidRPr="00AB6FC7">
        <w:rPr>
          <w:rFonts w:ascii="Times New Roman" w:hAnsi="Times New Roman" w:cs="Times New Roman"/>
          <w:b/>
          <w:lang w:val="uk-UA"/>
        </w:rPr>
        <w:t>визначаються в договорі</w:t>
      </w:r>
      <w:r w:rsidRPr="00AB6FC7">
        <w:rPr>
          <w:rFonts w:ascii="Times New Roman" w:hAnsi="Times New Roman" w:cs="Times New Roman"/>
          <w:lang w:val="uk-UA"/>
        </w:rPr>
        <w:t xml:space="preserve"> залежно від кредитного ризику, наданого забезпечення, попиту і пропозицій, які склалися на кредитному ринку, строку користування кредитом, розміру облікової ставки та інших факторів.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Таким чином, відповідно до зазначеної норми ЦК України, істотною умовою кредитного договору є тип процентної ставки – фіксована або змінювана.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В порушення ст. 1056-1 ЦК України в кредитному договорі між сторонами не досягнуто згоди щодо типу процентної ставки. Кредитним договором не визначений тип процентної ставки – фіксована або змінювана.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Частиною 1 ст. 638 ЦК України передбачено, що </w:t>
      </w:r>
      <w:r w:rsidRPr="00AB6FC7">
        <w:rPr>
          <w:rFonts w:ascii="Times New Roman" w:hAnsi="Times New Roman" w:cs="Times New Roman"/>
          <w:b/>
          <w:lang w:val="uk-UA"/>
        </w:rPr>
        <w:t>договір є укладеним, якщо сторони в належній формі досягли згоди з усіх істотних умов договору</w:t>
      </w:r>
      <w:r w:rsidRPr="00AB6FC7">
        <w:rPr>
          <w:rFonts w:ascii="Times New Roman" w:hAnsi="Times New Roman" w:cs="Times New Roman"/>
          <w:lang w:val="uk-UA"/>
        </w:rPr>
        <w:t>. Істотними умовами договору є умови про предмет договору, умови, що визначені законом як істотні</w:t>
      </w:r>
      <w:r w:rsidRPr="00AB6FC7">
        <w:rPr>
          <w:rFonts w:ascii="Times New Roman" w:hAnsi="Times New Roman" w:cs="Times New Roman"/>
          <w:i/>
          <w:lang w:val="uk-UA"/>
        </w:rPr>
        <w:t xml:space="preserve"> </w:t>
      </w:r>
      <w:r w:rsidRPr="00AB6FC7">
        <w:rPr>
          <w:rFonts w:ascii="Times New Roman" w:hAnsi="Times New Roman" w:cs="Times New Roman"/>
          <w:lang w:val="uk-UA"/>
        </w:rPr>
        <w:t xml:space="preserve">або є необхідними для </w:t>
      </w:r>
      <w:r w:rsidRPr="00AB6FC7">
        <w:rPr>
          <w:rFonts w:ascii="Times New Roman" w:hAnsi="Times New Roman" w:cs="Times New Roman"/>
          <w:lang w:val="uk-UA"/>
        </w:rPr>
        <w:lastRenderedPageBreak/>
        <w:t>договорів даного виду, а також усі ті умови, щодо яких за заявою хоча б однієї із сторін має бути досягнуто згоди.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Частиною 2 ст. 180 ГК України передбачено, що господарський договір вважається укладеним, якщо між сторонами у передбачених законом порядку та формі досягнуто згоди щодо усіх його істотних умов. </w:t>
      </w:r>
      <w:r w:rsidRPr="00AB6FC7">
        <w:rPr>
          <w:rFonts w:ascii="Times New Roman" w:hAnsi="Times New Roman" w:cs="Times New Roman"/>
          <w:b/>
          <w:lang w:val="uk-UA"/>
        </w:rPr>
        <w:t>Істотними є умови, визнані такими за законом</w:t>
      </w:r>
      <w:r w:rsidRPr="00AB6FC7">
        <w:rPr>
          <w:rFonts w:ascii="Times New Roman" w:hAnsi="Times New Roman" w:cs="Times New Roman"/>
          <w:i/>
          <w:lang w:val="uk-UA"/>
        </w:rPr>
        <w:t xml:space="preserve"> </w:t>
      </w:r>
      <w:r w:rsidRPr="00AB6FC7">
        <w:rPr>
          <w:rFonts w:ascii="Times New Roman" w:hAnsi="Times New Roman" w:cs="Times New Roman"/>
          <w:lang w:val="uk-UA"/>
        </w:rPr>
        <w:t>чи необхідні для договорів даного виду, а також умови, щодо яких на вимогу однієї із сторін повинна бути досягнута згода.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Отже між сторонами кредитного договору не досягнуто згоди щодо істотної умови кредитного договору – типу процентної ставки, а тому договір є неукладеним.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Заочним рішенням з відповідача стягнуті проценти за кредитним договором, але умови кредитного договору щодо визначення процентної ставки не відповідають приписами Цивільного кодексу України.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Відзначимо, що пункт 1.4. кредитного договору щодо можливості збільшення процентної ставки у разі прострочення повернення кредиту (заочним рішенням стягнуті проценти саме за підвищеною процентною ставкою), не є погодженням типу процентної ставки, як змінюваної, та цей пункт договору суперечить ст. 1056-1 ЦК України оскільки: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Частиною 4 ст. 1056-1 ЦК України передбачено, що у разі застосування змінюваної процентної ставки кредитор самостійно, з визначеною у кредитному договорі періодичністю, має право збільшувати та зобов'язаний зменшувати процентну ставку відповідно до умов і в порядку, встановлених кредитним договором. </w:t>
      </w:r>
      <w:proofErr w:type="spellStart"/>
      <w:r w:rsidRPr="00AB6FC7">
        <w:rPr>
          <w:rFonts w:ascii="Times New Roman" w:hAnsi="Times New Roman" w:cs="Times New Roman"/>
          <w:lang w:val="uk-UA"/>
        </w:rPr>
        <w:t>Кредитодавець</w:t>
      </w:r>
      <w:proofErr w:type="spellEnd"/>
      <w:r w:rsidRPr="00AB6FC7">
        <w:rPr>
          <w:rFonts w:ascii="Times New Roman" w:hAnsi="Times New Roman" w:cs="Times New Roman"/>
          <w:lang w:val="uk-UA"/>
        </w:rPr>
        <w:t xml:space="preserve"> зобов'язаний письмово повідомити позичальника, поручителя та інших зобов'язаних за договором осіб про зміну процентної ставки не пізніш як за 15 календарних днів до дати, з якої застосовуватиметься нова ставка. </w:t>
      </w:r>
      <w:r w:rsidRPr="00AB6FC7">
        <w:rPr>
          <w:rFonts w:ascii="Times New Roman" w:hAnsi="Times New Roman" w:cs="Times New Roman"/>
          <w:b/>
          <w:lang w:val="uk-UA"/>
        </w:rPr>
        <w:t>У кредитному договорі встановлюється порядок розрахунку змінюваної процентної ставки із застосуванням погодженого сторонами індексу.</w:t>
      </w:r>
      <w:r w:rsidRPr="00AB6FC7">
        <w:rPr>
          <w:rFonts w:ascii="Times New Roman" w:hAnsi="Times New Roman" w:cs="Times New Roman"/>
          <w:lang w:val="uk-UA"/>
        </w:rPr>
        <w:t xml:space="preserve"> </w:t>
      </w:r>
      <w:r w:rsidRPr="00AB6FC7">
        <w:rPr>
          <w:rFonts w:ascii="Times New Roman" w:hAnsi="Times New Roman" w:cs="Times New Roman"/>
          <w:b/>
          <w:lang w:val="uk-UA"/>
        </w:rPr>
        <w:t>Порядок розрахунку змінюваної процентної ставки повинен дозволяти точно визначити розмір процентної ставки за кредитом на будь-який момент часу протягом строку дії кредитного договору.</w:t>
      </w:r>
      <w:r w:rsidRPr="00AB6FC7">
        <w:rPr>
          <w:rFonts w:ascii="Times New Roman" w:hAnsi="Times New Roman" w:cs="Times New Roman"/>
          <w:lang w:val="uk-UA"/>
        </w:rPr>
        <w:t xml:space="preserve"> Кредитор не має права змінювати встановлений кредитним договором порядок розрахунку змінюваної процентної ставки без згоди позичальника.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Частиною 5 ст. 1056-1 ЦК України передбачено, що </w:t>
      </w:r>
      <w:r w:rsidRPr="00AB6FC7">
        <w:rPr>
          <w:rFonts w:ascii="Times New Roman" w:hAnsi="Times New Roman" w:cs="Times New Roman"/>
          <w:b/>
          <w:lang w:val="uk-UA"/>
        </w:rPr>
        <w:t>індекс, що використовується у формулі визначення змінюваної процентної ставки, повинен відповідати таким вимогам:</w:t>
      </w:r>
      <w:r w:rsidRPr="00AB6FC7">
        <w:rPr>
          <w:rFonts w:ascii="Times New Roman" w:hAnsi="Times New Roman" w:cs="Times New Roman"/>
          <w:lang w:val="uk-UA"/>
        </w:rPr>
        <w:t xml:space="preserve"> 1) поточне значення індексу повинно періодично, але не рідше одного разу на місяць, публікуватися в засобах масової інформації або оприлюднюватися через інші загальнодоступні регулярні джерела інформації. </w:t>
      </w:r>
      <w:r w:rsidRPr="00AB6FC7">
        <w:rPr>
          <w:rFonts w:ascii="Times New Roman" w:hAnsi="Times New Roman" w:cs="Times New Roman"/>
          <w:b/>
          <w:lang w:val="uk-UA"/>
        </w:rPr>
        <w:t>Кредитний договір повинен містити посилання на джерело інформації про відповідний індекс</w:t>
      </w:r>
      <w:r w:rsidRPr="00AB6FC7">
        <w:rPr>
          <w:rFonts w:ascii="Times New Roman" w:hAnsi="Times New Roman" w:cs="Times New Roman"/>
          <w:lang w:val="uk-UA"/>
        </w:rPr>
        <w:t>; 2) індекс повинен ґрунтуватися на об'єктивних індикаторах фінансової сфери, що дозволяють визначити ринкову вартість кредитних ресурсів; 3) значення індексу повинно встановлюватися незалежною установою з визнаною діловою репутацією на ринку фінансових послуг.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Пункт 1.4. кредитного договору не передбачає погодженого між сторонами індексу, який відповідає вимогам ч. 5 ст. 1056-1 ЦК України.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>Таким чином п. 1.4. кредитного договору щодо застосування підвищеної процентної ставки суперечить ч. 4, 5 ст. 1056-1 ЦК України щодо умов та порядку розрахунку змінюваної процентної ставки із застосуванням погодженого сторонами індексу, який повинен</w:t>
      </w:r>
      <w:r w:rsidRPr="00AB6FC7">
        <w:rPr>
          <w:rFonts w:ascii="Times New Roman" w:hAnsi="Times New Roman" w:cs="Times New Roman"/>
          <w:b/>
          <w:lang w:val="uk-UA"/>
        </w:rPr>
        <w:t xml:space="preserve"> </w:t>
      </w:r>
      <w:r w:rsidRPr="00AB6FC7">
        <w:rPr>
          <w:rFonts w:ascii="Times New Roman" w:hAnsi="Times New Roman" w:cs="Times New Roman"/>
          <w:lang w:val="uk-UA"/>
        </w:rPr>
        <w:t xml:space="preserve">періодично, але не рідше одного разу на місяць, публікуватися в засобах масової інформації або оприлюднюватися через інші загальнодоступні регулярні джерела інформації.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lastRenderedPageBreak/>
        <w:t xml:space="preserve">У зв’язку з зазначеним стягнення з відповідача процентів за пунктом 1.4. кредитного договору суперечить ст. 1056-1 ЦК України.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Відзначимо, що </w:t>
      </w:r>
      <w:r w:rsidRPr="00AB6FC7">
        <w:rPr>
          <w:rFonts w:ascii="Times New Roman" w:hAnsi="Times New Roman" w:cs="Times New Roman"/>
          <w:b/>
          <w:lang w:val="uk-UA"/>
        </w:rPr>
        <w:t xml:space="preserve">Господарським судом м. Києва розглядається справа № 910/2692/16 про визнання кредитного договору 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>№ 291013-КЛВ від 29.10.2013 р. недійсним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.</w:t>
      </w:r>
      <w:r w:rsidRPr="00AB6FC7">
        <w:rPr>
          <w:rFonts w:ascii="Times New Roman" w:hAnsi="Times New Roman" w:cs="Times New Roman"/>
          <w:b/>
          <w:bCs/>
          <w:color w:val="000000"/>
          <w:shd w:val="clear" w:color="auto" w:fill="FFFFFF"/>
          <w:lang w:val="uk-UA"/>
        </w:rPr>
        <w:t xml:space="preserve"> 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Додається копія ухвали суду та копія позовної заяви.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Відповідно до п. 4 ст. 201 ЦПК України суд зобов'язаний зупинити провадження у справі у разі неможливості розгляду цієї справи до вирішення іншої справи, що розглядається в порядку конституційного, цивільного, господарського, кримінального чи адміністративного судочинства.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У зв’язку з зазначеним розгляд Господарським судом м. Києва справи </w:t>
      </w:r>
      <w:r w:rsidRPr="00AB6FC7">
        <w:rPr>
          <w:rFonts w:ascii="Times New Roman" w:hAnsi="Times New Roman" w:cs="Times New Roman"/>
          <w:lang w:val="uk-UA"/>
        </w:rPr>
        <w:t xml:space="preserve">№ 910/2692/16 є підставою для зупинення провадження у цій справі.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Також виконання кредитного договору 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№ 291013-КЛВ від 29.10.2013 р. забезпечено не тільки порукою відповідача, а також порукою ТОВ «.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Відповідач вважає, що для повного і всебічного з’ясування обставин у справі зазначені особи мають бути залучені до участі у справі, як треті особи, оскільки позивач міг отримати задоволення своїх вимог за кредитним договором від зазначених поручителів та </w:t>
      </w:r>
      <w:proofErr w:type="spellStart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іпотекодавців</w:t>
      </w:r>
      <w:proofErr w:type="spellEnd"/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.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На підставі викладеного та керуючись ст. 228, 229 ЦПК України прошу, - 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Переглянути </w:t>
      </w:r>
      <w:r w:rsidRPr="00AB6FC7">
        <w:rPr>
          <w:rFonts w:ascii="Times New Roman" w:hAnsi="Times New Roman" w:cs="Times New Roman"/>
          <w:lang w:val="uk-UA"/>
        </w:rPr>
        <w:t>заочне рішення Приазовського районного суду Запорізької області від 09.02.2016 року - скасувати зазначене заочне рішення і призначити справу до розгляду в загальному порядку.</w:t>
      </w: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  <w:r w:rsidRPr="00AB6FC7">
        <w:rPr>
          <w:rFonts w:ascii="Times New Roman" w:hAnsi="Times New Roman" w:cs="Times New Roman"/>
          <w:lang w:val="uk-UA"/>
        </w:rPr>
        <w:t xml:space="preserve">Додатки: </w:t>
      </w:r>
    </w:p>
    <w:p w:rsidR="00DC05D6" w:rsidRPr="00AB6FC7" w:rsidRDefault="00DC05D6" w:rsidP="00DC05D6">
      <w:pPr>
        <w:pStyle w:val="a3"/>
        <w:numPr>
          <w:ilvl w:val="0"/>
          <w:numId w:val="2"/>
        </w:numPr>
        <w:spacing w:before="20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Роздрукування з офіційного сайту УДППЗ «Укрпошта». </w:t>
      </w:r>
    </w:p>
    <w:p w:rsidR="00DC05D6" w:rsidRPr="00AB6FC7" w:rsidRDefault="00DC05D6" w:rsidP="00DC05D6">
      <w:pPr>
        <w:pStyle w:val="a3"/>
        <w:numPr>
          <w:ilvl w:val="0"/>
          <w:numId w:val="2"/>
        </w:numPr>
        <w:spacing w:before="20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Копія ухвали господарського суду м. Києва від 19.02.2016 р. по справі № 910/2692/16 </w:t>
      </w:r>
    </w:p>
    <w:p w:rsidR="00DC05D6" w:rsidRPr="00AB6FC7" w:rsidRDefault="00DC05D6" w:rsidP="00DC05D6">
      <w:pPr>
        <w:pStyle w:val="a3"/>
        <w:numPr>
          <w:ilvl w:val="0"/>
          <w:numId w:val="2"/>
        </w:numPr>
        <w:spacing w:before="20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Копія позовної заяви ТОВ «А» № 034 від 16.02.2016 р. </w:t>
      </w:r>
    </w:p>
    <w:p w:rsidR="00DC05D6" w:rsidRPr="00AB6FC7" w:rsidRDefault="00DC05D6" w:rsidP="00DC05D6">
      <w:pPr>
        <w:pStyle w:val="a3"/>
        <w:numPr>
          <w:ilvl w:val="0"/>
          <w:numId w:val="2"/>
        </w:numPr>
        <w:spacing w:before="20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Копія цієї заяви з копією доданих матеріалів – 2 примірника. </w:t>
      </w:r>
    </w:p>
    <w:p w:rsidR="00DC05D6" w:rsidRPr="00AB6FC7" w:rsidRDefault="00DC05D6" w:rsidP="00DC05D6">
      <w:pPr>
        <w:pStyle w:val="a3"/>
        <w:numPr>
          <w:ilvl w:val="0"/>
          <w:numId w:val="2"/>
        </w:numPr>
        <w:spacing w:before="20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Документ про сплату судового збору. </w:t>
      </w:r>
    </w:p>
    <w:p w:rsidR="00DC05D6" w:rsidRPr="00AB6FC7" w:rsidRDefault="00DC05D6" w:rsidP="00DC05D6">
      <w:pPr>
        <w:spacing w:before="20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</w:p>
    <w:p w:rsidR="00DC05D6" w:rsidRPr="00AB6FC7" w:rsidRDefault="00DC05D6" w:rsidP="00DC05D6">
      <w:pPr>
        <w:spacing w:before="200"/>
        <w:ind w:left="1134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«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02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» березня 2016 року                 </w:t>
      </w:r>
      <w:r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>_____________</w:t>
      </w:r>
      <w:r w:rsidRPr="00AB6FC7"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  <w:t xml:space="preserve">           </w:t>
      </w:r>
    </w:p>
    <w:p w:rsidR="00DC05D6" w:rsidRPr="00AB6FC7" w:rsidRDefault="00DC05D6" w:rsidP="00DC05D6">
      <w:pPr>
        <w:pStyle w:val="a3"/>
        <w:spacing w:before="200"/>
        <w:ind w:left="0" w:firstLine="1134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uk-UA"/>
        </w:rPr>
      </w:pP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</w:p>
    <w:p w:rsidR="00DC05D6" w:rsidRPr="00AB6FC7" w:rsidRDefault="00DC05D6" w:rsidP="00DC05D6">
      <w:pPr>
        <w:spacing w:before="200"/>
        <w:ind w:firstLine="1134"/>
        <w:jc w:val="both"/>
        <w:rPr>
          <w:rFonts w:ascii="Times New Roman" w:hAnsi="Times New Roman" w:cs="Times New Roman"/>
          <w:lang w:val="uk-UA"/>
        </w:rPr>
      </w:pPr>
    </w:p>
    <w:p w:rsidR="000E6AD6" w:rsidRDefault="000E6AD6"/>
    <w:sectPr w:rsidR="000E6AD6" w:rsidSect="00366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7EFA"/>
    <w:multiLevelType w:val="hybridMultilevel"/>
    <w:tmpl w:val="BCEE9C9E"/>
    <w:lvl w:ilvl="0" w:tplc="D48E0A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42F86707"/>
    <w:multiLevelType w:val="hybridMultilevel"/>
    <w:tmpl w:val="4CA00654"/>
    <w:lvl w:ilvl="0" w:tplc="51C8D22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D6"/>
    <w:rsid w:val="000E6AD6"/>
    <w:rsid w:val="00DC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9C9A"/>
  <w15:chartTrackingRefBased/>
  <w15:docId w15:val="{E482931D-2F53-416F-B316-330AB93E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5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5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05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krposhta.ua/ukrposhta-timchasovo-prizupinila-dostavku-poshti-do-novoazovs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2488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2019-10-04T11:00:00Z</dcterms:created>
  <dcterms:modified xsi:type="dcterms:W3CDTF">2019-10-04T11:05:00Z</dcterms:modified>
</cp:coreProperties>
</file>