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FB518" w14:textId="1CD16479" w:rsidR="005A15F8" w:rsidRPr="00F760EE" w:rsidRDefault="00F760EE">
      <w:pPr>
        <w:pStyle w:val="p1"/>
        <w:rPr>
          <w:lang w:val="uk-UA"/>
        </w:rPr>
      </w:pPr>
      <w:r>
        <w:rPr>
          <w:rStyle w:val="s1"/>
          <w:lang w:val="uk-UA"/>
        </w:rPr>
        <w:t>Курінна Ксенія ЕК-22</w:t>
      </w:r>
    </w:p>
    <w:p w14:paraId="39631031" w14:textId="77777777" w:rsidR="005A15F8" w:rsidRDefault="005A15F8">
      <w:pPr>
        <w:pStyle w:val="p2"/>
      </w:pPr>
      <w:r>
        <w:rPr>
          <w:rStyle w:val="s2"/>
        </w:rPr>
        <w:t>1</w:t>
      </w:r>
    </w:p>
    <w:p w14:paraId="287103AA" w14:textId="77777777" w:rsidR="005A15F8" w:rsidRDefault="005A15F8">
      <w:pPr>
        <w:pStyle w:val="p1"/>
      </w:pPr>
      <w:r>
        <w:rPr>
          <w:rStyle w:val="s3"/>
        </w:rPr>
        <w:t>2 норми-визначення</w:t>
      </w:r>
    </w:p>
    <w:p w14:paraId="12A65EC3" w14:textId="77777777" w:rsidR="005A15F8" w:rsidRDefault="005A15F8">
      <w:pPr>
        <w:pStyle w:val="li1"/>
        <w:numPr>
          <w:ilvl w:val="0"/>
          <w:numId w:val="1"/>
        </w:numPr>
        <w:rPr>
          <w:rFonts w:eastAsia="Times New Roman"/>
        </w:rPr>
      </w:pPr>
      <w:r>
        <w:rPr>
          <w:rStyle w:val="s1"/>
          <w:rFonts w:eastAsia="Times New Roman"/>
        </w:rPr>
        <w:t>Закон України «про захист прав споживачів» роз 1 ст 1</w:t>
      </w:r>
    </w:p>
    <w:p w14:paraId="138E15B1" w14:textId="77777777" w:rsidR="005A15F8" w:rsidRDefault="005A15F8">
      <w:pPr>
        <w:pStyle w:val="p1"/>
      </w:pPr>
      <w:r>
        <w:rPr>
          <w:rStyle w:val="s1"/>
        </w:rPr>
        <w:t>дистанційний договір - договір, укладений без одночасної фізичної присутності суб’єкта господарювання і споживача, з використанням виключно засобів дистанційного зв’язку, у тому числі електронного, до та під час його укладення;</w:t>
      </w:r>
    </w:p>
    <w:p w14:paraId="4CE2D947" w14:textId="77777777" w:rsidR="005A15F8" w:rsidRDefault="005A15F8">
      <w:pPr>
        <w:pStyle w:val="p3"/>
      </w:pPr>
    </w:p>
    <w:p w14:paraId="35B6588D" w14:textId="77777777" w:rsidR="005A15F8" w:rsidRDefault="005A15F8">
      <w:pPr>
        <w:pStyle w:val="li1"/>
        <w:numPr>
          <w:ilvl w:val="0"/>
          <w:numId w:val="2"/>
        </w:numPr>
        <w:rPr>
          <w:rFonts w:eastAsia="Times New Roman"/>
        </w:rPr>
      </w:pPr>
      <w:r>
        <w:rPr>
          <w:rStyle w:val="s1"/>
          <w:rFonts w:eastAsia="Times New Roman"/>
        </w:rPr>
        <w:t>Закон України «про колективні угоди та договори» роз 1 ст 2</w:t>
      </w:r>
    </w:p>
    <w:p w14:paraId="2F6FF84F" w14:textId="77777777" w:rsidR="005A15F8" w:rsidRDefault="005A15F8">
      <w:pPr>
        <w:pStyle w:val="p1"/>
      </w:pPr>
      <w:r>
        <w:rPr>
          <w:rStyle w:val="s1"/>
        </w:rPr>
        <w:t>колективний договір - письмовий нормативний документ, що укладається відповідно до цього Закону з метою регулювання виробничих, трудових, соціально-економічних відносин між роботодавцем і працівниками, їх представниками;</w:t>
      </w:r>
    </w:p>
    <w:p w14:paraId="7595B56E" w14:textId="77777777" w:rsidR="005A15F8" w:rsidRDefault="005A15F8">
      <w:pPr>
        <w:pStyle w:val="p3"/>
      </w:pPr>
    </w:p>
    <w:p w14:paraId="0B5E28C9" w14:textId="77777777" w:rsidR="005A15F8" w:rsidRDefault="005A15F8">
      <w:pPr>
        <w:pStyle w:val="p3"/>
      </w:pPr>
    </w:p>
    <w:p w14:paraId="364F692F" w14:textId="77777777" w:rsidR="005A15F8" w:rsidRDefault="005A15F8">
      <w:pPr>
        <w:pStyle w:val="p1"/>
      </w:pPr>
      <w:r>
        <w:rPr>
          <w:rStyle w:val="s3"/>
        </w:rPr>
        <w:t>2 норми-принципи</w:t>
      </w:r>
    </w:p>
    <w:p w14:paraId="1F82F277" w14:textId="77777777" w:rsidR="005A15F8" w:rsidRDefault="005A15F8">
      <w:pPr>
        <w:pStyle w:val="li1"/>
        <w:numPr>
          <w:ilvl w:val="0"/>
          <w:numId w:val="3"/>
        </w:numPr>
        <w:rPr>
          <w:rFonts w:eastAsia="Times New Roman"/>
        </w:rPr>
      </w:pPr>
      <w:r>
        <w:rPr>
          <w:rStyle w:val="s1"/>
          <w:rFonts w:eastAsia="Times New Roman"/>
        </w:rPr>
        <w:t>Закон «про держ бюджет України на 2018 р» ст 6</w:t>
      </w:r>
    </w:p>
    <w:p w14:paraId="7D9C7028" w14:textId="77777777" w:rsidR="005A15F8" w:rsidRDefault="005A15F8">
      <w:pPr>
        <w:pStyle w:val="p1"/>
      </w:pPr>
      <w:r>
        <w:rPr>
          <w:rStyle w:val="s1"/>
        </w:rPr>
        <w:t>у 2018 році державні гарантії в обсязі до 24.000.000 тис. гривень можуть надаватися:</w:t>
      </w:r>
    </w:p>
    <w:p w14:paraId="75879FD2" w14:textId="77777777" w:rsidR="005A15F8" w:rsidRDefault="005A15F8">
      <w:pPr>
        <w:pStyle w:val="p1"/>
      </w:pPr>
      <w:r>
        <w:rPr>
          <w:rStyle w:val="s1"/>
        </w:rPr>
        <w:t>1) за рішенням Кабінету Міністрів України…</w:t>
      </w:r>
    </w:p>
    <w:p w14:paraId="6F0B2DB4" w14:textId="77777777" w:rsidR="005A15F8" w:rsidRDefault="005A15F8">
      <w:pPr>
        <w:pStyle w:val="li1"/>
        <w:numPr>
          <w:ilvl w:val="0"/>
          <w:numId w:val="4"/>
        </w:numPr>
        <w:rPr>
          <w:rFonts w:eastAsia="Times New Roman"/>
        </w:rPr>
      </w:pPr>
      <w:r>
        <w:rPr>
          <w:rStyle w:val="s1"/>
          <w:rFonts w:eastAsia="Times New Roman"/>
        </w:rPr>
        <w:t>Наказ №111/5 «Про запровадження Єдиного реєстру довіреностей та внесення змін і доповнень до деяких нормативно-правових актів Міністерства юстиції України»</w:t>
      </w:r>
    </w:p>
    <w:p w14:paraId="1AE53A52" w14:textId="77777777" w:rsidR="005A15F8" w:rsidRDefault="005A15F8">
      <w:pPr>
        <w:pStyle w:val="p1"/>
      </w:pPr>
      <w:r>
        <w:rPr>
          <w:rStyle w:val="s1"/>
        </w:rPr>
        <w:t>Розрахунок щомісячної плати здійснюється залежно від розміру прожиткового мінімуму для працездатних осіб, встановленого законом на 01 січня календарного року, в якому надається інформація.</w:t>
      </w:r>
    </w:p>
    <w:p w14:paraId="66FB0CDD" w14:textId="77777777" w:rsidR="005A15F8" w:rsidRDefault="005A15F8">
      <w:pPr>
        <w:pStyle w:val="p3"/>
      </w:pPr>
    </w:p>
    <w:p w14:paraId="48297983" w14:textId="77777777" w:rsidR="005A15F8" w:rsidRDefault="005A15F8">
      <w:pPr>
        <w:pStyle w:val="p1"/>
      </w:pPr>
      <w:r>
        <w:rPr>
          <w:rStyle w:val="s3"/>
        </w:rPr>
        <w:t>2 норми-заборони</w:t>
      </w:r>
    </w:p>
    <w:p w14:paraId="7A2780C3" w14:textId="77777777" w:rsidR="005A15F8" w:rsidRDefault="005A15F8">
      <w:pPr>
        <w:pStyle w:val="li1"/>
        <w:numPr>
          <w:ilvl w:val="0"/>
          <w:numId w:val="5"/>
        </w:numPr>
        <w:rPr>
          <w:rFonts w:eastAsia="Times New Roman"/>
        </w:rPr>
      </w:pPr>
      <w:r>
        <w:rPr>
          <w:rStyle w:val="s1"/>
          <w:rFonts w:eastAsia="Times New Roman"/>
        </w:rPr>
        <w:t>Закон «про політичні партії в Україні» пункт 1 роз 1</w:t>
      </w:r>
    </w:p>
    <w:p w14:paraId="5883A170" w14:textId="77777777" w:rsidR="005A15F8" w:rsidRDefault="005A15F8">
      <w:pPr>
        <w:pStyle w:val="p1"/>
      </w:pPr>
      <w:r>
        <w:rPr>
          <w:rStyle w:val="s1"/>
        </w:rPr>
        <w:t xml:space="preserve">Політична партія може бути заборонена в судовому порядку за адміністративним позовом центрального органу виконавчої влади, що реалізує державну політику у сфері державної реєстрації (легалізації) об’єднань громадян, інших громадських формувань, у випадку порушення вимог щодо створення і діяльності політичних партій, встановлених </w:t>
      </w:r>
      <w:hyperlink r:id="rId7" w:history="1">
        <w:r>
          <w:rPr>
            <w:rStyle w:val="s4"/>
            <w:color w:val="0000FF"/>
          </w:rPr>
          <w:t>Конституцією України…</w:t>
        </w:r>
      </w:hyperlink>
    </w:p>
    <w:p w14:paraId="4CD53568" w14:textId="77777777" w:rsidR="005A15F8" w:rsidRDefault="005A15F8">
      <w:pPr>
        <w:pStyle w:val="li1"/>
        <w:numPr>
          <w:ilvl w:val="0"/>
          <w:numId w:val="6"/>
        </w:numPr>
        <w:rPr>
          <w:rFonts w:eastAsia="Times New Roman"/>
        </w:rPr>
      </w:pPr>
      <w:r>
        <w:rPr>
          <w:rStyle w:val="s4"/>
          <w:rFonts w:eastAsia="Times New Roman"/>
        </w:rPr>
        <w:t>Закон «</w:t>
      </w:r>
      <w:r>
        <w:rPr>
          <w:rStyle w:val="s1"/>
          <w:rFonts w:eastAsia="Times New Roman"/>
        </w:rPr>
        <w:t>Про заборону пропаганди російського нацистського тоталітарного режиму, збройної агресії Російської Федерації як держави-терориста проти України, символіки воєнного вторгнення російського нацистського тоталітарного режиму в Україну» ст 2</w:t>
      </w:r>
    </w:p>
    <w:p w14:paraId="2A6EA9F4" w14:textId="77777777" w:rsidR="005A15F8" w:rsidRDefault="005A15F8">
      <w:pPr>
        <w:pStyle w:val="p1"/>
      </w:pPr>
      <w:r>
        <w:rPr>
          <w:rStyle w:val="s1"/>
        </w:rPr>
        <w:t>Заборона пропаганди російського нацистського тоталітарного режиму, збройної агресії Російської Федераціїяк держави-терориста проти України</w:t>
      </w:r>
    </w:p>
    <w:p w14:paraId="727AC0F1" w14:textId="77777777" w:rsidR="005A15F8" w:rsidRDefault="005A15F8">
      <w:pPr>
        <w:pStyle w:val="p2"/>
      </w:pPr>
      <w:r>
        <w:rPr>
          <w:rStyle w:val="s2"/>
        </w:rPr>
        <w:t>2</w:t>
      </w:r>
      <w:r>
        <w:rPr>
          <w:rStyle w:val="apple-converted-space"/>
          <w:rFonts w:ascii="UICTFontTextStyleBody" w:hAnsi="UICTFontTextStyleBody"/>
          <w:b/>
          <w:bCs/>
        </w:rPr>
        <w:t> </w:t>
      </w:r>
    </w:p>
    <w:p w14:paraId="6A48CC71" w14:textId="77777777" w:rsidR="005A15F8" w:rsidRDefault="005A15F8">
      <w:pPr>
        <w:pStyle w:val="p1"/>
      </w:pPr>
      <w:r>
        <w:rPr>
          <w:rStyle w:val="s1"/>
        </w:rPr>
        <w:lastRenderedPageBreak/>
        <w:t xml:space="preserve">Справа №1-21/2016 Конституційний Суд України розглянув на пленарному засіданні справу за конституційним поданням 51 народного депутата України щодо офіційного тлумачення положення "на наступній черговій сесії Верховної Ради України", яке міститься у </w:t>
      </w:r>
      <w:hyperlink r:id="rId8" w:anchor="n4933" w:history="1">
        <w:r>
          <w:rPr>
            <w:rStyle w:val="s4"/>
            <w:color w:val="0000FF"/>
          </w:rPr>
          <w:t>статті 155</w:t>
        </w:r>
      </w:hyperlink>
      <w:r>
        <w:rPr>
          <w:rStyle w:val="s1"/>
        </w:rPr>
        <w:t xml:space="preserve"> Конституції України.</w:t>
      </w:r>
    </w:p>
    <w:p w14:paraId="05D804AA" w14:textId="77777777" w:rsidR="005A15F8" w:rsidRDefault="005A15F8">
      <w:pPr>
        <w:pStyle w:val="p3"/>
      </w:pPr>
      <w:r>
        <w:rPr>
          <w:rStyle w:val="apple-converted-space"/>
          <w:rFonts w:ascii="UICTFontTextStyleBody" w:hAnsi="UICTFontTextStyleBody"/>
        </w:rPr>
        <w:t> </w:t>
      </w:r>
    </w:p>
    <w:p w14:paraId="4B3799AA" w14:textId="77777777" w:rsidR="005A15F8" w:rsidRDefault="005A15F8">
      <w:pPr>
        <w:pStyle w:val="p1"/>
      </w:pPr>
      <w:r>
        <w:rPr>
          <w:rStyle w:val="s5"/>
        </w:rPr>
        <w:t>Вирішив:</w:t>
      </w:r>
    </w:p>
    <w:p w14:paraId="2F0EF988" w14:textId="77777777" w:rsidR="005A15F8" w:rsidRDefault="005A15F8">
      <w:pPr>
        <w:pStyle w:val="p3"/>
      </w:pPr>
    </w:p>
    <w:p w14:paraId="6C87AA06" w14:textId="77777777" w:rsidR="005A15F8" w:rsidRDefault="005A15F8">
      <w:pPr>
        <w:pStyle w:val="p1"/>
      </w:pPr>
      <w:r>
        <w:rPr>
          <w:rStyle w:val="s1"/>
        </w:rPr>
        <w:t xml:space="preserve">1. В аспекті порушеного у конституційному поданні питання щодо конституційної процедури прийняття закону про внесення змін до Конституції України, якщо відповідний законопроект був попередньо схвалений більшістю від конституційного складу Верховної Ради України, але не розглядався на черговій сесії Верховної Ради України, положення "на наступній черговій сесії Верховної Ради України", застосоване у </w:t>
      </w:r>
      <w:hyperlink r:id="rId9" w:anchor="n4933" w:history="1">
        <w:r>
          <w:rPr>
            <w:rStyle w:val="s4"/>
            <w:color w:val="0000FF"/>
          </w:rPr>
          <w:t>статті 155</w:t>
        </w:r>
      </w:hyperlink>
      <w:r>
        <w:rPr>
          <w:rStyle w:val="s1"/>
        </w:rPr>
        <w:t xml:space="preserve"> Конституції України відповідно до її цілей, у взаємозв’язку з положеннями </w:t>
      </w:r>
      <w:hyperlink r:id="rId10" w:anchor="n4192" w:history="1">
        <w:r>
          <w:rPr>
            <w:rStyle w:val="s4"/>
            <w:color w:val="0000FF"/>
          </w:rPr>
          <w:t>частини другої статті 8</w:t>
        </w:r>
      </w:hyperlink>
      <w:r>
        <w:rPr>
          <w:rStyle w:val="s1"/>
        </w:rPr>
        <w:t xml:space="preserve">, </w:t>
      </w:r>
      <w:hyperlink r:id="rId11" w:anchor="n4447" w:history="1">
        <w:r>
          <w:rPr>
            <w:rStyle w:val="s4"/>
            <w:color w:val="0000FF"/>
          </w:rPr>
          <w:t>частини першої статті 82</w:t>
        </w:r>
      </w:hyperlink>
      <w:r>
        <w:rPr>
          <w:rStyle w:val="s1"/>
        </w:rPr>
        <w:t xml:space="preserve">, </w:t>
      </w:r>
      <w:hyperlink r:id="rId12" w:anchor="n4454" w:history="1">
        <w:r>
          <w:rPr>
            <w:rStyle w:val="s4"/>
            <w:color w:val="0000FF"/>
          </w:rPr>
          <w:t>частин першої</w:t>
        </w:r>
      </w:hyperlink>
      <w:r>
        <w:rPr>
          <w:rStyle w:val="s1"/>
        </w:rPr>
        <w:t xml:space="preserve">, </w:t>
      </w:r>
      <w:hyperlink r:id="rId13" w:anchor="n5038" w:history="1">
        <w:r>
          <w:rPr>
            <w:rStyle w:val="s4"/>
            <w:color w:val="0000FF"/>
          </w:rPr>
          <w:t>другої</w:t>
        </w:r>
      </w:hyperlink>
      <w:r>
        <w:rPr>
          <w:rStyle w:val="s1"/>
        </w:rPr>
        <w:t xml:space="preserve">, </w:t>
      </w:r>
      <w:hyperlink r:id="rId14" w:anchor="n5041" w:history="1">
        <w:r>
          <w:rPr>
            <w:rStyle w:val="s4"/>
            <w:color w:val="0000FF"/>
          </w:rPr>
          <w:t>п’ятої статті 83</w:t>
        </w:r>
      </w:hyperlink>
      <w:r>
        <w:rPr>
          <w:rStyle w:val="s1"/>
        </w:rPr>
        <w:t xml:space="preserve">, </w:t>
      </w:r>
      <w:hyperlink r:id="rId15" w:anchor="n4460" w:history="1">
        <w:r>
          <w:rPr>
            <w:rStyle w:val="s4"/>
            <w:color w:val="0000FF"/>
          </w:rPr>
          <w:t>частини другої статті 84</w:t>
        </w:r>
      </w:hyperlink>
      <w:r>
        <w:rPr>
          <w:rStyle w:val="s1"/>
        </w:rPr>
        <w:t xml:space="preserve">, </w:t>
      </w:r>
      <w:hyperlink r:id="rId16" w:anchor="n4938" w:history="1">
        <w:r>
          <w:rPr>
            <w:rStyle w:val="s4"/>
            <w:color w:val="0000FF"/>
          </w:rPr>
          <w:t>частини першої статті 158</w:t>
        </w:r>
      </w:hyperlink>
      <w:r>
        <w:rPr>
          <w:rStyle w:val="s1"/>
        </w:rPr>
        <w:t xml:space="preserve"> Основного Закону України необхідно розуміти так, що наступною черговою сесією Верховної Ради України є чергова сесія парламенту, яка має відбутися відповідно до положень </w:t>
      </w:r>
      <w:hyperlink r:id="rId17" w:anchor="n4931" w:history="1">
        <w:r>
          <w:rPr>
            <w:rStyle w:val="s4"/>
            <w:color w:val="0000FF"/>
          </w:rPr>
          <w:t>розділу XIII</w:t>
        </w:r>
      </w:hyperlink>
      <w:r>
        <w:rPr>
          <w:rStyle w:val="s1"/>
        </w:rPr>
        <w:t xml:space="preserve"> "Внесення змін до Конституції України" Основного Закону України та </w:t>
      </w:r>
      <w:hyperlink r:id="rId18" w:anchor="n22" w:history="1">
        <w:r>
          <w:rPr>
            <w:rStyle w:val="s4"/>
            <w:color w:val="0000FF"/>
          </w:rPr>
          <w:t>Регламенту Верховної Ради України</w:t>
        </w:r>
      </w:hyperlink>
      <w:r>
        <w:rPr>
          <w:rStyle w:val="s1"/>
        </w:rPr>
        <w:t xml:space="preserve"> і на якій законопроект про внесення змін до Конституції України, попередньо схвалений більшістю від конституційного складу Верховної Ради України, вважатиметься прийнятим як закон, якщо за нього проголосує не менш як дві третини від конституційного складу Верховної Ради України.</w:t>
      </w:r>
    </w:p>
    <w:p w14:paraId="2B929D4B" w14:textId="77777777" w:rsidR="005A15F8" w:rsidRDefault="005A15F8">
      <w:pPr>
        <w:pStyle w:val="p3"/>
      </w:pPr>
    </w:p>
    <w:p w14:paraId="32A91C7D" w14:textId="77777777" w:rsidR="005A15F8" w:rsidRDefault="005A15F8">
      <w:pPr>
        <w:pStyle w:val="p1"/>
      </w:pPr>
      <w:r>
        <w:rPr>
          <w:rStyle w:val="s1"/>
        </w:rPr>
        <w:t>2. Рішення Конституційного Суду України є обов’язковим до виконання на території України, остаточним і не може бути оскаржене.</w:t>
      </w:r>
    </w:p>
    <w:p w14:paraId="1CB6C3E0" w14:textId="77777777" w:rsidR="005A15F8" w:rsidRDefault="005A15F8">
      <w:pPr>
        <w:pStyle w:val="p3"/>
      </w:pPr>
    </w:p>
    <w:p w14:paraId="2A852166" w14:textId="77777777" w:rsidR="005A15F8" w:rsidRDefault="005A15F8">
      <w:pPr>
        <w:pStyle w:val="p1"/>
      </w:pPr>
      <w:r>
        <w:rPr>
          <w:rStyle w:val="s1"/>
        </w:rPr>
        <w:t>Рішення Конституційного Суду України підлягає опублікуванню у "Віснику Конституційного Суду України" та в інших офіційних виданнях України.</w:t>
      </w:r>
    </w:p>
    <w:p w14:paraId="505F024C" w14:textId="77777777" w:rsidR="005A15F8" w:rsidRDefault="005A15F8">
      <w:pPr>
        <w:pStyle w:val="p3"/>
      </w:pPr>
    </w:p>
    <w:p w14:paraId="67E7F8F2" w14:textId="77777777" w:rsidR="005A15F8" w:rsidRDefault="005A15F8">
      <w:pPr>
        <w:pStyle w:val="p2"/>
      </w:pPr>
      <w:r>
        <w:rPr>
          <w:rStyle w:val="s2"/>
        </w:rPr>
        <w:t>3</w:t>
      </w:r>
    </w:p>
    <w:p w14:paraId="494645DD" w14:textId="77777777" w:rsidR="005A15F8" w:rsidRDefault="005A15F8">
      <w:pPr>
        <w:pStyle w:val="p3"/>
      </w:pPr>
    </w:p>
    <w:p w14:paraId="27F302FB" w14:textId="77777777" w:rsidR="005A15F8" w:rsidRDefault="005A15F8">
      <w:pPr>
        <w:pStyle w:val="p1"/>
      </w:pPr>
      <w:r>
        <w:rPr>
          <w:rStyle w:val="s1"/>
        </w:rPr>
        <w:t>Вид діяльності -виробництво і торгівля спиртом етиловим, коньячним і плодовим та зерновим дистилятом, біоетанолом, алкогольними напоями та тютюновими виробами, рідинами, що використовуються в електронних сигаретах, і пальним, зберігання пального,</w:t>
      </w:r>
    </w:p>
    <w:p w14:paraId="30C62CE7" w14:textId="77777777" w:rsidR="005A15F8" w:rsidRDefault="005A15F8">
      <w:pPr>
        <w:pStyle w:val="p1"/>
      </w:pPr>
      <w:r>
        <w:rPr>
          <w:rStyle w:val="s1"/>
        </w:rPr>
        <w:t>Орган ліцензування- ДПС (Державна податкова служба), територіальні органи ДПС</w:t>
      </w:r>
    </w:p>
    <w:p w14:paraId="3DB56BF7" w14:textId="77777777" w:rsidR="005A15F8" w:rsidRDefault="005A15F8">
      <w:pPr>
        <w:pStyle w:val="p3"/>
      </w:pPr>
    </w:p>
    <w:p w14:paraId="219BA797" w14:textId="77777777" w:rsidR="00F760EE" w:rsidRDefault="005A15F8">
      <w:pPr>
        <w:pStyle w:val="p1"/>
        <w:rPr>
          <w:rStyle w:val="s1"/>
        </w:rPr>
      </w:pPr>
      <w:r>
        <w:rPr>
          <w:rStyle w:val="s1"/>
        </w:rPr>
        <w:t>Вид діяльності- діяльність на ринку</w:t>
      </w:r>
    </w:p>
    <w:p w14:paraId="73FBB898" w14:textId="4B8AA9A9" w:rsidR="005A15F8" w:rsidRDefault="005A15F8">
      <w:pPr>
        <w:pStyle w:val="p1"/>
      </w:pPr>
      <w:r>
        <w:rPr>
          <w:rStyle w:val="s1"/>
        </w:rPr>
        <w:t xml:space="preserve"> Орган ліцензування- азартних ігор</w:t>
      </w:r>
    </w:p>
    <w:p w14:paraId="1AE5A591" w14:textId="77777777" w:rsidR="005A15F8" w:rsidRDefault="005A15F8">
      <w:pPr>
        <w:pStyle w:val="p1"/>
      </w:pPr>
      <w:r>
        <w:rPr>
          <w:rStyle w:val="s1"/>
        </w:rPr>
        <w:t>Комісія з регулювання азартних ігор та лотерей</w:t>
      </w:r>
    </w:p>
    <w:p w14:paraId="706B95FC" w14:textId="77777777" w:rsidR="005A15F8" w:rsidRDefault="005A15F8"/>
    <w:sectPr w:rsidR="005A15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30CEC" w14:textId="77777777" w:rsidR="005A15F8" w:rsidRDefault="005A15F8" w:rsidP="005A15F8">
      <w:r>
        <w:separator/>
      </w:r>
    </w:p>
  </w:endnote>
  <w:endnote w:type="continuationSeparator" w:id="0">
    <w:p w14:paraId="2BEC9AC8" w14:textId="77777777" w:rsidR="005A15F8" w:rsidRDefault="005A15F8" w:rsidP="005A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5496F" w14:textId="77777777" w:rsidR="005A15F8" w:rsidRDefault="005A15F8" w:rsidP="005A15F8">
      <w:r>
        <w:separator/>
      </w:r>
    </w:p>
  </w:footnote>
  <w:footnote w:type="continuationSeparator" w:id="0">
    <w:p w14:paraId="4634C876" w14:textId="77777777" w:rsidR="005A15F8" w:rsidRDefault="005A15F8" w:rsidP="005A1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175BB"/>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0146884"/>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03D087E"/>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C717B11"/>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18F1637"/>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26671F1"/>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33698038">
    <w:abstractNumId w:val="4"/>
  </w:num>
  <w:num w:numId="2" w16cid:durableId="1799180736">
    <w:abstractNumId w:val="0"/>
  </w:num>
  <w:num w:numId="3" w16cid:durableId="2068843464">
    <w:abstractNumId w:val="5"/>
  </w:num>
  <w:num w:numId="4" w16cid:durableId="210269015">
    <w:abstractNumId w:val="3"/>
  </w:num>
  <w:num w:numId="5" w16cid:durableId="1720282553">
    <w:abstractNumId w:val="1"/>
  </w:num>
  <w:num w:numId="6" w16cid:durableId="1798140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F8"/>
    <w:rsid w:val="005A15F8"/>
    <w:rsid w:val="00F760E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D9E9E31"/>
  <w15:chartTrackingRefBased/>
  <w15:docId w15:val="{DD1A746F-F899-7149-9F06-7B81B5BC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UA"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5A15F8"/>
    <w:rPr>
      <w:rFonts w:ascii=".AppleSystemUIFont" w:hAnsi=".AppleSystemUIFont" w:cs="Times New Roman"/>
      <w:kern w:val="0"/>
      <w:sz w:val="26"/>
      <w:szCs w:val="26"/>
      <w14:ligatures w14:val="none"/>
    </w:rPr>
  </w:style>
  <w:style w:type="paragraph" w:customStyle="1" w:styleId="p2">
    <w:name w:val="p2"/>
    <w:basedOn w:val="a"/>
    <w:rsid w:val="005A15F8"/>
    <w:pPr>
      <w:spacing w:after="60"/>
    </w:pPr>
    <w:rPr>
      <w:rFonts w:ascii=".AppleSystemUIFont" w:hAnsi=".AppleSystemUIFont" w:cs="Times New Roman"/>
      <w:kern w:val="0"/>
      <w:sz w:val="33"/>
      <w:szCs w:val="33"/>
      <w14:ligatures w14:val="none"/>
    </w:rPr>
  </w:style>
  <w:style w:type="paragraph" w:customStyle="1" w:styleId="p3">
    <w:name w:val="p3"/>
    <w:basedOn w:val="a"/>
    <w:rsid w:val="005A15F8"/>
    <w:rPr>
      <w:rFonts w:ascii=".AppleSystemUIFont" w:hAnsi=".AppleSystemUIFont" w:cs="Times New Roman"/>
      <w:kern w:val="0"/>
      <w:sz w:val="26"/>
      <w:szCs w:val="26"/>
      <w14:ligatures w14:val="none"/>
    </w:rPr>
  </w:style>
  <w:style w:type="character" w:customStyle="1" w:styleId="s1">
    <w:name w:val="s1"/>
    <w:basedOn w:val="a0"/>
    <w:rsid w:val="005A15F8"/>
    <w:rPr>
      <w:rFonts w:ascii="UICTFontTextStyleBody" w:hAnsi="UICTFontTextStyleBody" w:hint="default"/>
      <w:b w:val="0"/>
      <w:bCs w:val="0"/>
      <w:i w:val="0"/>
      <w:iCs w:val="0"/>
      <w:sz w:val="26"/>
      <w:szCs w:val="26"/>
    </w:rPr>
  </w:style>
  <w:style w:type="character" w:customStyle="1" w:styleId="s2">
    <w:name w:val="s2"/>
    <w:basedOn w:val="a0"/>
    <w:rsid w:val="005A15F8"/>
    <w:rPr>
      <w:rFonts w:ascii="UICTFontTextStyleBody" w:hAnsi="UICTFontTextStyleBody" w:hint="default"/>
      <w:b/>
      <w:bCs/>
      <w:i w:val="0"/>
      <w:iCs w:val="0"/>
      <w:sz w:val="33"/>
      <w:szCs w:val="33"/>
    </w:rPr>
  </w:style>
  <w:style w:type="character" w:customStyle="1" w:styleId="s3">
    <w:name w:val="s3"/>
    <w:basedOn w:val="a0"/>
    <w:rsid w:val="005A15F8"/>
    <w:rPr>
      <w:rFonts w:ascii="UICTFontTextStyleEmphasizedBody" w:hAnsi="UICTFontTextStyleEmphasizedBody" w:hint="default"/>
      <w:b/>
      <w:bCs/>
      <w:i w:val="0"/>
      <w:iCs w:val="0"/>
      <w:sz w:val="26"/>
      <w:szCs w:val="26"/>
    </w:rPr>
  </w:style>
  <w:style w:type="character" w:customStyle="1" w:styleId="s4">
    <w:name w:val="s4"/>
    <w:basedOn w:val="a0"/>
    <w:rsid w:val="005A15F8"/>
    <w:rPr>
      <w:rFonts w:ascii="UICTFontTextStyleBody" w:hAnsi="UICTFontTextStyleBody" w:hint="default"/>
      <w:b w:val="0"/>
      <w:bCs w:val="0"/>
      <w:i w:val="0"/>
      <w:iCs w:val="0"/>
      <w:sz w:val="26"/>
      <w:szCs w:val="26"/>
      <w:u w:val="single"/>
    </w:rPr>
  </w:style>
  <w:style w:type="character" w:customStyle="1" w:styleId="s5">
    <w:name w:val="s5"/>
    <w:basedOn w:val="a0"/>
    <w:rsid w:val="005A15F8"/>
    <w:rPr>
      <w:rFonts w:ascii="UICTFontTextStyleBody" w:hAnsi="UICTFontTextStyleBody" w:hint="default"/>
      <w:b/>
      <w:bCs/>
      <w:i w:val="0"/>
      <w:iCs w:val="0"/>
      <w:sz w:val="26"/>
      <w:szCs w:val="26"/>
    </w:rPr>
  </w:style>
  <w:style w:type="paragraph" w:customStyle="1" w:styleId="li1">
    <w:name w:val="li1"/>
    <w:basedOn w:val="a"/>
    <w:rsid w:val="005A15F8"/>
    <w:rPr>
      <w:rFonts w:ascii=".AppleSystemUIFont" w:hAnsi=".AppleSystemUIFont" w:cs="Times New Roman"/>
      <w:kern w:val="0"/>
      <w:sz w:val="26"/>
      <w:szCs w:val="26"/>
      <w14:ligatures w14:val="none"/>
    </w:rPr>
  </w:style>
  <w:style w:type="character" w:customStyle="1" w:styleId="apple-converted-space">
    <w:name w:val="apple-converted-space"/>
    <w:basedOn w:val="a0"/>
    <w:rsid w:val="005A15F8"/>
  </w:style>
  <w:style w:type="paragraph" w:styleId="a3">
    <w:name w:val="header"/>
    <w:basedOn w:val="a"/>
    <w:link w:val="a4"/>
    <w:uiPriority w:val="99"/>
    <w:unhideWhenUsed/>
    <w:rsid w:val="005A15F8"/>
    <w:pPr>
      <w:tabs>
        <w:tab w:val="center" w:pos="4513"/>
        <w:tab w:val="right" w:pos="9026"/>
      </w:tabs>
    </w:pPr>
  </w:style>
  <w:style w:type="character" w:customStyle="1" w:styleId="a4">
    <w:name w:val="Верхний колонтитул Знак"/>
    <w:basedOn w:val="a0"/>
    <w:link w:val="a3"/>
    <w:uiPriority w:val="99"/>
    <w:rsid w:val="005A15F8"/>
  </w:style>
  <w:style w:type="paragraph" w:styleId="a5">
    <w:name w:val="footer"/>
    <w:basedOn w:val="a"/>
    <w:link w:val="a6"/>
    <w:uiPriority w:val="99"/>
    <w:unhideWhenUsed/>
    <w:rsid w:val="005A15F8"/>
    <w:pPr>
      <w:tabs>
        <w:tab w:val="center" w:pos="4513"/>
        <w:tab w:val="right" w:pos="9026"/>
      </w:tabs>
    </w:pPr>
  </w:style>
  <w:style w:type="character" w:customStyle="1" w:styleId="a6">
    <w:name w:val="Нижний колонтитул Знак"/>
    <w:basedOn w:val="a0"/>
    <w:link w:val="a5"/>
    <w:uiPriority w:val="99"/>
    <w:rsid w:val="005A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54%D0%BA/96-%D0%B2%D1%80" TargetMode="External"/><Relationship Id="rId18" Type="http://schemas.openxmlformats.org/officeDocument/2006/relationships/hyperlink" Target="https://zakon.rada.gov.ua/laws/show/1861-17" TargetMode="Externa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254%D0%BA/96-%D0%B2%D1%80" TargetMode="External"/><Relationship Id="rId17" Type="http://schemas.openxmlformats.org/officeDocument/2006/relationships/hyperlink" Target="https://zakon.rada.gov.ua/laws/show/254%D0%BA/96-%D0%B2%D1%80" TargetMode="External"/><Relationship Id="rId2" Type="http://schemas.openxmlformats.org/officeDocument/2006/relationships/styles" Target="styles.xml"/><Relationship Id="rId16" Type="http://schemas.openxmlformats.org/officeDocument/2006/relationships/hyperlink" Target="https://zakon.rada.gov.ua/laws/show/254%D0%BA/96-%D0%B2%D1%8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54%D0%BA/96-%D0%B2%D1%80" TargetMode="External"/><Relationship Id="rId5" Type="http://schemas.openxmlformats.org/officeDocument/2006/relationships/footnotes" Target="footnotes.xml"/><Relationship Id="rId15" Type="http://schemas.openxmlformats.org/officeDocument/2006/relationships/hyperlink" Target="https://zakon.rada.gov.ua/laws/show/254%D0%BA/96-%D0%B2%D1%80" TargetMode="External"/><Relationship Id="rId10" Type="http://schemas.openxmlformats.org/officeDocument/2006/relationships/hyperlink" Target="https://zakon.rada.gov.ua/laws/show/254%D0%BA/96-%D0%B2%D1%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4413</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Kseniya Kurinnaya</dc:creator>
  <cp:keywords/>
  <dc:description/>
  <cp:lastModifiedBy>Kseniya Kurinnaya</cp:lastModifiedBy>
  <cp:revision>2</cp:revision>
  <dcterms:created xsi:type="dcterms:W3CDTF">2023-09-21T18:22:00Z</dcterms:created>
  <dcterms:modified xsi:type="dcterms:W3CDTF">2023-09-21T18:22:00Z</dcterms:modified>
</cp:coreProperties>
</file>