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96" w:rsidRDefault="009C3896" w:rsidP="00FA6FBD">
      <w:pPr>
        <w:jc w:val="center"/>
      </w:pPr>
      <w:r>
        <w:t>Предмет: ОСНОВЫ КУЛЬТУРНОЙ ПОЛИТИКИ</w:t>
      </w:r>
    </w:p>
    <w:p w:rsidR="009C3896" w:rsidRDefault="009C3896" w:rsidP="00FA6FBD">
      <w:pPr>
        <w:jc w:val="center"/>
      </w:pPr>
    </w:p>
    <w:p w:rsidR="00FA6FBD" w:rsidRDefault="00FA6FBD" w:rsidP="00FA6FBD">
      <w:pPr>
        <w:spacing w:after="200" w:line="276" w:lineRule="auto"/>
        <w:jc w:val="center"/>
      </w:pPr>
    </w:p>
    <w:p w:rsidR="00FA6FBD" w:rsidRDefault="00FA6FBD" w:rsidP="00FA6FBD">
      <w:pPr>
        <w:spacing w:after="200" w:line="276" w:lineRule="auto"/>
        <w:jc w:val="center"/>
      </w:pPr>
    </w:p>
    <w:p w:rsidR="00FA6FBD" w:rsidRDefault="00FA6FBD" w:rsidP="00FA6FBD">
      <w:pPr>
        <w:spacing w:after="200" w:line="276" w:lineRule="auto"/>
        <w:jc w:val="center"/>
      </w:pPr>
    </w:p>
    <w:p w:rsidR="00FA6FBD" w:rsidRDefault="00FA6FBD" w:rsidP="00FA6FBD">
      <w:pPr>
        <w:spacing w:after="200" w:line="276" w:lineRule="auto"/>
        <w:jc w:val="center"/>
      </w:pPr>
    </w:p>
    <w:p w:rsidR="00FA6FBD" w:rsidRDefault="00FA6FBD" w:rsidP="00FA6FBD">
      <w:pPr>
        <w:spacing w:after="200" w:line="276" w:lineRule="auto"/>
        <w:jc w:val="center"/>
      </w:pPr>
    </w:p>
    <w:p w:rsidR="00FA6FBD" w:rsidRDefault="00FA6FBD" w:rsidP="00FA6FBD">
      <w:pPr>
        <w:spacing w:after="200" w:line="276" w:lineRule="auto"/>
        <w:jc w:val="center"/>
      </w:pPr>
      <w:r>
        <w:t>Контрольная работа</w:t>
      </w:r>
    </w:p>
    <w:p w:rsidR="00827715" w:rsidRDefault="00E87F8E" w:rsidP="00FA6FBD">
      <w:pPr>
        <w:spacing w:after="200" w:line="276" w:lineRule="auto"/>
        <w:jc w:val="center"/>
        <w:rPr>
          <w:highlight w:val="red"/>
        </w:rPr>
      </w:pPr>
      <w:r>
        <w:t>«</w:t>
      </w:r>
      <w:r w:rsidRPr="00E87F8E">
        <w:t>Формы досуга. Организация досуга как прикла</w:t>
      </w:r>
      <w:r>
        <w:t>дной аспект культурной политики»</w:t>
      </w:r>
      <w:r>
        <w:rPr>
          <w:highlight w:val="red"/>
        </w:rPr>
        <w:br w:type="page"/>
      </w:r>
    </w:p>
    <w:sdt>
      <w:sdtPr>
        <w:rPr>
          <w:rFonts w:ascii="Times New Roman" w:eastAsia="Calibri" w:hAnsi="Times New Roman" w:cstheme="minorBidi"/>
          <w:b w:val="0"/>
          <w:bCs w:val="0"/>
          <w:color w:val="auto"/>
          <w:szCs w:val="24"/>
          <w:lang w:val="uk-UA"/>
        </w:rPr>
        <w:id w:val="590659990"/>
        <w:docPartObj>
          <w:docPartGallery w:val="Table of Contents"/>
          <w:docPartUnique/>
        </w:docPartObj>
      </w:sdtPr>
      <w:sdtEndPr/>
      <w:sdtContent>
        <w:p w:rsidR="00827715" w:rsidRPr="00FA6FBD" w:rsidRDefault="00FA6FBD" w:rsidP="00FA6FBD">
          <w:pPr>
            <w:pStyle w:val="ab"/>
            <w:spacing w:after="240"/>
            <w:jc w:val="center"/>
            <w:rPr>
              <w:rFonts w:ascii="Times New Roman" w:hAnsi="Times New Roman" w:cs="Times New Roman"/>
              <w:color w:val="auto"/>
            </w:rPr>
          </w:pPr>
          <w:r w:rsidRPr="00FA6FBD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827715" w:rsidRPr="00FA6FBD" w:rsidRDefault="00827715" w:rsidP="00FA6FBD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5540962" w:history="1">
            <w:r w:rsidRPr="00FA6FBD">
              <w:rPr>
                <w:rStyle w:val="a6"/>
                <w:rFonts w:cs="Times New Roman"/>
                <w:noProof/>
              </w:rPr>
              <w:t>ВВЕДЕНИЕ</w:t>
            </w:r>
            <w:r w:rsidRPr="00FA6FBD">
              <w:rPr>
                <w:noProof/>
                <w:webHidden/>
              </w:rPr>
              <w:tab/>
            </w:r>
            <w:r w:rsidRPr="00FA6FBD">
              <w:rPr>
                <w:noProof/>
                <w:webHidden/>
              </w:rPr>
              <w:fldChar w:fldCharType="begin"/>
            </w:r>
            <w:r w:rsidRPr="00FA6FBD">
              <w:rPr>
                <w:noProof/>
                <w:webHidden/>
              </w:rPr>
              <w:instrText xml:space="preserve"> PAGEREF _Toc85540962 \h </w:instrText>
            </w:r>
            <w:r w:rsidRPr="00FA6FBD">
              <w:rPr>
                <w:noProof/>
                <w:webHidden/>
              </w:rPr>
            </w:r>
            <w:r w:rsidRPr="00FA6FBD">
              <w:rPr>
                <w:noProof/>
                <w:webHidden/>
              </w:rPr>
              <w:fldChar w:fldCharType="separate"/>
            </w:r>
            <w:r w:rsidR="00F96A1C">
              <w:rPr>
                <w:noProof/>
                <w:webHidden/>
              </w:rPr>
              <w:t>3</w:t>
            </w:r>
            <w:r w:rsidRPr="00FA6FBD">
              <w:rPr>
                <w:noProof/>
                <w:webHidden/>
              </w:rPr>
              <w:fldChar w:fldCharType="end"/>
            </w:r>
          </w:hyperlink>
        </w:p>
        <w:p w:rsidR="00827715" w:rsidRPr="00FA6FBD" w:rsidRDefault="00C7145A" w:rsidP="00FA6FBD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85540963" w:history="1">
            <w:r w:rsidR="00827715" w:rsidRPr="00FA6FBD">
              <w:rPr>
                <w:rStyle w:val="a6"/>
                <w:rFonts w:cs="Times New Roman"/>
                <w:noProof/>
              </w:rPr>
              <w:t>РАЗДЕЛ 1. ХАРАКТЕРИСТИКА ДОСУГА</w:t>
            </w:r>
            <w:r w:rsidR="00827715" w:rsidRPr="00FA6FBD">
              <w:rPr>
                <w:noProof/>
                <w:webHidden/>
              </w:rPr>
              <w:tab/>
            </w:r>
            <w:r w:rsidR="00827715" w:rsidRPr="00FA6FBD">
              <w:rPr>
                <w:noProof/>
                <w:webHidden/>
              </w:rPr>
              <w:fldChar w:fldCharType="begin"/>
            </w:r>
            <w:r w:rsidR="00827715" w:rsidRPr="00FA6FBD">
              <w:rPr>
                <w:noProof/>
                <w:webHidden/>
              </w:rPr>
              <w:instrText xml:space="preserve"> PAGEREF _Toc85540963 \h </w:instrText>
            </w:r>
            <w:r w:rsidR="00827715" w:rsidRPr="00FA6FBD">
              <w:rPr>
                <w:noProof/>
                <w:webHidden/>
              </w:rPr>
            </w:r>
            <w:r w:rsidR="00827715" w:rsidRPr="00FA6FBD">
              <w:rPr>
                <w:noProof/>
                <w:webHidden/>
              </w:rPr>
              <w:fldChar w:fldCharType="separate"/>
            </w:r>
            <w:r w:rsidR="00F96A1C">
              <w:rPr>
                <w:noProof/>
                <w:webHidden/>
              </w:rPr>
              <w:t>4</w:t>
            </w:r>
            <w:r w:rsidR="00827715" w:rsidRPr="00FA6FBD">
              <w:rPr>
                <w:noProof/>
                <w:webHidden/>
              </w:rPr>
              <w:fldChar w:fldCharType="end"/>
            </w:r>
          </w:hyperlink>
        </w:p>
        <w:p w:rsidR="00827715" w:rsidRPr="00FA6FBD" w:rsidRDefault="00C7145A" w:rsidP="00FA6FBD">
          <w:pPr>
            <w:pStyle w:val="21"/>
            <w:tabs>
              <w:tab w:val="left" w:pos="1100"/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85540964" w:history="1">
            <w:r w:rsidR="00827715" w:rsidRPr="00FA6FBD">
              <w:rPr>
                <w:rStyle w:val="a6"/>
                <w:noProof/>
              </w:rPr>
              <w:t>1.1.</w:t>
            </w:r>
            <w:r w:rsidR="00827715" w:rsidRPr="00FA6FB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827715" w:rsidRPr="00FA6FBD">
              <w:rPr>
                <w:rStyle w:val="a6"/>
                <w:noProof/>
              </w:rPr>
              <w:t>Понятие «Досуг» и его классификация</w:t>
            </w:r>
            <w:r w:rsidR="00827715" w:rsidRPr="00FA6FBD">
              <w:rPr>
                <w:noProof/>
                <w:webHidden/>
              </w:rPr>
              <w:tab/>
            </w:r>
            <w:r w:rsidR="00827715" w:rsidRPr="00FA6FBD">
              <w:rPr>
                <w:noProof/>
                <w:webHidden/>
              </w:rPr>
              <w:fldChar w:fldCharType="begin"/>
            </w:r>
            <w:r w:rsidR="00827715" w:rsidRPr="00FA6FBD">
              <w:rPr>
                <w:noProof/>
                <w:webHidden/>
              </w:rPr>
              <w:instrText xml:space="preserve"> PAGEREF _Toc85540964 \h </w:instrText>
            </w:r>
            <w:r w:rsidR="00827715" w:rsidRPr="00FA6FBD">
              <w:rPr>
                <w:noProof/>
                <w:webHidden/>
              </w:rPr>
            </w:r>
            <w:r w:rsidR="00827715" w:rsidRPr="00FA6FBD">
              <w:rPr>
                <w:noProof/>
                <w:webHidden/>
              </w:rPr>
              <w:fldChar w:fldCharType="separate"/>
            </w:r>
            <w:r w:rsidR="00F96A1C">
              <w:rPr>
                <w:noProof/>
                <w:webHidden/>
              </w:rPr>
              <w:t>4</w:t>
            </w:r>
            <w:r w:rsidR="00827715" w:rsidRPr="00FA6FBD">
              <w:rPr>
                <w:noProof/>
                <w:webHidden/>
              </w:rPr>
              <w:fldChar w:fldCharType="end"/>
            </w:r>
          </w:hyperlink>
        </w:p>
        <w:p w:rsidR="00827715" w:rsidRPr="00FA6FBD" w:rsidRDefault="00C7145A" w:rsidP="00FA6FBD">
          <w:pPr>
            <w:pStyle w:val="21"/>
            <w:tabs>
              <w:tab w:val="left" w:pos="1100"/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85540965" w:history="1">
            <w:r w:rsidR="00827715" w:rsidRPr="00FA6FBD">
              <w:rPr>
                <w:rStyle w:val="a6"/>
                <w:noProof/>
              </w:rPr>
              <w:t>1.2.</w:t>
            </w:r>
            <w:r w:rsidR="00827715" w:rsidRPr="00FA6FB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827715" w:rsidRPr="00FA6FBD">
              <w:rPr>
                <w:rStyle w:val="a6"/>
                <w:noProof/>
              </w:rPr>
              <w:t>Особенности форм досуга</w:t>
            </w:r>
            <w:r w:rsidR="00827715" w:rsidRPr="00FA6FBD">
              <w:rPr>
                <w:noProof/>
                <w:webHidden/>
              </w:rPr>
              <w:tab/>
            </w:r>
            <w:r w:rsidR="00827715" w:rsidRPr="00FA6FBD">
              <w:rPr>
                <w:noProof/>
                <w:webHidden/>
              </w:rPr>
              <w:fldChar w:fldCharType="begin"/>
            </w:r>
            <w:r w:rsidR="00827715" w:rsidRPr="00FA6FBD">
              <w:rPr>
                <w:noProof/>
                <w:webHidden/>
              </w:rPr>
              <w:instrText xml:space="preserve"> PAGEREF _Toc85540965 \h </w:instrText>
            </w:r>
            <w:r w:rsidR="00827715" w:rsidRPr="00FA6FBD">
              <w:rPr>
                <w:noProof/>
                <w:webHidden/>
              </w:rPr>
            </w:r>
            <w:r w:rsidR="00827715" w:rsidRPr="00FA6FBD">
              <w:rPr>
                <w:noProof/>
                <w:webHidden/>
              </w:rPr>
              <w:fldChar w:fldCharType="separate"/>
            </w:r>
            <w:r w:rsidR="00F96A1C">
              <w:rPr>
                <w:noProof/>
                <w:webHidden/>
              </w:rPr>
              <w:t>6</w:t>
            </w:r>
            <w:r w:rsidR="00827715" w:rsidRPr="00FA6FBD">
              <w:rPr>
                <w:noProof/>
                <w:webHidden/>
              </w:rPr>
              <w:fldChar w:fldCharType="end"/>
            </w:r>
          </w:hyperlink>
        </w:p>
        <w:p w:rsidR="00827715" w:rsidRPr="00FA6FBD" w:rsidRDefault="00C7145A" w:rsidP="00FA6FBD">
          <w:pPr>
            <w:pStyle w:val="21"/>
            <w:tabs>
              <w:tab w:val="left" w:pos="1100"/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85540966" w:history="1">
            <w:r w:rsidR="00827715" w:rsidRPr="00FA6FBD">
              <w:rPr>
                <w:rStyle w:val="a6"/>
                <w:noProof/>
              </w:rPr>
              <w:t>1.3.</w:t>
            </w:r>
            <w:r w:rsidR="00827715" w:rsidRPr="00FA6FB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827715" w:rsidRPr="00FA6FBD">
              <w:rPr>
                <w:rStyle w:val="a6"/>
                <w:noProof/>
              </w:rPr>
              <w:t>Принципы организации досуга</w:t>
            </w:r>
            <w:r w:rsidR="00827715" w:rsidRPr="00FA6FBD">
              <w:rPr>
                <w:noProof/>
                <w:webHidden/>
              </w:rPr>
              <w:tab/>
            </w:r>
            <w:r w:rsidR="00827715" w:rsidRPr="00FA6FBD">
              <w:rPr>
                <w:noProof/>
                <w:webHidden/>
              </w:rPr>
              <w:fldChar w:fldCharType="begin"/>
            </w:r>
            <w:r w:rsidR="00827715" w:rsidRPr="00FA6FBD">
              <w:rPr>
                <w:noProof/>
                <w:webHidden/>
              </w:rPr>
              <w:instrText xml:space="preserve"> PAGEREF _Toc85540966 \h </w:instrText>
            </w:r>
            <w:r w:rsidR="00827715" w:rsidRPr="00FA6FBD">
              <w:rPr>
                <w:noProof/>
                <w:webHidden/>
              </w:rPr>
            </w:r>
            <w:r w:rsidR="00827715" w:rsidRPr="00FA6FBD">
              <w:rPr>
                <w:noProof/>
                <w:webHidden/>
              </w:rPr>
              <w:fldChar w:fldCharType="separate"/>
            </w:r>
            <w:r w:rsidR="00F96A1C">
              <w:rPr>
                <w:noProof/>
                <w:webHidden/>
              </w:rPr>
              <w:t>7</w:t>
            </w:r>
            <w:r w:rsidR="00827715" w:rsidRPr="00FA6FBD">
              <w:rPr>
                <w:noProof/>
                <w:webHidden/>
              </w:rPr>
              <w:fldChar w:fldCharType="end"/>
            </w:r>
          </w:hyperlink>
        </w:p>
        <w:p w:rsidR="00827715" w:rsidRPr="00FA6FBD" w:rsidRDefault="00C7145A" w:rsidP="00FA6FBD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85540967" w:history="1">
            <w:r w:rsidR="00827715" w:rsidRPr="00FA6FBD">
              <w:rPr>
                <w:rStyle w:val="a6"/>
                <w:noProof/>
              </w:rPr>
              <w:t>РАЗДЕЛ 2. ОРГАНИЗАЦИЯ ДОСУГА ЗАРУБЕЖНЫХ СТРАН КАК ПРИКЛАДНОЙ АСПЕКТ КУЛЬТУРНОЙ ПОЛИТИКИ</w:t>
            </w:r>
            <w:r w:rsidR="00827715" w:rsidRPr="00FA6FBD">
              <w:rPr>
                <w:noProof/>
                <w:webHidden/>
              </w:rPr>
              <w:tab/>
            </w:r>
            <w:r w:rsidR="00827715" w:rsidRPr="00FA6FBD">
              <w:rPr>
                <w:noProof/>
                <w:webHidden/>
              </w:rPr>
              <w:fldChar w:fldCharType="begin"/>
            </w:r>
            <w:r w:rsidR="00827715" w:rsidRPr="00FA6FBD">
              <w:rPr>
                <w:noProof/>
                <w:webHidden/>
              </w:rPr>
              <w:instrText xml:space="preserve"> PAGEREF _Toc85540967 \h </w:instrText>
            </w:r>
            <w:r w:rsidR="00827715" w:rsidRPr="00FA6FBD">
              <w:rPr>
                <w:noProof/>
                <w:webHidden/>
              </w:rPr>
            </w:r>
            <w:r w:rsidR="00827715" w:rsidRPr="00FA6FBD">
              <w:rPr>
                <w:noProof/>
                <w:webHidden/>
              </w:rPr>
              <w:fldChar w:fldCharType="separate"/>
            </w:r>
            <w:r w:rsidR="00F96A1C">
              <w:rPr>
                <w:noProof/>
                <w:webHidden/>
              </w:rPr>
              <w:t>11</w:t>
            </w:r>
            <w:r w:rsidR="00827715" w:rsidRPr="00FA6FBD">
              <w:rPr>
                <w:noProof/>
                <w:webHidden/>
              </w:rPr>
              <w:fldChar w:fldCharType="end"/>
            </w:r>
          </w:hyperlink>
        </w:p>
        <w:p w:rsidR="00827715" w:rsidRPr="00FA6FBD" w:rsidRDefault="00C7145A" w:rsidP="00FA6FBD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85540968" w:history="1">
            <w:r w:rsidR="00827715" w:rsidRPr="00FA6FBD">
              <w:rPr>
                <w:rStyle w:val="a6"/>
                <w:rFonts w:cs="Times New Roman"/>
                <w:noProof/>
              </w:rPr>
              <w:t>Заключение</w:t>
            </w:r>
            <w:r w:rsidR="00827715" w:rsidRPr="00FA6FBD">
              <w:rPr>
                <w:noProof/>
                <w:webHidden/>
              </w:rPr>
              <w:tab/>
            </w:r>
            <w:r w:rsidR="00827715" w:rsidRPr="00FA6FBD">
              <w:rPr>
                <w:noProof/>
                <w:webHidden/>
              </w:rPr>
              <w:fldChar w:fldCharType="begin"/>
            </w:r>
            <w:r w:rsidR="00827715" w:rsidRPr="00FA6FBD">
              <w:rPr>
                <w:noProof/>
                <w:webHidden/>
              </w:rPr>
              <w:instrText xml:space="preserve"> PAGEREF _Toc85540968 \h </w:instrText>
            </w:r>
            <w:r w:rsidR="00827715" w:rsidRPr="00FA6FBD">
              <w:rPr>
                <w:noProof/>
                <w:webHidden/>
              </w:rPr>
            </w:r>
            <w:r w:rsidR="00827715" w:rsidRPr="00FA6FBD">
              <w:rPr>
                <w:noProof/>
                <w:webHidden/>
              </w:rPr>
              <w:fldChar w:fldCharType="separate"/>
            </w:r>
            <w:r w:rsidR="00F96A1C">
              <w:rPr>
                <w:noProof/>
                <w:webHidden/>
              </w:rPr>
              <w:t>24</w:t>
            </w:r>
            <w:r w:rsidR="00827715" w:rsidRPr="00FA6FBD">
              <w:rPr>
                <w:noProof/>
                <w:webHidden/>
              </w:rPr>
              <w:fldChar w:fldCharType="end"/>
            </w:r>
          </w:hyperlink>
        </w:p>
        <w:p w:rsidR="00827715" w:rsidRDefault="00C7145A" w:rsidP="00FA6FBD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85540969" w:history="1">
            <w:r w:rsidR="00827715" w:rsidRPr="00FA6FBD">
              <w:rPr>
                <w:rStyle w:val="a6"/>
                <w:noProof/>
              </w:rPr>
              <w:t>Список литературы</w:t>
            </w:r>
            <w:r w:rsidR="00827715" w:rsidRPr="00FA6FBD">
              <w:rPr>
                <w:noProof/>
                <w:webHidden/>
              </w:rPr>
              <w:tab/>
            </w:r>
            <w:r w:rsidR="00827715" w:rsidRPr="00FA6FBD">
              <w:rPr>
                <w:noProof/>
                <w:webHidden/>
              </w:rPr>
              <w:fldChar w:fldCharType="begin"/>
            </w:r>
            <w:r w:rsidR="00827715" w:rsidRPr="00FA6FBD">
              <w:rPr>
                <w:noProof/>
                <w:webHidden/>
              </w:rPr>
              <w:instrText xml:space="preserve"> PAGEREF _Toc85540969 \h </w:instrText>
            </w:r>
            <w:r w:rsidR="00827715" w:rsidRPr="00FA6FBD">
              <w:rPr>
                <w:noProof/>
                <w:webHidden/>
              </w:rPr>
            </w:r>
            <w:r w:rsidR="00827715" w:rsidRPr="00FA6FBD">
              <w:rPr>
                <w:noProof/>
                <w:webHidden/>
              </w:rPr>
              <w:fldChar w:fldCharType="separate"/>
            </w:r>
            <w:r w:rsidR="00F96A1C">
              <w:rPr>
                <w:noProof/>
                <w:webHidden/>
              </w:rPr>
              <w:t>25</w:t>
            </w:r>
            <w:r w:rsidR="00827715" w:rsidRPr="00FA6FBD">
              <w:rPr>
                <w:noProof/>
                <w:webHidden/>
              </w:rPr>
              <w:fldChar w:fldCharType="end"/>
            </w:r>
          </w:hyperlink>
        </w:p>
        <w:p w:rsidR="00827715" w:rsidRDefault="00827715">
          <w:r>
            <w:rPr>
              <w:b/>
              <w:bCs/>
              <w:lang w:val="uk-UA"/>
            </w:rPr>
            <w:fldChar w:fldCharType="end"/>
          </w:r>
        </w:p>
      </w:sdtContent>
    </w:sdt>
    <w:p w:rsidR="00E87F8E" w:rsidRDefault="00E87F8E">
      <w:pPr>
        <w:spacing w:after="200" w:line="276" w:lineRule="auto"/>
        <w:rPr>
          <w:highlight w:val="red"/>
        </w:rPr>
      </w:pPr>
    </w:p>
    <w:p w:rsidR="00827715" w:rsidRDefault="00827715">
      <w:pPr>
        <w:spacing w:after="200" w:line="276" w:lineRule="auto"/>
        <w:rPr>
          <w:highlight w:val="red"/>
        </w:rPr>
      </w:pPr>
      <w:r>
        <w:rPr>
          <w:highlight w:val="red"/>
        </w:rPr>
        <w:br w:type="page"/>
      </w:r>
    </w:p>
    <w:p w:rsidR="009C3896" w:rsidRPr="00827715" w:rsidRDefault="009C3896" w:rsidP="00827715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85540962"/>
      <w:r w:rsidRPr="00827715">
        <w:rPr>
          <w:rFonts w:ascii="Times New Roman" w:hAnsi="Times New Roman" w:cs="Times New Roman"/>
          <w:color w:val="auto"/>
        </w:rPr>
        <w:lastRenderedPageBreak/>
        <w:t>В</w:t>
      </w:r>
      <w:r w:rsidR="00E87F8E" w:rsidRPr="00827715">
        <w:rPr>
          <w:rFonts w:ascii="Times New Roman" w:hAnsi="Times New Roman" w:cs="Times New Roman"/>
          <w:color w:val="auto"/>
        </w:rPr>
        <w:t>ВЕД</w:t>
      </w:r>
      <w:r w:rsidRPr="00827715">
        <w:rPr>
          <w:rFonts w:ascii="Times New Roman" w:hAnsi="Times New Roman" w:cs="Times New Roman"/>
          <w:color w:val="auto"/>
        </w:rPr>
        <w:t>ЕНИЕ</w:t>
      </w:r>
      <w:bookmarkEnd w:id="0"/>
    </w:p>
    <w:p w:rsidR="00E87F8E" w:rsidRPr="00827715" w:rsidRDefault="00E87F8E" w:rsidP="00827715">
      <w:pPr>
        <w:pStyle w:val="1"/>
        <w:rPr>
          <w:b w:val="0"/>
        </w:rPr>
      </w:pPr>
    </w:p>
    <w:p w:rsidR="009C3896" w:rsidRPr="006D397B" w:rsidRDefault="00672317" w:rsidP="00672317">
      <w:pPr>
        <w:spacing w:line="360" w:lineRule="auto"/>
        <w:ind w:firstLine="708"/>
        <w:jc w:val="both"/>
      </w:pPr>
      <w:r w:rsidRPr="006D397B">
        <w:rPr>
          <w:b/>
        </w:rPr>
        <w:t>Актуальность работы.</w:t>
      </w:r>
      <w:r w:rsidRPr="006D397B">
        <w:t xml:space="preserve"> </w:t>
      </w:r>
      <w:r w:rsidR="009C3896" w:rsidRPr="006D397B">
        <w:t xml:space="preserve">Радикальные изменения, в частности, политические и экономические реформы создают новые условия для развития </w:t>
      </w:r>
      <w:r w:rsidR="00E87F8E" w:rsidRPr="006D397B">
        <w:t xml:space="preserve"> </w:t>
      </w:r>
      <w:r w:rsidR="009C3896" w:rsidRPr="006D397B">
        <w:t xml:space="preserve">культуры, </w:t>
      </w:r>
      <w:r w:rsidR="00E87F8E" w:rsidRPr="006D397B">
        <w:t xml:space="preserve">с целью </w:t>
      </w:r>
      <w:r w:rsidR="009C3896" w:rsidRPr="006D397B">
        <w:t>удовлетворения ду</w:t>
      </w:r>
      <w:r w:rsidR="00E87F8E" w:rsidRPr="006D397B">
        <w:t xml:space="preserve">ховных интересов и рекреативных </w:t>
      </w:r>
      <w:r w:rsidR="009C3896" w:rsidRPr="006D397B">
        <w:t>потребностей человека и привлечения е</w:t>
      </w:r>
      <w:r w:rsidR="00E87F8E" w:rsidRPr="006D397B">
        <w:t>го</w:t>
      </w:r>
      <w:r w:rsidR="009C3896" w:rsidRPr="006D397B">
        <w:t xml:space="preserve"> к социально-культурно</w:t>
      </w:r>
      <w:r w:rsidR="00E87F8E" w:rsidRPr="006D397B">
        <w:t xml:space="preserve">му </w:t>
      </w:r>
      <w:r w:rsidR="009C3896" w:rsidRPr="006D397B">
        <w:t>творчеств</w:t>
      </w:r>
      <w:r w:rsidR="00E87F8E" w:rsidRPr="006D397B">
        <w:t>у</w:t>
      </w:r>
      <w:r w:rsidRPr="006D397B">
        <w:t>. Все э</w:t>
      </w:r>
      <w:r w:rsidR="009C3896" w:rsidRPr="006D397B">
        <w:t xml:space="preserve">то требует научного исследования сущности, природы и специфики </w:t>
      </w:r>
      <w:proofErr w:type="spellStart"/>
      <w:r w:rsidR="009C3896" w:rsidRPr="006D397B">
        <w:t>культуротворческого</w:t>
      </w:r>
      <w:proofErr w:type="spellEnd"/>
      <w:r w:rsidR="009C3896" w:rsidRPr="006D397B">
        <w:t xml:space="preserve"> процесса в целом, и его особой разновидности - сферы досуга в частности, специфика котор</w:t>
      </w:r>
      <w:r w:rsidR="00DD1E92" w:rsidRPr="006D397B">
        <w:t>ой</w:t>
      </w:r>
      <w:r w:rsidR="009C3896" w:rsidRPr="006D397B">
        <w:t xml:space="preserve"> остро проявляется в функционировании досуговых институтов.</w:t>
      </w:r>
    </w:p>
    <w:p w:rsidR="00DD1E92" w:rsidRPr="006D397B" w:rsidRDefault="00DD1E92" w:rsidP="00DD1E92">
      <w:pPr>
        <w:spacing w:line="360" w:lineRule="auto"/>
        <w:ind w:firstLine="708"/>
        <w:jc w:val="both"/>
      </w:pPr>
      <w:r w:rsidRPr="006D397B">
        <w:t>Н</w:t>
      </w:r>
      <w:r w:rsidR="009C3896" w:rsidRPr="006D397B">
        <w:t xml:space="preserve">аучные концепции рассматривают досуг как </w:t>
      </w:r>
      <w:r w:rsidR="00672317" w:rsidRPr="006D397B">
        <w:t>прикладной аспект культурной политики</w:t>
      </w:r>
      <w:r w:rsidRPr="006D397B">
        <w:t xml:space="preserve">, поскольку культурно-досуговая деятельность в нашем обществе тесно связана с политической деятельностью. Целью культурной политики является обеспечение развития духовно-нравственной, творческой, социально ответственной личности на основе приобщения к отечественному и мировому культурному наследию. </w:t>
      </w:r>
      <w:r w:rsidR="00DE1A0F" w:rsidRPr="006D397B">
        <w:t>Именно</w:t>
      </w:r>
      <w:r w:rsidRPr="006D397B">
        <w:t xml:space="preserve"> поэтому, тема ««Формы досуга. Организация досуга как прикладной аспект культурной политики» достаточно актуальна.</w:t>
      </w:r>
    </w:p>
    <w:p w:rsidR="00DD1E92" w:rsidRPr="006D397B" w:rsidRDefault="00DD1E92" w:rsidP="00E87F8E">
      <w:pPr>
        <w:spacing w:line="360" w:lineRule="auto"/>
        <w:ind w:firstLine="708"/>
        <w:jc w:val="both"/>
      </w:pPr>
      <w:r w:rsidRPr="006D397B">
        <w:rPr>
          <w:b/>
        </w:rPr>
        <w:t>Целью работы</w:t>
      </w:r>
      <w:r w:rsidRPr="006D397B">
        <w:t xml:space="preserve"> является изучение форм досуга, а также особенностей организация досуга как прикладного аспекта культурной политики.</w:t>
      </w:r>
    </w:p>
    <w:p w:rsidR="00DD1E92" w:rsidRPr="006D397B" w:rsidRDefault="00DD1E92" w:rsidP="00E87F8E">
      <w:pPr>
        <w:spacing w:line="360" w:lineRule="auto"/>
        <w:ind w:firstLine="708"/>
        <w:jc w:val="both"/>
        <w:rPr>
          <w:b/>
        </w:rPr>
      </w:pPr>
      <w:r w:rsidRPr="006D397B">
        <w:rPr>
          <w:b/>
        </w:rPr>
        <w:t>Задачи работы:</w:t>
      </w:r>
    </w:p>
    <w:p w:rsidR="00FA6FBD" w:rsidRPr="006D397B" w:rsidRDefault="00FA6FBD" w:rsidP="00E87F8E">
      <w:pPr>
        <w:spacing w:line="360" w:lineRule="auto"/>
        <w:ind w:firstLine="708"/>
        <w:jc w:val="both"/>
      </w:pPr>
      <w:r w:rsidRPr="006D397B">
        <w:t xml:space="preserve">- рассмотреть понятие «Досуг» и изучить его </w:t>
      </w:r>
      <w:r w:rsidR="00DE1A0F" w:rsidRPr="006D397B">
        <w:t>классификацию</w:t>
      </w:r>
      <w:r w:rsidRPr="006D397B">
        <w:t>;</w:t>
      </w:r>
    </w:p>
    <w:p w:rsidR="00FA6FBD" w:rsidRPr="006D397B" w:rsidRDefault="00FA6FBD" w:rsidP="00E87F8E">
      <w:pPr>
        <w:spacing w:line="360" w:lineRule="auto"/>
        <w:ind w:firstLine="708"/>
        <w:jc w:val="both"/>
      </w:pPr>
      <w:r w:rsidRPr="006D397B">
        <w:t>- проанализировать особенности форм досуга;</w:t>
      </w:r>
    </w:p>
    <w:p w:rsidR="00FA6FBD" w:rsidRPr="006D397B" w:rsidRDefault="00FA6FBD" w:rsidP="00E87F8E">
      <w:pPr>
        <w:spacing w:line="360" w:lineRule="auto"/>
        <w:ind w:firstLine="708"/>
        <w:jc w:val="both"/>
      </w:pPr>
      <w:r w:rsidRPr="006D397B">
        <w:t>- охарактеризовать принципы организации досуга;</w:t>
      </w:r>
    </w:p>
    <w:p w:rsidR="00FA6FBD" w:rsidRPr="006D397B" w:rsidRDefault="00FA6FBD" w:rsidP="00E87F8E">
      <w:pPr>
        <w:spacing w:line="360" w:lineRule="auto"/>
        <w:ind w:firstLine="708"/>
        <w:jc w:val="both"/>
      </w:pPr>
      <w:r w:rsidRPr="006D397B">
        <w:t>- изучить организацию досуга зарубежных стран как прикладного аспекта культурной политики.</w:t>
      </w:r>
    </w:p>
    <w:p w:rsidR="00266847" w:rsidRPr="006D397B" w:rsidRDefault="00266847">
      <w:pPr>
        <w:spacing w:after="200" w:line="276" w:lineRule="auto"/>
      </w:pPr>
      <w:r w:rsidRPr="006D397B">
        <w:br w:type="page"/>
      </w:r>
    </w:p>
    <w:p w:rsidR="00556039" w:rsidRPr="006D397B" w:rsidRDefault="009940CC" w:rsidP="00FA6FBD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85540963"/>
      <w:r w:rsidRPr="006D397B">
        <w:rPr>
          <w:rFonts w:ascii="Times New Roman" w:hAnsi="Times New Roman" w:cs="Times New Roman"/>
          <w:color w:val="auto"/>
        </w:rPr>
        <w:lastRenderedPageBreak/>
        <w:t>РАЗДЕЛ 1. ХАРАКТЕРИСТИКА ДОСУГА</w:t>
      </w:r>
      <w:bookmarkEnd w:id="1"/>
    </w:p>
    <w:p w:rsidR="005E1D06" w:rsidRPr="006D397B" w:rsidRDefault="005E1D06" w:rsidP="00FA6FBD">
      <w:pPr>
        <w:pStyle w:val="a5"/>
        <w:numPr>
          <w:ilvl w:val="1"/>
          <w:numId w:val="3"/>
        </w:numPr>
        <w:spacing w:before="240" w:after="240" w:line="360" w:lineRule="auto"/>
        <w:jc w:val="both"/>
        <w:outlineLvl w:val="1"/>
        <w:rPr>
          <w:b/>
        </w:rPr>
      </w:pPr>
      <w:bookmarkStart w:id="2" w:name="_Toc85540964"/>
      <w:r w:rsidRPr="006D397B">
        <w:rPr>
          <w:b/>
        </w:rPr>
        <w:t xml:space="preserve">Понятие «Досуг» и его </w:t>
      </w:r>
      <w:r w:rsidR="00556039" w:rsidRPr="006D397B">
        <w:rPr>
          <w:b/>
        </w:rPr>
        <w:t>классификация</w:t>
      </w:r>
      <w:bookmarkEnd w:id="2"/>
    </w:p>
    <w:p w:rsidR="00266847" w:rsidRPr="006D397B" w:rsidRDefault="00266847" w:rsidP="00D301BF">
      <w:pPr>
        <w:spacing w:line="360" w:lineRule="auto"/>
        <w:ind w:firstLine="708"/>
        <w:jc w:val="both"/>
      </w:pPr>
      <w:r w:rsidRPr="006D397B">
        <w:t>Досуг (в социологии) - система различных видов человеческой деятельности, ориентированная на реализацию разнообразных потребностей людей и осуществляе</w:t>
      </w:r>
      <w:r w:rsidR="00D301BF" w:rsidRPr="006D397B">
        <w:t>мая в свободное время индивида.</w:t>
      </w:r>
    </w:p>
    <w:p w:rsidR="00266847" w:rsidRPr="006D397B" w:rsidRDefault="00266847" w:rsidP="00D301BF">
      <w:pPr>
        <w:spacing w:line="360" w:lineRule="auto"/>
        <w:ind w:firstLine="708"/>
        <w:jc w:val="both"/>
      </w:pPr>
      <w:r w:rsidRPr="006D397B">
        <w:t>Исследователи выделяют около пятисот форм досуга, которые включа</w:t>
      </w:r>
      <w:r w:rsidR="00D301BF" w:rsidRPr="006D397B">
        <w:t>ют следующие виды деятельности: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активную рекреацию (непрофессиональный спорт, туризм, прогулки и иные формы общения с природой, спортивные и интеллектуальные игры, разведение цветов, выгуливание собак и т.д.);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товарищеское общение, развлечения, праздники, посещения спортивных состязаний, ресторанов, танцевальных залов, клубов и т.д., другие формы коллективного времяпрепровождения; социальная активность и социальное творчество;</w:t>
      </w:r>
    </w:p>
    <w:p w:rsidR="00266847" w:rsidRPr="006D397B" w:rsidRDefault="0053197A" w:rsidP="00D301BF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индивидуальное потребление ценностей культуры (чтение, прослушивание радиопередач, музыкальных записей, просмотр телепрограмм, восприятие к</w:t>
      </w:r>
      <w:r w:rsidR="00D301BF" w:rsidRPr="006D397B">
        <w:t>омпьютерной информации и т.д.);</w:t>
      </w:r>
    </w:p>
    <w:p w:rsidR="00266847" w:rsidRPr="006D397B" w:rsidRDefault="0053197A" w:rsidP="00D301BF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потребление духовных ценностей публично-зрелищного характера (кино, театр, филармония, эстрада, цирк, музей, выставка, лекторий, планетарий, зоо</w:t>
      </w:r>
      <w:r w:rsidR="00D301BF" w:rsidRPr="006D397B">
        <w:t>парк, ботанический сад и т.д.);</w:t>
      </w:r>
    </w:p>
    <w:p w:rsidR="00266847" w:rsidRPr="006D397B" w:rsidRDefault="0053197A" w:rsidP="00D301BF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любительское художественное и техническое творчество (пение, </w:t>
      </w:r>
      <w:proofErr w:type="spellStart"/>
      <w:r w:rsidR="00266847" w:rsidRPr="006D397B">
        <w:t>музицирование</w:t>
      </w:r>
      <w:proofErr w:type="spellEnd"/>
      <w:r w:rsidR="00266847" w:rsidRPr="006D397B">
        <w:t>, художественная самодеятельность, коллекционирование, моделирование, ко</w:t>
      </w:r>
      <w:r w:rsidR="00D301BF" w:rsidRPr="006D397B">
        <w:t>нструирование, ремесло и т.д.)</w:t>
      </w:r>
      <w:r w:rsidR="007D2D25" w:rsidRPr="006D397B">
        <w:rPr>
          <w:rStyle w:val="af0"/>
        </w:rPr>
        <w:footnoteReference w:id="1"/>
      </w:r>
      <w:r w:rsidR="00D301BF" w:rsidRPr="006D397B">
        <w:t>.</w:t>
      </w:r>
    </w:p>
    <w:p w:rsidR="00D301BF" w:rsidRPr="006D397B" w:rsidRDefault="00266847" w:rsidP="00D301BF">
      <w:pPr>
        <w:spacing w:line="360" w:lineRule="auto"/>
        <w:ind w:firstLine="708"/>
        <w:jc w:val="both"/>
      </w:pPr>
      <w:r w:rsidRPr="006D397B">
        <w:t>Можно спорить о точности данной классификации, но она дает в целом полную картину досуговой деятельности.</w:t>
      </w:r>
      <w:r w:rsidR="00556039" w:rsidRPr="006D397B">
        <w:t xml:space="preserve"> </w:t>
      </w:r>
      <w:r w:rsidRPr="006D397B">
        <w:t>В рамках социологических, социально-психологических и индивидуально-психологических</w:t>
      </w:r>
      <w:r w:rsidR="00D301BF" w:rsidRPr="006D397B">
        <w:t xml:space="preserve"> исследований принято выделять:</w:t>
      </w:r>
    </w:p>
    <w:p w:rsidR="00266847" w:rsidRPr="006D397B" w:rsidRDefault="0053197A" w:rsidP="00D301BF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lastRenderedPageBreak/>
        <w:t>‐</w:t>
      </w:r>
      <w:r w:rsidR="00D301BF" w:rsidRPr="006D397B">
        <w:t xml:space="preserve"> </w:t>
      </w:r>
      <w:r w:rsidR="00266847" w:rsidRPr="006D397B">
        <w:t>активные и пас</w:t>
      </w:r>
      <w:r w:rsidR="00D301BF" w:rsidRPr="006D397B">
        <w:t>сивные формы проведения досуга:</w:t>
      </w:r>
    </w:p>
    <w:p w:rsidR="00266847" w:rsidRPr="006D397B" w:rsidRDefault="0053197A" w:rsidP="00D301BF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активные (</w:t>
      </w:r>
      <w:proofErr w:type="spellStart"/>
      <w:r w:rsidR="00266847" w:rsidRPr="006D397B">
        <w:t>деятельностные</w:t>
      </w:r>
      <w:proofErr w:type="spellEnd"/>
      <w:r w:rsidR="00266847" w:rsidRPr="006D397B">
        <w:t>): творческие и любительские занятия, занятия физкультурой, а также активные формы межлично</w:t>
      </w:r>
      <w:r w:rsidR="00D301BF" w:rsidRPr="006D397B">
        <w:t>стного и межгруппового общения;</w:t>
      </w:r>
    </w:p>
    <w:p w:rsidR="00266847" w:rsidRPr="006D397B" w:rsidRDefault="0053197A" w:rsidP="00D301BF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пассивные: посещение различных культурных мероприятий и потребление продукции средств массовой коммуникации (радио</w:t>
      </w:r>
      <w:r w:rsidR="00D301BF" w:rsidRPr="006D397B">
        <w:t>, телевидение, Интернет и пр.);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 организованные и неорганизованные формы;</w:t>
      </w:r>
    </w:p>
    <w:p w:rsidR="00266847" w:rsidRPr="006D397B" w:rsidRDefault="0053197A" w:rsidP="00D301BF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</w:t>
      </w:r>
      <w:proofErr w:type="spellStart"/>
      <w:r w:rsidR="00266847" w:rsidRPr="006D397B">
        <w:t>индвидуальные</w:t>
      </w:r>
      <w:proofErr w:type="spellEnd"/>
      <w:r w:rsidR="00266847" w:rsidRPr="006D397B">
        <w:t>, индивидуал</w:t>
      </w:r>
      <w:r w:rsidR="00D301BF" w:rsidRPr="006D397B">
        <w:t>ьно-семейные и обобществленные;</w:t>
      </w:r>
    </w:p>
    <w:p w:rsidR="00266847" w:rsidRPr="006D397B" w:rsidRDefault="0053197A" w:rsidP="00D301BF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D301BF" w:rsidRPr="006D397B">
        <w:t xml:space="preserve"> ситуативные и стабильные;</w:t>
      </w:r>
    </w:p>
    <w:p w:rsidR="00D301BF" w:rsidRPr="006D397B" w:rsidRDefault="0053197A" w:rsidP="00D301BF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репродуктивного, поисково-творческого и тв</w:t>
      </w:r>
      <w:r w:rsidR="00D301BF" w:rsidRPr="006D397B">
        <w:t>орческо-созидательного уровней;</w:t>
      </w:r>
    </w:p>
    <w:p w:rsidR="00266847" w:rsidRPr="006D397B" w:rsidRDefault="0053197A" w:rsidP="00D301BF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D301BF" w:rsidRPr="006D397B">
        <w:t xml:space="preserve"> </w:t>
      </w:r>
      <w:r w:rsidR="00266847" w:rsidRPr="006D397B">
        <w:t xml:space="preserve">репродуктивный: досуг </w:t>
      </w:r>
      <w:r w:rsidR="00D301BF" w:rsidRPr="006D397B">
        <w:t xml:space="preserve">строится на известных образцах, </w:t>
      </w:r>
      <w:r w:rsidR="00266847" w:rsidRPr="006D397B">
        <w:t>поисково-творческий: личность вносит в досуг элементы индивидуализации формы и содержания, творческо-созидательный: разностороннее раскрытие индивидуальности личности;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социально одобряемые и социально неодобряемые</w:t>
      </w:r>
      <w:r w:rsidR="007D2D25" w:rsidRPr="006D397B">
        <w:rPr>
          <w:rStyle w:val="af0"/>
        </w:rPr>
        <w:footnoteReference w:id="2"/>
      </w:r>
      <w:r w:rsidR="00266847" w:rsidRPr="006D397B">
        <w:t>.</w:t>
      </w:r>
    </w:p>
    <w:p w:rsidR="00266847" w:rsidRPr="006D397B" w:rsidRDefault="00266847" w:rsidP="00D301BF">
      <w:pPr>
        <w:spacing w:line="360" w:lineRule="auto"/>
        <w:ind w:firstLine="708"/>
        <w:jc w:val="both"/>
      </w:pPr>
      <w:r w:rsidRPr="006D397B">
        <w:t>Развитие индустрии досуга, что требует другого рода проектных решений и соответствующих мероприятий (в частности, насыщение рынка товарами спортивно-культурного назначения, оптимизирующими индивидуальный и семейный досуг; строительство аттракционов, детских площадок, игротек, спортивных и культурных центров; создание условий для качественной организации культурного досуга на различных уровнях: квартира – жилой дом – двор – микрорайон – район – город, что в итоге даст каждому жителю возможность широкого выбора форм, видов и содержания проведения свободного времени в зависимости от интересов, физического состояния, материальных возмож</w:t>
      </w:r>
      <w:r w:rsidR="00D301BF" w:rsidRPr="006D397B">
        <w:t>ностей и т.д.).</w:t>
      </w:r>
    </w:p>
    <w:p w:rsidR="00556039" w:rsidRPr="006D397B" w:rsidRDefault="009940CC" w:rsidP="00FA6FBD">
      <w:pPr>
        <w:pStyle w:val="a5"/>
        <w:numPr>
          <w:ilvl w:val="1"/>
          <w:numId w:val="3"/>
        </w:numPr>
        <w:spacing w:before="240" w:after="240" w:line="360" w:lineRule="auto"/>
        <w:jc w:val="both"/>
        <w:outlineLvl w:val="1"/>
        <w:rPr>
          <w:b/>
        </w:rPr>
      </w:pPr>
      <w:bookmarkStart w:id="3" w:name="_Toc85540965"/>
      <w:r w:rsidRPr="006D397B">
        <w:rPr>
          <w:b/>
        </w:rPr>
        <w:lastRenderedPageBreak/>
        <w:t>Особенности</w:t>
      </w:r>
      <w:r w:rsidR="00556039" w:rsidRPr="006D397B">
        <w:rPr>
          <w:b/>
        </w:rPr>
        <w:t xml:space="preserve"> форм досуга</w:t>
      </w:r>
      <w:bookmarkEnd w:id="3"/>
    </w:p>
    <w:p w:rsidR="0053197A" w:rsidRPr="006D397B" w:rsidRDefault="00266847" w:rsidP="0053197A">
      <w:pPr>
        <w:spacing w:line="360" w:lineRule="auto"/>
        <w:ind w:firstLine="708"/>
        <w:jc w:val="both"/>
      </w:pPr>
      <w:r w:rsidRPr="006D397B">
        <w:t xml:space="preserve">В ходе опытно-экспериментальной работы было выявлено и проанализировано около пятисот </w:t>
      </w:r>
      <w:r w:rsidR="0053197A" w:rsidRPr="006D397B">
        <w:t>форм досуга, включающих в себя:</w:t>
      </w:r>
    </w:p>
    <w:p w:rsidR="00266847" w:rsidRPr="006D397B" w:rsidRDefault="0053197A" w:rsidP="0053197A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 xml:space="preserve">‐ </w:t>
      </w:r>
      <w:r w:rsidR="00266847" w:rsidRPr="006D397B">
        <w:t>активную рекреацию (непрофессиональный спорт, прогулки и иные формы общения с природой, спортивные и интеллектуальные игры, разведение цветов, выгуливание собак и т.д.);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товарищеское общение, развлечения, праздники, посещения спортивных состязаний, ресторанов, танцевальных залов, клубов и т.д.;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индивидуальное потребление ценностей культуры (чтение, прослушивание радиопередач, музыкальных записей, просмотр телепрограмм, восприятие компьютерной информации и т.д.);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потребление духовных ценностей публично-зрелищного характера (кино, театр, филармония, эстрада, цирк, музей, выставка, лекторий, планетарий, зоопарк, ботанический сад и т.д.);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познавательный, спортивно-оздоровительный туризм; участие в клубных объединениях, спортивных секциях и иных формах коллективного времяпрепровождения;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любительское творчество (пение, </w:t>
      </w:r>
      <w:proofErr w:type="spellStart"/>
      <w:r w:rsidR="00266847" w:rsidRPr="006D397B">
        <w:t>музицирование</w:t>
      </w:r>
      <w:proofErr w:type="spellEnd"/>
      <w:r w:rsidR="00266847" w:rsidRPr="006D397B">
        <w:t>, художественная самодеятельность, коллекционирование, моделирование, конструирование, ремесло и т.д.)</w:t>
      </w:r>
      <w:r w:rsidR="007D2D25" w:rsidRPr="006D397B">
        <w:rPr>
          <w:rStyle w:val="af0"/>
        </w:rPr>
        <w:footnoteReference w:id="3"/>
      </w:r>
      <w:r w:rsidR="00266847" w:rsidRPr="006D397B">
        <w:t>.</w:t>
      </w:r>
    </w:p>
    <w:p w:rsidR="00266847" w:rsidRPr="006D397B" w:rsidRDefault="00266847" w:rsidP="00266847">
      <w:pPr>
        <w:spacing w:line="360" w:lineRule="auto"/>
        <w:ind w:firstLine="708"/>
        <w:jc w:val="both"/>
      </w:pPr>
      <w:r w:rsidRPr="006D397B">
        <w:t>За основу классификации форм досуга могут быть приняты: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степень устойчивости воспитательного воздействия (эпизодические и стабильные формы досуга);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широта участия в культурно-досуговой деятельности (индивидуальные, групповые, массовые формы досуга);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lastRenderedPageBreak/>
        <w:t>‐</w:t>
      </w:r>
      <w:r w:rsidR="00266847" w:rsidRPr="006D397B">
        <w:t xml:space="preserve"> специфика субъекта организации досуга (формы деятельности клуба, парка культуры, библиотеки, театрально-зрелищных, спортивно-оздоровительных, развлекательно-игровых и иных учреждений);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особенности объекта культурно-досугового воздействия (дети, молодежь, самодеятельное население, пенсионеры и т.д.);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полнота реализуемых в досуговой деятельности функций (монофункциональных, </w:t>
      </w:r>
      <w:proofErr w:type="spellStart"/>
      <w:r w:rsidR="00266847" w:rsidRPr="006D397B">
        <w:t>диафункциональных</w:t>
      </w:r>
      <w:proofErr w:type="spellEnd"/>
      <w:r w:rsidR="00266847" w:rsidRPr="006D397B">
        <w:t>, комплексных)</w:t>
      </w:r>
      <w:r w:rsidR="007D2D25" w:rsidRPr="006D397B">
        <w:rPr>
          <w:rStyle w:val="af0"/>
        </w:rPr>
        <w:footnoteReference w:id="4"/>
      </w:r>
      <w:r w:rsidR="00266847" w:rsidRPr="006D397B">
        <w:t>.</w:t>
      </w:r>
    </w:p>
    <w:p w:rsidR="00266847" w:rsidRPr="006D397B" w:rsidRDefault="00266847" w:rsidP="00266847">
      <w:pPr>
        <w:spacing w:line="360" w:lineRule="auto"/>
        <w:ind w:firstLine="708"/>
        <w:jc w:val="both"/>
      </w:pPr>
      <w:r w:rsidRPr="006D397B">
        <w:t>С точки зрения отдельного человека и культуры в целом значение занятий на досуге чрезвычайно велико, ибо они включают каждого в систему культурных ценностей, помогают их освоению, служат целям гармоничного развития личности. Однако досуг не следует заполнять чем-то случайным, в нем всегда должна просматриваться цель. Удовлетворение одной потребности порождает другую потребность, поэтому изменения в сфере досуга должны быть направлены на переход от простых к всё более сложным потребностям: от физических – к духовным, от индивидуальных – к общественным, от пассивности – к активному творчеству.</w:t>
      </w:r>
    </w:p>
    <w:p w:rsidR="00266847" w:rsidRPr="006D397B" w:rsidRDefault="00266847" w:rsidP="00266847">
      <w:pPr>
        <w:spacing w:line="360" w:lineRule="auto"/>
        <w:ind w:firstLine="708"/>
        <w:jc w:val="both"/>
      </w:pPr>
      <w:r w:rsidRPr="006D397B">
        <w:t>Содержание и формы досуга находятся в органичной взаимосвязи с характером профессионально-трудовой деятельности и всем образом жизни человека.</w:t>
      </w:r>
    </w:p>
    <w:p w:rsidR="0058329D" w:rsidRPr="006D397B" w:rsidRDefault="009940CC" w:rsidP="00FA6FBD">
      <w:pPr>
        <w:pStyle w:val="a5"/>
        <w:numPr>
          <w:ilvl w:val="1"/>
          <w:numId w:val="3"/>
        </w:numPr>
        <w:spacing w:before="240" w:after="240" w:line="360" w:lineRule="auto"/>
        <w:jc w:val="both"/>
        <w:outlineLvl w:val="1"/>
        <w:rPr>
          <w:b/>
        </w:rPr>
      </w:pPr>
      <w:bookmarkStart w:id="4" w:name="_Toc85540966"/>
      <w:r w:rsidRPr="006D397B">
        <w:rPr>
          <w:b/>
        </w:rPr>
        <w:t>Принципы организации досуга</w:t>
      </w:r>
      <w:bookmarkEnd w:id="4"/>
    </w:p>
    <w:p w:rsidR="00266847" w:rsidRPr="006D397B" w:rsidRDefault="00266847" w:rsidP="00266847">
      <w:pPr>
        <w:spacing w:line="360" w:lineRule="auto"/>
        <w:ind w:firstLine="708"/>
        <w:jc w:val="both"/>
      </w:pPr>
      <w:r w:rsidRPr="006D397B">
        <w:t xml:space="preserve">Многолетнее комплексное исследование различных аспектов обеспечения культуры досуга не решило и не могло решить всей совокупности проблем, детерминирующих реализацию </w:t>
      </w:r>
      <w:proofErr w:type="spellStart"/>
      <w:r w:rsidRPr="006D397B">
        <w:t>культуросозидающего</w:t>
      </w:r>
      <w:proofErr w:type="spellEnd"/>
      <w:r w:rsidRPr="006D397B">
        <w:t xml:space="preserve"> потенциала рациональной организации и самоорганизации свободного времени разных групп населения. Однако оно смогло существенно ускорить процесс их разрешения и сформулировать ряд социально значимых теоретических и методических положений.</w:t>
      </w:r>
    </w:p>
    <w:p w:rsidR="00266847" w:rsidRPr="006D397B" w:rsidRDefault="00266847" w:rsidP="00266847">
      <w:pPr>
        <w:spacing w:line="360" w:lineRule="auto"/>
        <w:ind w:firstLine="708"/>
        <w:jc w:val="both"/>
      </w:pPr>
      <w:r w:rsidRPr="006D397B">
        <w:lastRenderedPageBreak/>
        <w:t>В ходе исследования была опровергнута идея о правомерности управления поведением, отношениями и деятельностью людей в сфере свободного времени, а также обоснована концепция рациональной организации досуга, исходящая из принципа опосредованного воздействия на личность, группу или иную социальную общность путем создания благоприятных условий для: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удовлетворения, педагогически целесообразной коррекции и дальнейшего развития психофизиологических, коммуникативных, познавательных и эстетических потребностей;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E54FB5" w:rsidRPr="006D397B">
        <w:t xml:space="preserve"> </w:t>
      </w:r>
      <w:r w:rsidR="00266847" w:rsidRPr="006D397B">
        <w:t>стимулирования социально значимых мотивов культурно-досуговой деятельности;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формирования и развития умений и навыков рационально строить свой досуг;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самовыражения и самоутверждения личности в сфере свободного времени</w:t>
      </w:r>
      <w:r w:rsidR="007D2D25" w:rsidRPr="006D397B">
        <w:rPr>
          <w:rStyle w:val="af0"/>
        </w:rPr>
        <w:footnoteReference w:id="5"/>
      </w:r>
      <w:r w:rsidR="00266847" w:rsidRPr="006D397B">
        <w:t>.</w:t>
      </w:r>
    </w:p>
    <w:p w:rsidR="00266847" w:rsidRPr="006D397B" w:rsidRDefault="00266847" w:rsidP="00266847">
      <w:pPr>
        <w:spacing w:line="360" w:lineRule="auto"/>
        <w:ind w:firstLine="708"/>
        <w:jc w:val="both"/>
      </w:pPr>
      <w:r w:rsidRPr="006D397B">
        <w:t xml:space="preserve">Исследование позволило обосновать сущность и специфику методики сотворчества как наиболее адекватной природе досуга совокупности приемов и способов обеспечения </w:t>
      </w:r>
      <w:proofErr w:type="spellStart"/>
      <w:r w:rsidRPr="006D397B">
        <w:t>культуросозидающего</w:t>
      </w:r>
      <w:proofErr w:type="spellEnd"/>
      <w:r w:rsidRPr="006D397B">
        <w:t xml:space="preserve"> влияния на людей в сфере свободного времени, построенной на внедрении субъект – субъектных отношений и преобразовании объекта воспитательного воздействия в субъект культурно-досугового творчества.</w:t>
      </w:r>
    </w:p>
    <w:p w:rsidR="00266847" w:rsidRPr="006D397B" w:rsidRDefault="00266847" w:rsidP="006D397B">
      <w:pPr>
        <w:spacing w:line="360" w:lineRule="auto"/>
        <w:ind w:firstLine="708"/>
        <w:jc w:val="both"/>
      </w:pPr>
      <w:r w:rsidRPr="006D397B">
        <w:t>В ходе исследований были раскрыты содержание и структура процесса обеспечения культуры досуга, в</w:t>
      </w:r>
      <w:r w:rsidR="006D397B" w:rsidRPr="006D397B">
        <w:t xml:space="preserve">ключающего в себя формирование: </w:t>
      </w:r>
      <w:r w:rsidRPr="006D397B">
        <w:t>осмысленной необходимости рационально использовать свое свободное время;</w:t>
      </w:r>
      <w:r w:rsidR="006D397B" w:rsidRPr="006D397B">
        <w:t xml:space="preserve"> </w:t>
      </w:r>
      <w:r w:rsidRPr="006D397B">
        <w:t>активного стремления духовно насыщать и интенсивно строить свой досуг;</w:t>
      </w:r>
      <w:r w:rsidR="006D397B" w:rsidRPr="006D397B">
        <w:t xml:space="preserve"> </w:t>
      </w:r>
      <w:r w:rsidRPr="006D397B">
        <w:t>умений и навыков планировать и организовывать свое свободное время</w:t>
      </w:r>
      <w:r w:rsidR="007D2D25" w:rsidRPr="006D397B">
        <w:rPr>
          <w:rStyle w:val="af0"/>
        </w:rPr>
        <w:footnoteReference w:id="6"/>
      </w:r>
      <w:r w:rsidRPr="006D397B">
        <w:t>.</w:t>
      </w:r>
    </w:p>
    <w:p w:rsidR="00266847" w:rsidRPr="006D397B" w:rsidRDefault="00266847" w:rsidP="00266847">
      <w:pPr>
        <w:spacing w:line="360" w:lineRule="auto"/>
        <w:ind w:firstLine="708"/>
        <w:jc w:val="both"/>
      </w:pPr>
      <w:r w:rsidRPr="006D397B">
        <w:lastRenderedPageBreak/>
        <w:t>Исследование показало, что культура досуга как способность личности к выработке качественно нового, собственного подхода, замыслов и решений по организации своего свободного времени представляет своеобразный образ мыслей по созданию своих, индивидуализированных способов действия в сфере досуга. Как результат педагогического воздействия и самовоспитания, культура досуга является суммой одновременно действующих интеллектуальных, эмоциональных и волевых факторов организатора свободного времени и объекта его воздействия, который последовательно преобразуется в субъект социально-культурного творчества.</w:t>
      </w:r>
    </w:p>
    <w:p w:rsidR="00266847" w:rsidRPr="006D397B" w:rsidRDefault="00266847" w:rsidP="00266847">
      <w:pPr>
        <w:spacing w:line="360" w:lineRule="auto"/>
        <w:ind w:firstLine="708"/>
        <w:jc w:val="both"/>
      </w:pPr>
      <w:r w:rsidRPr="006D397B">
        <w:t>В этой связи культуру досуга можно определить как сложное качество личности, характеризующееся совокупностью проявления самостоятельности мышления и действия, функциональной и интеллектуальной активности, творческих устремлений во имя реализации прогрессивного процесса отдыха и дальнейшего саморазвития, продуктивного влияния на окружающих.</w:t>
      </w:r>
    </w:p>
    <w:p w:rsidR="00266847" w:rsidRPr="006D397B" w:rsidRDefault="00266847" w:rsidP="006D397B">
      <w:pPr>
        <w:spacing w:line="360" w:lineRule="auto"/>
        <w:ind w:firstLine="708"/>
        <w:jc w:val="both"/>
      </w:pPr>
      <w:r w:rsidRPr="006D397B">
        <w:t>Отражая социально-сущностные силы человека, реализуемые в практике общественной жизни, культура досуга входит в структуру социальной активности как од ин из способов ее выражен</w:t>
      </w:r>
      <w:r w:rsidR="006D397B" w:rsidRPr="006D397B">
        <w:t xml:space="preserve">ия и критерий ее эффективности. </w:t>
      </w:r>
      <w:r w:rsidRPr="006D397B">
        <w:t>Возможность проявления личностью культуры досуга определяется не только объективно (благодаря социальным условиям), но и при помощи совокупности субъективных факторов: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развитых структурных компонентов культуры свободного времяпрепровождения;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наличия основ специальных знаний и умений в избранной области культурно-досуговой деятельности;</w:t>
      </w:r>
    </w:p>
    <w:p w:rsidR="00266847" w:rsidRPr="006D397B" w:rsidRDefault="0053197A" w:rsidP="00266847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266847" w:rsidRPr="006D397B">
        <w:t xml:space="preserve"> творческой установки на данный вид отдыха.</w:t>
      </w:r>
    </w:p>
    <w:p w:rsidR="00266847" w:rsidRPr="006D397B" w:rsidRDefault="00266847" w:rsidP="00266847">
      <w:pPr>
        <w:spacing w:line="360" w:lineRule="auto"/>
        <w:ind w:firstLine="708"/>
        <w:jc w:val="both"/>
      </w:pPr>
      <w:r w:rsidRPr="006D397B">
        <w:t xml:space="preserve">Развитие науки и социальной практики позволили утвердить в общественном сознании понимание культуры досуга как интегрального качества личности, отражающего потребность и умение конструктивно использовать свое свободное время, которое реализуется в активном отдыхе, </w:t>
      </w:r>
      <w:r w:rsidRPr="006D397B">
        <w:lastRenderedPageBreak/>
        <w:t>удовлетворении и постоянном возвышении духовных потребностей посредством репродуктивной и творческой деятельности по освоению культурного наследия человечества, созданию культурных ценностей и развитию своих сущностных сил.</w:t>
      </w:r>
    </w:p>
    <w:p w:rsidR="00266847" w:rsidRPr="006D397B" w:rsidRDefault="00266847" w:rsidP="006D397B">
      <w:pPr>
        <w:spacing w:line="360" w:lineRule="auto"/>
        <w:ind w:firstLine="708"/>
        <w:jc w:val="both"/>
      </w:pPr>
      <w:r w:rsidRPr="006D397B">
        <w:t xml:space="preserve">Многолетнее теоретико-эмпирическое исследование, осуществленное на кафедре социально-культурной деятельности Санкт-Петербургского государственного университета культуры и искусств, дало возможность обосновать программу формирования духовных интересов разных групп населения и способов их реализации в сфере досуга в условиях повседневного, воскресного и </w:t>
      </w:r>
      <w:proofErr w:type="spellStart"/>
      <w:r w:rsidRPr="006D397B">
        <w:t>каникулярно</w:t>
      </w:r>
      <w:proofErr w:type="spellEnd"/>
      <w:r w:rsidRPr="006D397B">
        <w:t>-отпускного свободного времени, основанную на поэтапном переходе от пассивных и ситуативных к активным и стабильным формам свободного</w:t>
      </w:r>
      <w:r w:rsidR="006D397B" w:rsidRPr="006D397B">
        <w:t xml:space="preserve"> времяпрепровождения на уровне: </w:t>
      </w:r>
      <w:r w:rsidRPr="006D397B">
        <w:t>репродуктивном, когда досуг строится на изв</w:t>
      </w:r>
      <w:r w:rsidR="006D397B" w:rsidRPr="006D397B">
        <w:t xml:space="preserve">естных образцах; </w:t>
      </w:r>
      <w:r w:rsidRPr="006D397B">
        <w:t>поисково-творческом, при котором личность вносит в досуг элементы индивидуализации его форм и содержания;</w:t>
      </w:r>
      <w:r w:rsidR="006D397B" w:rsidRPr="006D397B">
        <w:t xml:space="preserve"> </w:t>
      </w:r>
      <w:r w:rsidRPr="006D397B">
        <w:t>творческо-созидательном, обеспечивающим разностороннее раскрытие индивидуальности.</w:t>
      </w:r>
    </w:p>
    <w:p w:rsidR="00266847" w:rsidRPr="006D397B" w:rsidRDefault="00266847" w:rsidP="00266847">
      <w:pPr>
        <w:spacing w:line="360" w:lineRule="auto"/>
        <w:ind w:firstLine="708"/>
        <w:jc w:val="both"/>
      </w:pPr>
      <w:r w:rsidRPr="006D397B">
        <w:t>Показателем эффективности этой программы является коэффициент интенсивности освоенного свободного времени, отражающий взаимосвязь духовного наполнения досуга и уровня владения умениями и навыками его организации.</w:t>
      </w:r>
    </w:p>
    <w:p w:rsidR="00266847" w:rsidRPr="006D397B" w:rsidRDefault="00266847" w:rsidP="006D397B">
      <w:pPr>
        <w:spacing w:line="360" w:lineRule="auto"/>
        <w:ind w:firstLine="708"/>
        <w:jc w:val="both"/>
      </w:pPr>
      <w:r w:rsidRPr="006D397B">
        <w:t>Это проя</w:t>
      </w:r>
      <w:r w:rsidR="006D397B" w:rsidRPr="006D397B">
        <w:t xml:space="preserve">вляется в способности личности: планировать свой досуг; </w:t>
      </w:r>
      <w:r w:rsidRPr="006D397B">
        <w:t>использовать эстетический и оздоровительный потенциал природной среды;</w:t>
      </w:r>
      <w:r w:rsidR="006D397B" w:rsidRPr="006D397B">
        <w:t xml:space="preserve"> </w:t>
      </w:r>
      <w:r w:rsidRPr="006D397B">
        <w:t>осуществлять интеллектуально насыщенное общение в кругу семьи, друзей, в клубном объединении или иной социальной общности;</w:t>
      </w:r>
      <w:r w:rsidR="006D397B" w:rsidRPr="006D397B">
        <w:t xml:space="preserve"> </w:t>
      </w:r>
      <w:r w:rsidRPr="006D397B">
        <w:t>эффективно использовать возможности чтения, избирательного просмотра телепрограмм и других форм индивидуального потребления ценностей культуры;</w:t>
      </w:r>
      <w:r w:rsidR="006D397B" w:rsidRPr="006D397B">
        <w:t xml:space="preserve"> </w:t>
      </w:r>
      <w:r w:rsidRPr="006D397B">
        <w:t>реализовывать свои способности и дарования в различных областях художественного, технического и прикладного творчества.</w:t>
      </w:r>
    </w:p>
    <w:p w:rsidR="009940CC" w:rsidRPr="006D397B" w:rsidRDefault="009940CC">
      <w:pPr>
        <w:spacing w:after="200" w:line="276" w:lineRule="auto"/>
      </w:pPr>
      <w:r w:rsidRPr="006D397B">
        <w:br w:type="page"/>
      </w:r>
    </w:p>
    <w:p w:rsidR="009940CC" w:rsidRPr="006D397B" w:rsidRDefault="009940CC" w:rsidP="00FA6FBD">
      <w:pPr>
        <w:pStyle w:val="1"/>
        <w:spacing w:line="360" w:lineRule="auto"/>
        <w:jc w:val="center"/>
        <w:rPr>
          <w:color w:val="auto"/>
        </w:rPr>
      </w:pPr>
      <w:bookmarkStart w:id="5" w:name="_Toc85540967"/>
      <w:r w:rsidRPr="006D397B">
        <w:rPr>
          <w:color w:val="auto"/>
        </w:rPr>
        <w:lastRenderedPageBreak/>
        <w:t xml:space="preserve">РАЗДЕЛ 2. ОРГАНИЗАЦИЯ ДОСУГА </w:t>
      </w:r>
      <w:r w:rsidR="00827715" w:rsidRPr="006D397B">
        <w:rPr>
          <w:color w:val="auto"/>
        </w:rPr>
        <w:t xml:space="preserve">ЗАРУБЕЖНЫХ СТРАН </w:t>
      </w:r>
      <w:r w:rsidRPr="006D397B">
        <w:rPr>
          <w:color w:val="auto"/>
        </w:rPr>
        <w:t>КАК ПРИКЛАДНОЙ АСПЕКТ КУЛЬТУРНОЙ ПОЛИТИКИ</w:t>
      </w:r>
      <w:bookmarkEnd w:id="5"/>
    </w:p>
    <w:p w:rsidR="009940CC" w:rsidRPr="006D397B" w:rsidRDefault="009940CC" w:rsidP="009940CC"/>
    <w:p w:rsidR="009940CC" w:rsidRPr="006D397B" w:rsidRDefault="009940CC" w:rsidP="009940CC">
      <w:r w:rsidRPr="006D397B">
        <w:t> </w:t>
      </w:r>
    </w:p>
    <w:p w:rsidR="009940CC" w:rsidRPr="006D397B" w:rsidRDefault="009940CC" w:rsidP="00827715">
      <w:pPr>
        <w:spacing w:line="360" w:lineRule="auto"/>
        <w:ind w:firstLine="708"/>
        <w:jc w:val="both"/>
      </w:pPr>
      <w:r w:rsidRPr="006D397B">
        <w:t>Несмотря на то, что досуг рассматривается как составляющая культурной сферы, основные вопросы досуговой сферы разрабатываются в контексте культурной политики конкретного государства. В организации досуговой деятельности активно участвуют молодежные и спортивные организации, культурно-просветительные учреждения, туристические управления, органы международного сотрудничества, экологические объединения, социальные службы и др. Принципы государственной политики в сфере досуга перерастают в институциональные механизмы взаимодействия между обществом и правительством и реализуются через конкретные культурные, социальные и досуговые инициативы. Каждое государство определяет ее в соответствии с ценностями, задачами и культурными традициями конкретного общества. Так, в одних государствах выразительным является акцент на сохранение национального наследия (Франция, Германия), в других - на создание новой культуры, с целью культурного развития (Норвегия, Канада) или поддержке разнообразного культурного наследия в пределах страны (Шотландия и Уэльс в Великобритании, Каталония в Испании). Основные задачи государственной политики в сфере культуры впервые были определены на Межправительственной конференции институциональных, административных и финансовых аспектов культурной политики (Венеция, 1970).</w:t>
      </w:r>
    </w:p>
    <w:p w:rsidR="009940CC" w:rsidRPr="006D397B" w:rsidRDefault="0053197A" w:rsidP="009940CC">
      <w:pPr>
        <w:spacing w:line="360" w:lineRule="auto"/>
        <w:ind w:firstLine="708"/>
        <w:jc w:val="both"/>
      </w:pPr>
      <w:r w:rsidRPr="006D397B">
        <w:t>1)</w:t>
      </w:r>
      <w:r w:rsidR="009940CC" w:rsidRPr="006D397B">
        <w:t xml:space="preserve"> </w:t>
      </w:r>
      <w:r w:rsidR="009940CC" w:rsidRPr="006D397B">
        <w:rPr>
          <w:i/>
        </w:rPr>
        <w:t>Предоставление возможностей для участия человека в культурной жизни общества</w:t>
      </w:r>
      <w:r w:rsidR="009940CC" w:rsidRPr="006D397B">
        <w:t>. Эта мысль была высказана еще на заседании по проблемам культурной политики в Монако (1967): «Заставить людей участвовать в культурной деятельности не означает пригласить их в качестве зрителей культурного события, это означает</w:t>
      </w:r>
      <w:r w:rsidR="00DE1A0F" w:rsidRPr="006D397B">
        <w:t xml:space="preserve"> "</w:t>
      </w:r>
      <w:r w:rsidR="009940CC" w:rsidRPr="006D397B">
        <w:t xml:space="preserve">соединить" их с культурным действием и </w:t>
      </w:r>
      <w:r w:rsidR="009940CC" w:rsidRPr="006D397B">
        <w:lastRenderedPageBreak/>
        <w:t>пытаться поощрять их творческие способности»</w:t>
      </w:r>
      <w:r w:rsidR="00581428" w:rsidRPr="006D397B">
        <w:rPr>
          <w:rStyle w:val="af0"/>
        </w:rPr>
        <w:footnoteReference w:id="7"/>
      </w:r>
      <w:r w:rsidR="009940CC" w:rsidRPr="006D397B">
        <w:t>. Согласно этой задачи государства мира большое внимание обращают на эстетическое воспитание детей.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2</w:t>
      </w:r>
      <w:r w:rsidR="0053197A" w:rsidRPr="006D397B">
        <w:t>)</w:t>
      </w:r>
      <w:r w:rsidRPr="006D397B">
        <w:t xml:space="preserve"> </w:t>
      </w:r>
      <w:r w:rsidRPr="006D397B">
        <w:rPr>
          <w:i/>
        </w:rPr>
        <w:t>Культурное развитие, что делает культурную политику составляющей общей государственной политики</w:t>
      </w:r>
      <w:r w:rsidRPr="006D397B">
        <w:t>. Культурное развитие ассоциируется не только с экономическим развитием государства. Культурное развитие является необходимым условием приспособления обще</w:t>
      </w:r>
      <w:r w:rsidR="00581428" w:rsidRPr="006D397B">
        <w:t xml:space="preserve">ства к техническому прогрессу. </w:t>
      </w:r>
      <w:r w:rsidRPr="006D397B">
        <w:t>Культурное развитие является одновременно и средством и целью экономического развития.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3</w:t>
      </w:r>
      <w:r w:rsidR="0053197A" w:rsidRPr="006D397B">
        <w:t>)</w:t>
      </w:r>
      <w:r w:rsidRPr="006D397B">
        <w:t xml:space="preserve"> </w:t>
      </w:r>
      <w:r w:rsidRPr="006D397B">
        <w:rPr>
          <w:i/>
        </w:rPr>
        <w:t>Сохранение и популяризация культурной самобытности</w:t>
      </w:r>
      <w:r w:rsidRPr="006D397B">
        <w:t xml:space="preserve">. Доминирование идеи «плюрализма культур», возрождение языков и традиций </w:t>
      </w:r>
      <w:r w:rsidR="00581428" w:rsidRPr="006D397B">
        <w:t xml:space="preserve">отдельных регионов, достижение </w:t>
      </w:r>
      <w:r w:rsidRPr="006D397B">
        <w:t>динамического равновесия между отдельными (индивидуальными) культурами и общей (единой) культурой государства</w:t>
      </w:r>
      <w:r w:rsidR="00581428" w:rsidRPr="006D397B">
        <w:t xml:space="preserve"> </w:t>
      </w:r>
      <w:r w:rsidRPr="006D397B">
        <w:t>открыли возможность для реализации культурных проектов для инвалидов, многодетных семей,  этнических меньшинств, стариков, детей.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4</w:t>
      </w:r>
      <w:r w:rsidR="0053197A" w:rsidRPr="006D397B">
        <w:t>)</w:t>
      </w:r>
      <w:r w:rsidRPr="006D397B">
        <w:t xml:space="preserve"> Развитие международных культурных связей на современном этапе способствует взаимному знакомству с культурой и историей европейских народов, транснациональному распространению культуры, культурному многообразию и развитию новых художественных форм, межкультурному диалогу, признанию культуры как фактора экономической и социальной интеграции</w:t>
      </w:r>
      <w:r w:rsidR="00581428" w:rsidRPr="006D397B">
        <w:rPr>
          <w:rStyle w:val="af0"/>
        </w:rPr>
        <w:footnoteReference w:id="8"/>
      </w:r>
      <w:r w:rsidRPr="006D397B">
        <w:t>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 xml:space="preserve">Французский исследователь </w:t>
      </w:r>
      <w:proofErr w:type="spellStart"/>
      <w:r w:rsidRPr="006D397B">
        <w:t>Жирард</w:t>
      </w:r>
      <w:proofErr w:type="spellEnd"/>
      <w:r w:rsidRPr="006D397B">
        <w:t xml:space="preserve"> А. рассматривает культурную политику как динамический процесс, требующий постоянного пересмотра культурных целей общества, его приоритетов, конкретных задач, распределения средств для достижения желаемых результатов. Ученый выделяет две модели управления культурой: усилиями независимых организаций (США) и непосредственно властью министерств (Франция, Швеция). Для эффективной реализации этих задач культурная политика </w:t>
      </w:r>
      <w:r w:rsidRPr="006D397B">
        <w:lastRenderedPageBreak/>
        <w:t>должна оптимально сочетать цели, задачи и ресурсы (кадры, финансы, законодательство, разумную организацию).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proofErr w:type="spellStart"/>
      <w:r w:rsidRPr="006D397B">
        <w:t>Малкахи</w:t>
      </w:r>
      <w:proofErr w:type="spellEnd"/>
      <w:r w:rsidRPr="006D397B">
        <w:t xml:space="preserve"> К. (Луизиана, США) считает целесообразным классифицировать культурную политику по таким административными образцами: министерство культуры (по французской традиции) министерство культуры отдельных земель (согласно немецкой системе); «Централизованная децентрализация» (Норвегия); совет по искусству (Канада)</w:t>
      </w:r>
      <w:r w:rsidR="00581428" w:rsidRPr="006D397B">
        <w:rPr>
          <w:rStyle w:val="af0"/>
        </w:rPr>
        <w:footnoteReference w:id="9"/>
      </w:r>
      <w:r w:rsidRPr="006D397B">
        <w:t>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proofErr w:type="spellStart"/>
      <w:r w:rsidRPr="006D397B">
        <w:t>Драгичевич-Сесич</w:t>
      </w:r>
      <w:proofErr w:type="spellEnd"/>
      <w:r w:rsidRPr="006D397B">
        <w:t xml:space="preserve"> М. (Словения) считает перспективными такие модели культурной политики: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1</w:t>
      </w:r>
      <w:r w:rsidR="0053197A" w:rsidRPr="006D397B">
        <w:t>)</w:t>
      </w:r>
      <w:r w:rsidRPr="006D397B">
        <w:t xml:space="preserve"> Модель либеральной политики (США), которая предусматривает частное владение средствами производства и распространения культурных товаров. Ведущая роль при этом принадлежит индустрии культуры и ее культурным продуктам, удовлетворяющие массовый спрос. Решающее влияние на развитие культурной политики осуществляют культурно-художественные частные фонды.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2</w:t>
      </w:r>
      <w:r w:rsidR="0053197A" w:rsidRPr="006D397B">
        <w:t>)</w:t>
      </w:r>
      <w:r w:rsidRPr="006D397B">
        <w:t xml:space="preserve"> Модель государственной бюрократической или просветительской культурной политики (бывшие социалистические страны, Франция, Швеция), олицетворяет доминирование государства, контролирует сферу культуры путем материальной и финансовой поддержки (Франция, Швеция) или создание так называемого «социального заказа», предоставляющего </w:t>
      </w:r>
      <w:proofErr w:type="spellStart"/>
      <w:r w:rsidRPr="006D397B">
        <w:t>культуротворческие</w:t>
      </w:r>
      <w:proofErr w:type="spellEnd"/>
      <w:r w:rsidRPr="006D397B">
        <w:t xml:space="preserve"> деятельности соответствующего содержания, нивелируя и не допуская при этом креативно-инновационных изменений (СССР).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3</w:t>
      </w:r>
      <w:r w:rsidR="0053197A" w:rsidRPr="006D397B">
        <w:t>)</w:t>
      </w:r>
      <w:r w:rsidRPr="006D397B">
        <w:t xml:space="preserve"> Модель национально-освободительной культурной политики (страны Восточной Европы), моделирующая развитие национального самосознания как крайнее проявление «шовинизма», национализма, «закрытости культуры», неприятие произведений искусства предшествующих эпох, культуры национальных меньшинств, </w:t>
      </w:r>
      <w:r w:rsidRPr="006D397B">
        <w:lastRenderedPageBreak/>
        <w:t>альтернативного и экспериментального искусства, ориентацию на популистские культурные лозунги.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4</w:t>
      </w:r>
      <w:r w:rsidR="0053197A" w:rsidRPr="006D397B">
        <w:t>)</w:t>
      </w:r>
      <w:r w:rsidRPr="006D397B">
        <w:t xml:space="preserve"> Модель культурной политики переходного периода (Сербия), сущность которой заключается в реализации любых культурных инициатив с помощью государственных структур, не способных отказаться от командно-бюрократической системы управления. Противоречивые последствия такой модели отделяют культуру от мирового сообщества, подчеркивая националистические начала.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 xml:space="preserve">Культурная политика, по мнению </w:t>
      </w:r>
      <w:proofErr w:type="spellStart"/>
      <w:r w:rsidRPr="006D397B">
        <w:t>Драгичевич-Сесич</w:t>
      </w:r>
      <w:proofErr w:type="spellEnd"/>
      <w:r w:rsidRPr="006D397B">
        <w:t xml:space="preserve"> М., это - совокупность продуманных действий, направленных на достижение социально приемлемых целей</w:t>
      </w:r>
      <w:r w:rsidR="00581428" w:rsidRPr="006D397B">
        <w:rPr>
          <w:rStyle w:val="af0"/>
        </w:rPr>
        <w:footnoteReference w:id="10"/>
      </w:r>
      <w:r w:rsidRPr="006D397B">
        <w:t>. Для реализации культурной политики государствами применяются экономические (субсидии, гранты, кредиты, налоги), политически-правовые (нормативно-юридическое регулирование) и морально-идеологические (общественное порицание, социальное неприятие, поощрения) инструменты.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 xml:space="preserve">Немецкий культуролог </w:t>
      </w:r>
      <w:proofErr w:type="spellStart"/>
      <w:r w:rsidRPr="006D397B">
        <w:t>Визанд</w:t>
      </w:r>
      <w:proofErr w:type="spellEnd"/>
      <w:r w:rsidRPr="006D397B">
        <w:t xml:space="preserve"> А. выделяет две основные модели развития культурной политики: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1</w:t>
      </w:r>
      <w:r w:rsidR="0053197A" w:rsidRPr="006D397B">
        <w:t>)</w:t>
      </w:r>
      <w:r w:rsidRPr="006D397B">
        <w:t xml:space="preserve"> Модель традиционной общественной поддержки искусства и культуры. Она предусматривает: поддержку властью преимущественно традиционных учреждений культуры (музеев, театров, библиотек, культурных центров); установление властными структурами институционального баланса между культурой и искусством; финансирование за счет центрального правительства и общественного сектора; реализацию культурной политики на национальном уровне, недопустимости в культурной политике региональных различий, развитие международных культурных связей только в пределах дипломатической деятельности; активизацию населения как благодарного зрителя, который </w:t>
      </w:r>
      <w:r w:rsidRPr="006D397B">
        <w:lastRenderedPageBreak/>
        <w:t>должен поддерживать культуру; деятельность в различных сферах культуры художественных советов. Такая модель приводит к административному управлению, в котором творческое начало сводится к минимуму.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2</w:t>
      </w:r>
      <w:r w:rsidR="0053197A" w:rsidRPr="006D397B">
        <w:t>)</w:t>
      </w:r>
      <w:r w:rsidRPr="006D397B">
        <w:t xml:space="preserve"> Рыночная модель требует: деятельности по рыночным правилам почти всех секторов культурной жизни, приоритетности экономического развития, устранение преград между массовой и высокой культурами, менеджмента искусства (разработки организационной системы культурной жизни, планирование культурного развития, управления учреждениями культуры, адекватных форм международного культурного сотрудничества ), особого внимания к развитию местной культуры, учета запросов и интересов клиента. В рыночной модели культурной политики преобладают критерии рентабельности, постоянное недофинансирование культурных мероприятий, зависимость художника от интересов спонсора</w:t>
      </w:r>
      <w:r w:rsidR="00581428" w:rsidRPr="006D397B">
        <w:rPr>
          <w:rStyle w:val="af0"/>
        </w:rPr>
        <w:footnoteReference w:id="11"/>
      </w:r>
      <w:r w:rsidRPr="006D397B">
        <w:t>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Главным критерием оценки государственной культурной политики является ее эффективность, заключающаяся: в отрицании программ, способных достичь поставленной цели; успешной реализации культурных проектов; в принятии правильных решений по вопросам культурного развития государства, в совершенствовании управления учреждениями культуры и досуга</w:t>
      </w:r>
      <w:r w:rsidR="00581428" w:rsidRPr="006D397B">
        <w:rPr>
          <w:rStyle w:val="af0"/>
        </w:rPr>
        <w:footnoteReference w:id="12"/>
      </w:r>
      <w:r w:rsidRPr="006D397B">
        <w:t xml:space="preserve">. Неслучайным является создание в зарубежных странах (Великобритании, Франции, Германии, США, Канаде) научных, информационно-социологических служб общенационального, регионального, городского уровней, задачей которых является изучение культурно-досуговых интересов и потребностей различных групп населения; рекреационных запросов личности и объективных возможностей их удовлетворения; объема знаний, умений и навыков различных социальных групп населения в самоорганизации своего свободного времени; инфраструктуры культурно-досуговой и рекреационной сферы и тенденций </w:t>
      </w:r>
      <w:r w:rsidRPr="006D397B">
        <w:lastRenderedPageBreak/>
        <w:t xml:space="preserve">ее развития; изучение кадровых проблем. Например, в Германии действует Институт досуговых исследований, в Дании - Центр социального и культурного планирования, в Австрии - </w:t>
      </w:r>
      <w:proofErr w:type="spellStart"/>
      <w:r w:rsidRPr="006D397B">
        <w:t>Медиакульт</w:t>
      </w:r>
      <w:proofErr w:type="spellEnd"/>
      <w:r w:rsidRPr="006D397B">
        <w:t>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Итак, однозначную характеристику основ культурной политики различных зарубежных стран дать практически невозможно, ведь культурная политика в каждой из них основывается на основе национальных исторических, политических традиций, общественной поддержки культуры. В каждой стране действует много различных организаций, созданных для реализации культурной политики. Они воплощают в своей деятельности определенную философию культуры, национальные традиции в организации культурной деятельности и предоставлении досуговых услуг.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Франция является страной централизованных, административно-государственных традиций управления сферой культуры. Так, ведущую роль в развитии культурно-досуговой сферы играет Министерство культуры и коммуникации Франции, созданное в 1959 году. Оно поддерживает широкий спектр направлений культурно-досуговой деятельности (оперное, балетное, театральное, изобразительное, хореографическое искусство, язык, молодежную субкультуру, дизайн, моду, национальную кухню, национальное наследие) с помощью разветвленной централизованной административной сети.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В подчинении Министерства действуют департаменты, отраслевые управления, национальные учреждения культуры, музыкальные театры, музеи, библиотеки, культурно-художественные учебные заведения, архивы, культурные центры, картинные галереи. Однако государство не финансирует их полностью.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В целом, культурная политика Франции характеризуется следующими признаками:</w:t>
      </w:r>
    </w:p>
    <w:p w:rsidR="009940CC" w:rsidRPr="006D397B" w:rsidRDefault="0053197A" w:rsidP="009940CC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t>‐</w:t>
      </w:r>
      <w:r w:rsidR="009940CC" w:rsidRPr="006D397B">
        <w:t xml:space="preserve"> гигантоманией, стремлением реализовать крупные проекты (вроде Домов культуры), создать культурные центры как храмы духовности (Культурный центр имени Жоржа Помпиду).</w:t>
      </w:r>
    </w:p>
    <w:p w:rsidR="009940CC" w:rsidRPr="006D397B" w:rsidRDefault="0053197A" w:rsidP="009940CC">
      <w:pPr>
        <w:spacing w:line="360" w:lineRule="auto"/>
        <w:ind w:firstLine="708"/>
        <w:jc w:val="both"/>
      </w:pPr>
      <w:r w:rsidRPr="006D397B">
        <w:rPr>
          <w:rFonts w:ascii="Cambria Math" w:hAnsi="Cambria Math" w:cs="Cambria Math"/>
        </w:rPr>
        <w:lastRenderedPageBreak/>
        <w:t>‐</w:t>
      </w:r>
      <w:r w:rsidR="009940CC" w:rsidRPr="006D397B">
        <w:t xml:space="preserve"> сочетанием культурного развития регионов, административной децентрализации с участием государства в культурной деятельности</w:t>
      </w:r>
      <w:r w:rsidR="00581428" w:rsidRPr="006D397B">
        <w:rPr>
          <w:rStyle w:val="af0"/>
        </w:rPr>
        <w:footnoteReference w:id="13"/>
      </w:r>
      <w:r w:rsidR="009940CC" w:rsidRPr="006D397B">
        <w:t>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 xml:space="preserve">Культурная политика Франции характеризуется единой </w:t>
      </w:r>
      <w:proofErr w:type="spellStart"/>
      <w:r w:rsidRPr="006D397B">
        <w:t>скоординированностью</w:t>
      </w:r>
      <w:proofErr w:type="spellEnd"/>
      <w:r w:rsidRPr="006D397B">
        <w:t>, активной государственной поддержкой отечественных (в том числе и коммерческих) культурных индустрий; защитой культурного наследия и французского языка.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Вместе с тем проект культурной политики не является исключительной прерогативой Министерства культуры. Органы центральной власти и региональные дирекции по культурным делам сочетают между собой Управление регионального развития. Региональные дирекции культурных дел обеспечивают координацию деятельности Министерства и органов местной власти, реализуют принципы национальной культурной политики в местных условиях, целостность региональной культурной политики, отвечающие за финансирование местных культурных проектов, оказывают консультативную и методическую помощь учреждениям культуры на местах, проводят научные исследования в области культуры</w:t>
      </w:r>
      <w:r w:rsidR="00581428" w:rsidRPr="006D397B">
        <w:rPr>
          <w:rStyle w:val="af0"/>
        </w:rPr>
        <w:footnoteReference w:id="14"/>
      </w:r>
      <w:r w:rsidRPr="006D397B">
        <w:t>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 xml:space="preserve">Согласно стратегии развития культурно-досуговой сферы в регионах страны в девяностые годы ХХ в. было реализовано более 35 региональных проектов, в результате чего начали действовать музеи современного искусства в Гренобле, </w:t>
      </w:r>
      <w:proofErr w:type="spellStart"/>
      <w:r w:rsidRPr="006D397B">
        <w:t>Сент-Этьенне</w:t>
      </w:r>
      <w:proofErr w:type="spellEnd"/>
      <w:r w:rsidRPr="006D397B">
        <w:t xml:space="preserve">, Страсбурге, восстановлено музей Святого Петра в Лионе, музей изобразительного искусства в Лилле и Руане, археологический музей в </w:t>
      </w:r>
      <w:proofErr w:type="spellStart"/>
      <w:r w:rsidRPr="006D397B">
        <w:t>Арле</w:t>
      </w:r>
      <w:proofErr w:type="spellEnd"/>
      <w:r w:rsidRPr="006D397B">
        <w:t>, сады «</w:t>
      </w:r>
      <w:proofErr w:type="spellStart"/>
      <w:r w:rsidRPr="006D397B">
        <w:t>Кордери-Руаяль</w:t>
      </w:r>
      <w:proofErr w:type="spellEnd"/>
      <w:r w:rsidRPr="006D397B">
        <w:t xml:space="preserve">» в </w:t>
      </w:r>
      <w:proofErr w:type="spellStart"/>
      <w:r w:rsidRPr="006D397B">
        <w:t>Рошфоре</w:t>
      </w:r>
      <w:proofErr w:type="spellEnd"/>
      <w:r w:rsidRPr="006D397B">
        <w:t xml:space="preserve">, оборудована археологическая зона в </w:t>
      </w:r>
      <w:proofErr w:type="spellStart"/>
      <w:r w:rsidRPr="006D397B">
        <w:t>Бибракти</w:t>
      </w:r>
      <w:proofErr w:type="spellEnd"/>
      <w:r w:rsidRPr="006D397B">
        <w:t>, открыт ряд национальных драматических и культурных комплексов, национальных сцен, объединяющих дома культуры и центры культурной деятельности.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 xml:space="preserve">Британским изобретением считается модель культурной политики государства, действующей по «принципу вытянутой руки». Эта модель </w:t>
      </w:r>
      <w:r w:rsidRPr="006D397B">
        <w:lastRenderedPageBreak/>
        <w:t xml:space="preserve">используется в Австралии, Ирландии, Канаде и других странах, сущность ее заключается в выделении, а не распределении государством средств на финансирование культуры. Распределение средств осуществляется общественно-государственными учреждениями. </w:t>
      </w:r>
      <w:r w:rsidR="00DE1A0F" w:rsidRPr="006D397B">
        <w:t>В</w:t>
      </w:r>
      <w:r w:rsidRPr="006D397B">
        <w:t xml:space="preserve"> поддержку культурных проектов, программ, институтов в соответствии с «принципом вытянутой руки» британское государство будто признает потребность культуры в поддержке из государственного бюджета, «но при этом не желает быть полноценным субъектом такой поддержки»</w:t>
      </w:r>
      <w:r w:rsidR="00581428" w:rsidRPr="006D397B">
        <w:rPr>
          <w:rStyle w:val="af0"/>
        </w:rPr>
        <w:footnoteReference w:id="15"/>
      </w:r>
      <w:r w:rsidR="00581428" w:rsidRPr="006D397B">
        <w:t xml:space="preserve"> </w:t>
      </w:r>
      <w:r w:rsidRPr="006D397B">
        <w:t>и позволяет учреждениям культуры проявлять свою независимость.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 xml:space="preserve">На практике, делегированные государством полномочия выполняют внешне независимые организации в сфере культуры - Английский совет искусств, Британский киноинститут, Комиссия музеев и галерей, Совет по делам спорта, Британский совет туризма. Они относительно самостоятельно определяют свою политику и дальнейшую судьбу государственных ассигнований. </w:t>
      </w:r>
    </w:p>
    <w:p w:rsidR="009940CC" w:rsidRPr="006D397B" w:rsidRDefault="009940CC" w:rsidP="00FA6FBD">
      <w:pPr>
        <w:spacing w:line="360" w:lineRule="auto"/>
        <w:ind w:firstLine="708"/>
      </w:pPr>
      <w:r w:rsidRPr="006D397B">
        <w:t>«</w:t>
      </w:r>
      <w:r w:rsidR="00FA6FBD" w:rsidRPr="006D397B">
        <w:t>П</w:t>
      </w:r>
      <w:r w:rsidRPr="006D397B">
        <w:t>ринцип вытянутой руки» реализуется в деятельности:</w:t>
      </w:r>
    </w:p>
    <w:p w:rsidR="009940CC" w:rsidRPr="006D397B" w:rsidRDefault="009940CC" w:rsidP="00FA6FBD">
      <w:pPr>
        <w:spacing w:line="360" w:lineRule="auto"/>
        <w:ind w:firstLine="708"/>
        <w:jc w:val="both"/>
      </w:pPr>
      <w:r w:rsidRPr="006D397B">
        <w:rPr>
          <w:i/>
        </w:rPr>
        <w:t>- Совета искусств Великобритании</w:t>
      </w:r>
      <w:r w:rsidRPr="006D397B">
        <w:t xml:space="preserve"> (с 1994 г. - Совета искусств Англии, Шотландии и Уэльса), в подчинении которого находятся: Королевский Шекспировский театр, Национальный театр, Королевская опера, Английская национальная опера и др</w:t>
      </w:r>
      <w:r w:rsidR="00DE1A0F" w:rsidRPr="006D397B">
        <w:t>.</w:t>
      </w:r>
      <w:r w:rsidRPr="006D397B">
        <w:t>;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rPr>
          <w:i/>
        </w:rPr>
        <w:t>- региональных управлений искусств</w:t>
      </w:r>
      <w:r w:rsidRPr="006D397B">
        <w:t>, которые финансируют культурные проекты регионального масштаба;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rPr>
          <w:i/>
        </w:rPr>
        <w:t>- Департамента по делам культуры</w:t>
      </w:r>
      <w:r w:rsidRPr="006D397B">
        <w:t>, СМИ и спорта, в подчинении которого находятся: Национальная лотерея, Национальные Художественные Коллекции, Управление архитектурным наследием, национальные музеи.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 xml:space="preserve">Модель культурной политики в роли Помощника ярко проявляет свои черты в США. Идеологию американского общества в целом и культурной политики в частности характеризует плюрализм, децентрализация, </w:t>
      </w:r>
      <w:r w:rsidRPr="006D397B">
        <w:lastRenderedPageBreak/>
        <w:t>индивидуализм, прагматизм, сциентизм и культ успеха. Культурная сфера страны включает элитарную и массовую, коммерческую и некоммерческую, профессиональную и любительскую культуру и предусматривает: выделение грантов, наград, осуществления правительственных заказов и исследований, собственных культурных программ, привлечение экспертов, организацию конференций, создание благоприятной налоговой базы, политики поощрения благотворительности и содействия развитию «третьего сектора».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 xml:space="preserve">Культурная политика реализуется с помощью Национального фонда поддержки искусств (NEA) и гуманитарных наук (NEH), </w:t>
      </w:r>
      <w:proofErr w:type="spellStart"/>
      <w:r w:rsidRPr="006D397B">
        <w:t>Смитсоновского</w:t>
      </w:r>
      <w:proofErr w:type="spellEnd"/>
      <w:r w:rsidRPr="006D397B">
        <w:t xml:space="preserve"> Института, Национальной галереи, Института музейного и библиотечного дела, сети Общественного вещания, др. институтов. Однако роль лидеров в реализации культурной политики отводится Национальным фондам поддержки искусств и гуманитарных наук. Так, в структуре Национального фонда поддержки искусств созданы такие подразделения: «Образование и доступность», «Творческая разработка и презентация творческих проектов», «Культурное наследие и его презентация» и др. Приоритетными направлениями деятельности этих организаций является развитие художественного образования; расширение доступа населения к культурным ценностям, особенно в сельской местности; содействие децентрализации механизмов поддержки искусства, сохранения культурных богатств страны</w:t>
      </w:r>
      <w:r w:rsidR="00DE1A0F" w:rsidRPr="006D397B">
        <w:t xml:space="preserve"> и др.</w:t>
      </w:r>
    </w:p>
    <w:p w:rsidR="009940CC" w:rsidRPr="006D397B" w:rsidRDefault="009940CC" w:rsidP="00FA6FBD">
      <w:pPr>
        <w:spacing w:line="360" w:lineRule="auto"/>
        <w:ind w:firstLine="708"/>
        <w:jc w:val="both"/>
      </w:pPr>
      <w:r w:rsidRPr="006D397B">
        <w:t>Целостный подход к проблемам культуры и досуга продемонстрировано в докладе «Креативная Америка» Президентского Совета по вопросам искусств и гуманитарных программ. В докладе изложены основные положения, составляющие основу культурного развития страны:</w:t>
      </w:r>
      <w:r w:rsidR="00FA6FBD" w:rsidRPr="006D397B">
        <w:t xml:space="preserve"> </w:t>
      </w:r>
      <w:r w:rsidRPr="006D397B">
        <w:t>возрождение американской филантропической деятельности в сфере культуры;</w:t>
      </w:r>
      <w:r w:rsidR="00FA6FBD" w:rsidRPr="006D397B">
        <w:t xml:space="preserve"> </w:t>
      </w:r>
      <w:r w:rsidRPr="006D397B">
        <w:t>выявление основных проблем в сфере охраны культуры и планирование защиты культурного наследия;</w:t>
      </w:r>
      <w:r w:rsidR="00FA6FBD" w:rsidRPr="006D397B">
        <w:t xml:space="preserve"> </w:t>
      </w:r>
      <w:r w:rsidRPr="006D397B">
        <w:t>объединение усилий государства и частных инвесторов для привлечения новейших технологий в культурную практику;</w:t>
      </w:r>
      <w:r w:rsidR="00FA6FBD" w:rsidRPr="006D397B">
        <w:t xml:space="preserve"> </w:t>
      </w:r>
      <w:r w:rsidRPr="006D397B">
        <w:t xml:space="preserve">улучшение качества образования в области </w:t>
      </w:r>
      <w:r w:rsidRPr="006D397B">
        <w:lastRenderedPageBreak/>
        <w:t>гуманитарных наук;</w:t>
      </w:r>
      <w:r w:rsidR="00FA6FBD" w:rsidRPr="006D397B">
        <w:t xml:space="preserve"> </w:t>
      </w:r>
      <w:r w:rsidRPr="006D397B">
        <w:t>совершенствование международного культурного обмена</w:t>
      </w:r>
      <w:r w:rsidR="00581428" w:rsidRPr="006D397B">
        <w:rPr>
          <w:rStyle w:val="af0"/>
        </w:rPr>
        <w:footnoteReference w:id="16"/>
      </w:r>
      <w:r w:rsidRPr="006D397B">
        <w:t>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Составляющей поддержкой культуры и искусства в США являются местные агентства, призванные финансово поддерживать различные культурные акции в рамках общины. Первые местные агентства возникли по инициативе местных органов власти еще в сороковые годы ХХ в., а в восьмидесятые годы ХХ в. они превращаются в авторитетные органы, способные осуществлять профессиональное руководство, культурное планирование и реализацию досуговых региональных программ.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Местные культурно-художественные агентства - это неприбыльные организации. Разнообразные стимулы и налоговые льготы, «дополняющие гранты», привели к созданию значительного количества фондов, имеющие различные задачи, критерии и направления деятельности.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Страны Центральной и Восточной Европы столкнулись с различными проблемами в период культурной трансформации, однако у них есть общие признаки, присущие всем посткоммунистическим государствам. После изменения политических режимов в конце 80-х - начале 90-х годов ХХ в., создается новая модель культурной политики, обеспечивающая свободу творчества и культурной жизни, децентрализацию социально-культурной сферы, многообразие видов культурного творчества и международных контактов, коммерциализацию индустрии культуры и досуга, привлечение новых участников культурно-досугового процесса (фондов, частных учреждений, творческих ассоциаций), заинтересованность культурной самобытностью и народными традициями.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 xml:space="preserve">Страны Центральной и Восточной Европы пережили трудности переходного этапа: спад производства, коренные изменения в структуре собственности и производственных отношениях, общественной психологии и массовом сознании, переход от фиксированных государственных цен к </w:t>
      </w:r>
      <w:r w:rsidRPr="006D397B">
        <w:lastRenderedPageBreak/>
        <w:t>свободным, рыночным, сопровождавшийся непоследовательным инфляционным процессом и резким снижением жизненного уровня населения, ростом безработицы.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>В сфере культуры был проведен ряд реформ для: децентрализации управления отраслью; переориентации учреждений культуры на деятельность в рыночных условиях; совершенствование законодательства в соответствии с новыми социально-экономическими и политическими условиями; создание новых административных органов, обеспечение развития частных, добровольных, муниципальных учреждений культуры. Главным в культурной политике стран Центральной и Восточной Европы стала децентрализация. Правительства стран, провозглашая принципы децентрализации, стремятся удержать хотя бы частичный контроль над дея</w:t>
      </w:r>
      <w:r w:rsidR="006D397B" w:rsidRPr="006D397B">
        <w:t xml:space="preserve">тельностью учреждений культуры. </w:t>
      </w:r>
      <w:r w:rsidRPr="006D397B">
        <w:t xml:space="preserve">Рост интеграционных процессов в современном мире приводит к нивелированию этнокультурных различий. Национальные культуры отмечают опасное воздействие массовой культуры. С этой точки зрения интересен опыт культурной политики Канады, в которой доминирует тенденция к сохранению самобытности национальных культур. </w:t>
      </w:r>
    </w:p>
    <w:p w:rsidR="00DE1A0F" w:rsidRPr="006D397B" w:rsidRDefault="009940CC" w:rsidP="00DE1A0F">
      <w:pPr>
        <w:spacing w:line="360" w:lineRule="auto"/>
        <w:ind w:firstLine="708"/>
        <w:jc w:val="both"/>
      </w:pPr>
      <w:r w:rsidRPr="006D397B">
        <w:t xml:space="preserve">Канада формировалась как двунациональное, двуязычное государство, в составе двух основных этносов - </w:t>
      </w:r>
      <w:proofErr w:type="spellStart"/>
      <w:r w:rsidRPr="006D397B">
        <w:t>англоканадцев</w:t>
      </w:r>
      <w:proofErr w:type="spellEnd"/>
      <w:r w:rsidRPr="006D397B">
        <w:t xml:space="preserve"> и </w:t>
      </w:r>
      <w:proofErr w:type="spellStart"/>
      <w:r w:rsidRPr="006D397B">
        <w:t>франкоканадцев</w:t>
      </w:r>
      <w:proofErr w:type="spellEnd"/>
      <w:r w:rsidRPr="006D397B">
        <w:t>. Среди самых распространенных языков канадцев - английский и французский, а с середины 90-х гг. - китайский язык.</w:t>
      </w:r>
      <w:r w:rsidR="00DE1A0F" w:rsidRPr="006D397B">
        <w:t xml:space="preserve"> </w:t>
      </w:r>
      <w:r w:rsidRPr="006D397B">
        <w:t>Культурная политика Канады рассматривается правительством и населением: как главная составляющая внешнеполитической стратегии страны; как важный инструмент сохранения самобытности канадского общества; как гарант государственного суверенитета и национального достоинства. Такую позицию правительства по отношению к культурной сфере подтверждает и Клиф орд Линкольн, который отмечает: «Культура во всех ее проявлениях - это сущность и главное выражение нашей идентичности»</w:t>
      </w:r>
      <w:r w:rsidR="00DE1A0F" w:rsidRPr="006D397B">
        <w:t>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 xml:space="preserve">Важной составляющей культурной политики страны является требование канадского содержания, </w:t>
      </w:r>
      <w:proofErr w:type="spellStart"/>
      <w:r w:rsidRPr="006D397B">
        <w:t>способствуещего</w:t>
      </w:r>
      <w:proofErr w:type="spellEnd"/>
      <w:r w:rsidRPr="006D397B">
        <w:t xml:space="preserve"> сохранению канадской </w:t>
      </w:r>
      <w:r w:rsidRPr="006D397B">
        <w:lastRenderedPageBreak/>
        <w:t>самобытности и призванного отстаивать интересы национальных потребителей. Чувствуя сильное влияние американской культуры, Канада, введя требование канадского содержания, создала возможности для распространения канадской культурной продукции, не ограничивая при этом доступа населения к зарубежным культурным образцам.</w:t>
      </w:r>
    </w:p>
    <w:p w:rsidR="009940CC" w:rsidRPr="006D397B" w:rsidRDefault="009940CC" w:rsidP="009940CC">
      <w:pPr>
        <w:spacing w:line="360" w:lineRule="auto"/>
        <w:ind w:firstLine="708"/>
        <w:jc w:val="both"/>
      </w:pPr>
      <w:r w:rsidRPr="006D397B">
        <w:t xml:space="preserve">Несмотря на массивное иностранное влияние в сфере культуры и досуга, Канада создала, а в последнее десятилетие значительно укрепила, национальные культурные области (телевидение, книгоиздательство, музыкальную индустрию, библиотечное дело, национальные заповедники и др.). К решению вопросов культуры и досуга, прямо или косвенно, в стране причастны: Канадский совет поддержки искусств, Министерство канадского наследия, Национальный центр искусств, Национальный департамент кино, Национальная галерея, Фонд развития культурной индустрии, а также разнообразные культурно-досуговые учреждения. Министерство канадского наследия, созданное в 1933 г., рассматривает вопрос поддержки искусства и культуры, спорта, парковой деятельности, исторических памятников, развития </w:t>
      </w:r>
      <w:proofErr w:type="spellStart"/>
      <w:r w:rsidRPr="006D397B">
        <w:t>мультикультурализма</w:t>
      </w:r>
      <w:proofErr w:type="spellEnd"/>
      <w:r w:rsidRPr="006D397B">
        <w:t>.</w:t>
      </w:r>
    </w:p>
    <w:p w:rsidR="009940CC" w:rsidRDefault="009940CC" w:rsidP="009940CC">
      <w:pPr>
        <w:spacing w:line="360" w:lineRule="auto"/>
        <w:ind w:firstLine="708"/>
        <w:jc w:val="both"/>
      </w:pPr>
      <w:r w:rsidRPr="006D397B">
        <w:t xml:space="preserve">Характерным признаком культурной политики Канады является ярко выраженный регионализм, преимущество местных интересов и потребностей над общегосударственными. </w:t>
      </w:r>
      <w:r w:rsidR="006D397B" w:rsidRPr="006D397B">
        <w:t>Р</w:t>
      </w:r>
      <w:r w:rsidRPr="006D397B">
        <w:t xml:space="preserve">егиональное многообразие Канады сочетается с этническим многообразием и способствует формированию «этнокультурной мозаики», которую канадцы всячески поддерживают и развивают. Активная поддержка «этнической мозаики» выражается в общегосударственной концепции </w:t>
      </w:r>
      <w:proofErr w:type="spellStart"/>
      <w:r w:rsidRPr="006D397B">
        <w:t>мультикультурализма</w:t>
      </w:r>
      <w:proofErr w:type="spellEnd"/>
      <w:r w:rsidRPr="006D397B">
        <w:t>, принятой еще в 1971 году, а также в доминировании в Канаде «одной нации, двух языков и множественности культур»</w:t>
      </w:r>
      <w:r w:rsidR="00581428" w:rsidRPr="006D397B">
        <w:rPr>
          <w:rStyle w:val="af0"/>
        </w:rPr>
        <w:footnoteReference w:id="17"/>
      </w:r>
      <w:r w:rsidRPr="006D397B">
        <w:t>.</w:t>
      </w:r>
    </w:p>
    <w:p w:rsidR="009940CC" w:rsidRDefault="009940CC" w:rsidP="009940CC">
      <w:pPr>
        <w:spacing w:line="360" w:lineRule="auto"/>
        <w:ind w:firstLine="708"/>
        <w:jc w:val="both"/>
      </w:pPr>
      <w:r>
        <w:t xml:space="preserve">Таким образом, культурная индустрия Канады играет важную роль в жизни всей страны. Довольно успешная культурная политика позволяет </w:t>
      </w:r>
      <w:r>
        <w:lastRenderedPageBreak/>
        <w:t xml:space="preserve">достойно представлять канадскую культуру на мировой арене и обеспечивает своим гражданам доступ к мировым достижениям в области культуры и досуга. </w:t>
      </w:r>
    </w:p>
    <w:p w:rsidR="00DE1A0F" w:rsidRPr="009C3896" w:rsidRDefault="009940CC" w:rsidP="00DE1A0F">
      <w:pPr>
        <w:spacing w:line="360" w:lineRule="auto"/>
        <w:ind w:firstLine="708"/>
        <w:jc w:val="both"/>
      </w:pPr>
      <w:r>
        <w:t xml:space="preserve">Среди стран Азиатского региона стоит проанализировать опыт культурной политики в Японии. На государственном уровне здесь создано Агентство по делам культуры, имеющее следующие подразделения: департамент по делам культуры (заботится о развитии искусства, японского языка, авторских прав и религиозных организаций); департамент охраны собственности в сфере культуры (занимается вопросами традиционной культуры, защитой памятников, городов, развитием архитектуры и прикладного искусства). </w:t>
      </w:r>
    </w:p>
    <w:p w:rsidR="009940CC" w:rsidRDefault="009940CC" w:rsidP="00FA6FBD">
      <w:pPr>
        <w:spacing w:line="360" w:lineRule="auto"/>
        <w:ind w:firstLine="708"/>
        <w:jc w:val="both"/>
      </w:pPr>
      <w:r w:rsidRPr="009C3896">
        <w:t>В финансировании государство играет вспомогательную роль. Японское правительство, придерживаясь политики децентрализации, настаивает на финансировании досуговой сферы местными органами власти. В отличие от европейских стран и США, в Японии значительная часть пожертвований поступает не от частных лиц, а от крупных корпораций. В стране почти отсутствуют традиции спонсорства и меценат</w:t>
      </w:r>
      <w:r>
        <w:t>ства от отдельных граждан</w:t>
      </w:r>
      <w:r w:rsidR="00581428">
        <w:rPr>
          <w:rStyle w:val="af0"/>
        </w:rPr>
        <w:footnoteReference w:id="18"/>
      </w:r>
      <w:r>
        <w:t>.</w:t>
      </w:r>
    </w:p>
    <w:p w:rsidR="00FA6FBD" w:rsidRDefault="009940CC" w:rsidP="00FA6FBD">
      <w:pPr>
        <w:spacing w:line="360" w:lineRule="auto"/>
        <w:ind w:firstLine="708"/>
        <w:jc w:val="both"/>
      </w:pPr>
      <w:r>
        <w:t>Таким образом</w:t>
      </w:r>
      <w:r w:rsidRPr="009C3896">
        <w:t>, в мире общепринятым считается разделение различных моделей культурной политики на модели инженеров, архитекторов, Патрона, Помощника. И хотя каждая модель имеет свои специфические признаки, объединяющим звеном является главная цель культурной политики, заключающ</w:t>
      </w:r>
      <w:r>
        <w:t>ая</w:t>
      </w:r>
      <w:r w:rsidRPr="009C3896">
        <w:t xml:space="preserve">ся в самореализации потенциала личности, всестороннем раскрытии способностей человека. </w:t>
      </w:r>
      <w:r w:rsidR="006D397B">
        <w:t>В</w:t>
      </w:r>
      <w:r w:rsidRPr="009C3896">
        <w:t>опрос доступности образцов культуры, привлечения населения к досуговой деятельности, его активная социально-культурная позиция является главной задачей культурной политики стран.</w:t>
      </w:r>
      <w:bookmarkStart w:id="7" w:name="_Toc85540968"/>
    </w:p>
    <w:p w:rsidR="00FA6FBD" w:rsidRDefault="00FA6FBD">
      <w:pPr>
        <w:spacing w:after="200" w:line="276" w:lineRule="auto"/>
      </w:pPr>
      <w:r>
        <w:br w:type="page"/>
      </w:r>
    </w:p>
    <w:p w:rsidR="009940CC" w:rsidRPr="00FA6FBD" w:rsidRDefault="00827715" w:rsidP="00FA6FBD">
      <w:pPr>
        <w:spacing w:line="360" w:lineRule="auto"/>
        <w:ind w:firstLine="708"/>
        <w:jc w:val="center"/>
        <w:rPr>
          <w:b/>
        </w:rPr>
      </w:pPr>
      <w:r w:rsidRPr="00FA6FBD">
        <w:rPr>
          <w:rFonts w:cs="Times New Roman"/>
          <w:b/>
        </w:rPr>
        <w:lastRenderedPageBreak/>
        <w:t>Заключение</w:t>
      </w:r>
      <w:bookmarkEnd w:id="7"/>
    </w:p>
    <w:p w:rsidR="00827715" w:rsidRPr="009C3896" w:rsidRDefault="00827715" w:rsidP="009940CC">
      <w:pPr>
        <w:ind w:firstLine="708"/>
      </w:pPr>
    </w:p>
    <w:p w:rsidR="009940CC" w:rsidRDefault="007D2D25" w:rsidP="009940CC">
      <w:pPr>
        <w:spacing w:line="360" w:lineRule="auto"/>
        <w:ind w:firstLine="708"/>
        <w:jc w:val="both"/>
      </w:pPr>
      <w:r>
        <w:t xml:space="preserve">Досуг </w:t>
      </w:r>
      <w:r w:rsidR="009940CC" w:rsidRPr="009C3896">
        <w:t>рассматривается как составляющая культурной сферы, а главные вопросы досуговой сферы разрабатываются в контексте культурной политики конкретного государства. Вместе с тем отдельные аспекты досуговой сферы (образовательный потенциал, педагогические принципы досуга, социология досуга</w:t>
      </w:r>
      <w:r w:rsidR="009940CC">
        <w:t xml:space="preserve"> и др.</w:t>
      </w:r>
      <w:r w:rsidR="009940CC" w:rsidRPr="009C3896">
        <w:t>) является объектом различных сфер</w:t>
      </w:r>
      <w:r w:rsidR="009940CC">
        <w:t xml:space="preserve"> жизнедеятельности государства.</w:t>
      </w:r>
    </w:p>
    <w:p w:rsidR="009940CC" w:rsidRDefault="009940CC" w:rsidP="009940CC">
      <w:pPr>
        <w:spacing w:line="360" w:lineRule="auto"/>
        <w:ind w:firstLine="708"/>
        <w:jc w:val="both"/>
      </w:pPr>
      <w:r w:rsidRPr="009C3896">
        <w:t>Каждое государство определяет собственную культурную политику в соответствии с ценностями, задач</w:t>
      </w:r>
      <w:r>
        <w:t>ами</w:t>
      </w:r>
      <w:r w:rsidRPr="009C3896">
        <w:t xml:space="preserve"> и культурны</w:t>
      </w:r>
      <w:r>
        <w:t>ми</w:t>
      </w:r>
      <w:r w:rsidRPr="009C3896">
        <w:t xml:space="preserve"> преимуществ</w:t>
      </w:r>
      <w:r>
        <w:t>ами</w:t>
      </w:r>
      <w:r w:rsidRPr="009C3896">
        <w:t xml:space="preserve"> конкретного государства. Принципы государственн</w:t>
      </w:r>
      <w:r>
        <w:t>ой политики в сфере досуга перерастают</w:t>
      </w:r>
      <w:r w:rsidRPr="009C3896">
        <w:t xml:space="preserve"> в институциональные механизмы взаимодействия между обществом и правительством и реализуются в конкретных культурных, соци</w:t>
      </w:r>
      <w:r>
        <w:t xml:space="preserve">альных и досуговых инициативах. </w:t>
      </w:r>
      <w:r w:rsidRPr="009C3896">
        <w:t>Общими принципами и позициями, принятыми и одобренными международным сообществом в сфере культуры являются: создание возможностей для участия человека в культурной жизни общества, культурное развитие, благодаря которому культурная политика становится составляющей общей государственной политики; сохранение и популяризация культурной самобытности; развитие м</w:t>
      </w:r>
      <w:r>
        <w:t>еждународных культурных связей.</w:t>
      </w:r>
    </w:p>
    <w:p w:rsidR="009940CC" w:rsidRDefault="009940CC" w:rsidP="009940CC">
      <w:pPr>
        <w:spacing w:line="360" w:lineRule="auto"/>
        <w:ind w:firstLine="708"/>
        <w:jc w:val="both"/>
      </w:pPr>
      <w:r w:rsidRPr="009C3896">
        <w:t xml:space="preserve">Неотъемлемой составляющей государственной культурной политики является оценка ее эффективности, сущность которой заключается в неприятии программ, способных достичь поставленной цели, в успешном процессе реализации культурных проектов, принятии правильных решений по вопросам культурного развития государства, в совершенствовании управления </w:t>
      </w:r>
      <w:r>
        <w:t>учреждениями культуры и досуга.</w:t>
      </w:r>
    </w:p>
    <w:p w:rsidR="009940CC" w:rsidRDefault="009940CC" w:rsidP="009940CC">
      <w:pPr>
        <w:spacing w:line="360" w:lineRule="auto"/>
        <w:ind w:firstLine="708"/>
        <w:jc w:val="both"/>
      </w:pPr>
      <w:r w:rsidRPr="009C3896">
        <w:t>Неизменным условием успешной культурной политики считается тесная связь между решениями, которые влияют на</w:t>
      </w:r>
      <w:r>
        <w:t xml:space="preserve"> культурную жизнь и потребност</w:t>
      </w:r>
      <w:r w:rsidRPr="009C3896">
        <w:t>и и запрос</w:t>
      </w:r>
      <w:r>
        <w:t>ы</w:t>
      </w:r>
      <w:r w:rsidRPr="009C3896">
        <w:t xml:space="preserve"> городского населения.</w:t>
      </w:r>
    </w:p>
    <w:p w:rsidR="00827715" w:rsidRPr="00FA6FBD" w:rsidRDefault="00827715">
      <w:pPr>
        <w:spacing w:after="200" w:line="276" w:lineRule="auto"/>
      </w:pPr>
      <w:bookmarkStart w:id="8" w:name="_Toc85540969"/>
      <w:r>
        <w:br w:type="page"/>
      </w:r>
    </w:p>
    <w:p w:rsidR="009940CC" w:rsidRDefault="00827715" w:rsidP="00FA6FBD">
      <w:pPr>
        <w:pStyle w:val="1"/>
        <w:jc w:val="center"/>
      </w:pPr>
      <w:r w:rsidRPr="00FA6FBD">
        <w:rPr>
          <w:color w:val="auto"/>
        </w:rPr>
        <w:lastRenderedPageBreak/>
        <w:t>Список литературы</w:t>
      </w:r>
      <w:bookmarkEnd w:id="8"/>
    </w:p>
    <w:p w:rsidR="00827715" w:rsidRPr="00827715" w:rsidRDefault="00827715" w:rsidP="00827715"/>
    <w:p w:rsidR="00827715" w:rsidRPr="00827715" w:rsidRDefault="009940CC" w:rsidP="00827715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lang w:val="en-US"/>
        </w:rPr>
      </w:pPr>
      <w:r w:rsidRPr="00827715">
        <w:rPr>
          <w:lang w:val="en-US"/>
        </w:rPr>
        <w:t xml:space="preserve">Cultural </w:t>
      </w:r>
      <w:proofErr w:type="spellStart"/>
      <w:r w:rsidRPr="00827715">
        <w:rPr>
          <w:lang w:val="en-US"/>
        </w:rPr>
        <w:t>polisy</w:t>
      </w:r>
      <w:proofErr w:type="spellEnd"/>
      <w:r w:rsidRPr="00827715">
        <w:rPr>
          <w:lang w:val="en-US"/>
        </w:rPr>
        <w:t>: a prelimi</w:t>
      </w:r>
      <w:r w:rsidR="00827715" w:rsidRPr="00827715">
        <w:rPr>
          <w:lang w:val="en-US"/>
        </w:rPr>
        <w:t>nary study. — P., UNESKO, 1969.</w:t>
      </w:r>
    </w:p>
    <w:p w:rsidR="00827715" w:rsidRPr="00827715" w:rsidRDefault="009940CC" w:rsidP="00827715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lang w:val="en-US"/>
        </w:rPr>
      </w:pPr>
      <w:r w:rsidRPr="00827715">
        <w:rPr>
          <w:lang w:val="en-US"/>
        </w:rPr>
        <w:t>Girard A. Cultural Development: Experiences and Policies. P., UNESCO, 1983.</w:t>
      </w:r>
    </w:p>
    <w:p w:rsidR="00827715" w:rsidRDefault="009940CC" w:rsidP="00827715">
      <w:pPr>
        <w:pStyle w:val="a5"/>
        <w:numPr>
          <w:ilvl w:val="0"/>
          <w:numId w:val="5"/>
        </w:numPr>
        <w:spacing w:line="360" w:lineRule="auto"/>
        <w:ind w:left="0"/>
        <w:jc w:val="both"/>
      </w:pPr>
      <w:r>
        <w:t>Акимов</w:t>
      </w:r>
      <w:r w:rsidRPr="00827715">
        <w:t xml:space="preserve"> </w:t>
      </w:r>
      <w:r>
        <w:t>Ю</w:t>
      </w:r>
      <w:r w:rsidRPr="00827715">
        <w:t>.</w:t>
      </w:r>
      <w:r>
        <w:t>Г</w:t>
      </w:r>
      <w:r w:rsidRPr="00827715">
        <w:t xml:space="preserve">. </w:t>
      </w:r>
      <w:r>
        <w:t>Канадское</w:t>
      </w:r>
      <w:r w:rsidRPr="00827715">
        <w:t xml:space="preserve"> </w:t>
      </w:r>
      <w:r>
        <w:t>общество</w:t>
      </w:r>
      <w:r w:rsidRPr="00827715">
        <w:t xml:space="preserve"> </w:t>
      </w:r>
      <w:r>
        <w:t>на</w:t>
      </w:r>
      <w:r w:rsidRPr="00827715">
        <w:t xml:space="preserve"> </w:t>
      </w:r>
      <w:r>
        <w:t>пороге</w:t>
      </w:r>
      <w:r w:rsidRPr="00827715">
        <w:t xml:space="preserve"> </w:t>
      </w:r>
      <w:r>
        <w:t>ХХІ века (по материалам частичной переписи населения) // США, Канада: экономика, политика, культура. — 2001. - № 8-9.</w:t>
      </w:r>
    </w:p>
    <w:p w:rsidR="00827715" w:rsidRDefault="009940CC" w:rsidP="00827715">
      <w:pPr>
        <w:pStyle w:val="a5"/>
        <w:numPr>
          <w:ilvl w:val="0"/>
          <w:numId w:val="5"/>
        </w:numPr>
        <w:spacing w:line="360" w:lineRule="auto"/>
        <w:ind w:left="0"/>
        <w:jc w:val="both"/>
      </w:pPr>
      <w:r>
        <w:t>Владимирова М.А. Влияние культурной среды на формирование национальной самобытности (на примере канадской и американской культур) // США, Канада: экономика, политика, культура. — 2001. - № 9.</w:t>
      </w:r>
    </w:p>
    <w:p w:rsidR="00827715" w:rsidRDefault="009940CC" w:rsidP="00827715">
      <w:pPr>
        <w:pStyle w:val="a5"/>
        <w:numPr>
          <w:ilvl w:val="0"/>
          <w:numId w:val="5"/>
        </w:numPr>
        <w:spacing w:line="360" w:lineRule="auto"/>
        <w:ind w:left="0"/>
        <w:jc w:val="both"/>
      </w:pPr>
      <w:proofErr w:type="spellStart"/>
      <w:r>
        <w:t>Востряков</w:t>
      </w:r>
      <w:proofErr w:type="spellEnd"/>
      <w:r>
        <w:t xml:space="preserve"> Л.Е. Культурная политика в современном мире (взгляд из России) // Материальная база сферы культуры: Науч.- </w:t>
      </w:r>
      <w:proofErr w:type="spellStart"/>
      <w:r>
        <w:t>информ</w:t>
      </w:r>
      <w:proofErr w:type="spellEnd"/>
      <w:r>
        <w:t>. сб. — Вып.1. — М.: Изд. РГБ, 2000.</w:t>
      </w:r>
    </w:p>
    <w:p w:rsidR="007D2D25" w:rsidRDefault="009940CC" w:rsidP="007D2D25">
      <w:pPr>
        <w:pStyle w:val="a5"/>
        <w:numPr>
          <w:ilvl w:val="0"/>
          <w:numId w:val="5"/>
        </w:numPr>
        <w:spacing w:line="360" w:lineRule="auto"/>
        <w:ind w:left="0"/>
        <w:jc w:val="both"/>
      </w:pPr>
      <w:r>
        <w:t xml:space="preserve">Государственная поддержка искусства в структуре культурной политики США // Культура в современном мире. — 2003. — </w:t>
      </w:r>
      <w:proofErr w:type="spellStart"/>
      <w:r>
        <w:t>Вып</w:t>
      </w:r>
      <w:proofErr w:type="spellEnd"/>
      <w:r>
        <w:t>. 4.</w:t>
      </w:r>
    </w:p>
    <w:p w:rsidR="00827715" w:rsidRDefault="007D2D25" w:rsidP="007D2D25">
      <w:pPr>
        <w:pStyle w:val="a5"/>
        <w:numPr>
          <w:ilvl w:val="0"/>
          <w:numId w:val="5"/>
        </w:numPr>
        <w:spacing w:line="360" w:lineRule="auto"/>
        <w:ind w:left="0"/>
        <w:jc w:val="both"/>
      </w:pPr>
      <w:r w:rsidRPr="007D2D25">
        <w:t>Гриценко А.А. Культура и власть. Теория и практика культурной политики в современном мире</w:t>
      </w:r>
      <w:r w:rsidR="009940CC">
        <w:t>. — К</w:t>
      </w:r>
      <w:r>
        <w:t>.</w:t>
      </w:r>
      <w:r w:rsidR="009940CC">
        <w:t>: УЦКД, 2000.</w:t>
      </w:r>
    </w:p>
    <w:p w:rsidR="00827715" w:rsidRDefault="009940CC" w:rsidP="00827715">
      <w:pPr>
        <w:pStyle w:val="a5"/>
        <w:numPr>
          <w:ilvl w:val="0"/>
          <w:numId w:val="5"/>
        </w:numPr>
        <w:spacing w:line="360" w:lineRule="auto"/>
        <w:ind w:left="0"/>
        <w:jc w:val="both"/>
      </w:pPr>
      <w:proofErr w:type="spellStart"/>
      <w:r>
        <w:t>Драгичевич-Сесич</w:t>
      </w:r>
      <w:proofErr w:type="spellEnd"/>
      <w:r>
        <w:t xml:space="preserve"> М. Культурная политика: новая роль администратора и менеджера культуры — роль посредника // Материальная база сферы культуры: Науч.-</w:t>
      </w:r>
      <w:proofErr w:type="spellStart"/>
      <w:r>
        <w:t>информ</w:t>
      </w:r>
      <w:proofErr w:type="spellEnd"/>
      <w:r>
        <w:t>. сб. — Вып.2. — М.: Изд. РГБ, 1999.</w:t>
      </w:r>
    </w:p>
    <w:p w:rsidR="00827715" w:rsidRDefault="009940CC" w:rsidP="00827715">
      <w:pPr>
        <w:pStyle w:val="a5"/>
        <w:numPr>
          <w:ilvl w:val="0"/>
          <w:numId w:val="5"/>
        </w:numPr>
        <w:spacing w:line="360" w:lineRule="auto"/>
        <w:ind w:left="0"/>
        <w:jc w:val="both"/>
      </w:pPr>
      <w:r>
        <w:t xml:space="preserve">Общественная поддержка культуры во Франции, Германии, Норвегии, Канаде // Культура в современном мире. — 2002. — </w:t>
      </w:r>
      <w:proofErr w:type="spellStart"/>
      <w:r>
        <w:t>Вып</w:t>
      </w:r>
      <w:proofErr w:type="spellEnd"/>
      <w:r>
        <w:t>. 5.</w:t>
      </w:r>
    </w:p>
    <w:p w:rsidR="00827715" w:rsidRDefault="009940CC" w:rsidP="00827715">
      <w:pPr>
        <w:pStyle w:val="a5"/>
        <w:numPr>
          <w:ilvl w:val="0"/>
          <w:numId w:val="5"/>
        </w:numPr>
        <w:spacing w:line="360" w:lineRule="auto"/>
        <w:ind w:left="0"/>
        <w:jc w:val="both"/>
      </w:pPr>
      <w:r>
        <w:t>Соколов В.И. Глобализация и аборигенное население Канады // США, Канада: экономика, политика, культура. — 2002. - № 5.</w:t>
      </w:r>
    </w:p>
    <w:p w:rsidR="00DE1A0F" w:rsidRDefault="009940CC" w:rsidP="00DE1A0F">
      <w:pPr>
        <w:pStyle w:val="a5"/>
        <w:numPr>
          <w:ilvl w:val="0"/>
          <w:numId w:val="5"/>
        </w:numPr>
        <w:spacing w:line="360" w:lineRule="auto"/>
        <w:ind w:left="0"/>
        <w:jc w:val="both"/>
      </w:pPr>
      <w:r>
        <w:t xml:space="preserve">Сравнительный анализ культурной политики Соединенных Штатов и Японии // Панорама культурной жизни зарубежных стран. — 2000. — </w:t>
      </w:r>
      <w:proofErr w:type="spellStart"/>
      <w:r>
        <w:t>Вып</w:t>
      </w:r>
      <w:proofErr w:type="spellEnd"/>
      <w:r>
        <w:t>. 7-8.</w:t>
      </w:r>
    </w:p>
    <w:p w:rsidR="009C3896" w:rsidRPr="009C3896" w:rsidRDefault="009940CC" w:rsidP="00DE1A0F">
      <w:pPr>
        <w:pStyle w:val="a5"/>
        <w:numPr>
          <w:ilvl w:val="0"/>
          <w:numId w:val="5"/>
        </w:numPr>
        <w:spacing w:line="360" w:lineRule="auto"/>
        <w:ind w:left="0"/>
        <w:jc w:val="both"/>
      </w:pPr>
      <w:r>
        <w:t>Экономические основы культурной деятельности. Индивидуальные предпочтения и общественный интерес. В 3-х томах. Экономическая политика в сфере культуры: новый век, новый взгляд (</w:t>
      </w:r>
      <w:proofErr w:type="spellStart"/>
      <w:r>
        <w:t>отв.редакторы</w:t>
      </w:r>
      <w:proofErr w:type="spellEnd"/>
      <w:r>
        <w:t xml:space="preserve"> </w:t>
      </w:r>
      <w:proofErr w:type="spellStart"/>
      <w:r>
        <w:t>А.Я.Рубинштейн</w:t>
      </w:r>
      <w:proofErr w:type="spellEnd"/>
      <w:r>
        <w:t xml:space="preserve">, </w:t>
      </w:r>
      <w:proofErr w:type="spellStart"/>
      <w:r>
        <w:t>Б.Ю.Сорочкин</w:t>
      </w:r>
      <w:proofErr w:type="spellEnd"/>
      <w:r>
        <w:t xml:space="preserve">). — СПб.: </w:t>
      </w:r>
      <w:proofErr w:type="spellStart"/>
      <w:r>
        <w:t>Алетейа</w:t>
      </w:r>
      <w:proofErr w:type="spellEnd"/>
      <w:r>
        <w:t>, 2002.</w:t>
      </w:r>
    </w:p>
    <w:sectPr w:rsidR="009C3896" w:rsidRPr="009C3896" w:rsidSect="00E87F8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45A" w:rsidRDefault="00C7145A" w:rsidP="00E87F8E">
      <w:r>
        <w:separator/>
      </w:r>
    </w:p>
  </w:endnote>
  <w:endnote w:type="continuationSeparator" w:id="0">
    <w:p w:rsidR="00C7145A" w:rsidRDefault="00C7145A" w:rsidP="00E8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45A" w:rsidRDefault="00C7145A" w:rsidP="00E87F8E">
      <w:r>
        <w:separator/>
      </w:r>
    </w:p>
  </w:footnote>
  <w:footnote w:type="continuationSeparator" w:id="0">
    <w:p w:rsidR="00C7145A" w:rsidRDefault="00C7145A" w:rsidP="00E87F8E">
      <w:r>
        <w:continuationSeparator/>
      </w:r>
    </w:p>
  </w:footnote>
  <w:footnote w:id="1">
    <w:p w:rsidR="007D2D25" w:rsidRPr="00E76358" w:rsidRDefault="007D2D25">
      <w:pPr>
        <w:pStyle w:val="ae"/>
        <w:rPr>
          <w:lang w:val="en-US"/>
        </w:rPr>
      </w:pPr>
      <w:r>
        <w:rPr>
          <w:rStyle w:val="af0"/>
        </w:rPr>
        <w:footnoteRef/>
      </w:r>
      <w:r>
        <w:t xml:space="preserve"> </w:t>
      </w:r>
      <w:r w:rsidRPr="007D2D25">
        <w:t>Владимирова М.А. Влияние культурной среды на формирование национальной самобытности (на примере канадской и американской культур) // США, Канада: экономика, политика, культура. — 2001. - № 9.</w:t>
      </w:r>
      <w:r w:rsidR="00E76358">
        <w:rPr>
          <w:lang w:val="en-US"/>
        </w:rPr>
        <w:t xml:space="preserve"> C. 25</w:t>
      </w:r>
    </w:p>
  </w:footnote>
  <w:footnote w:id="2">
    <w:p w:rsidR="007D2D25" w:rsidRPr="00E76358" w:rsidRDefault="007D2D25">
      <w:pPr>
        <w:pStyle w:val="ae"/>
      </w:pPr>
      <w:r>
        <w:rPr>
          <w:rStyle w:val="af0"/>
        </w:rPr>
        <w:footnoteRef/>
      </w:r>
      <w:r>
        <w:t xml:space="preserve"> </w:t>
      </w:r>
      <w:r w:rsidRPr="007D2D25">
        <w:t>Гриценко А.А. Культура и власть. Теория и практика культурной политики в современном мире. — К.: УЦКД, 2000.</w:t>
      </w:r>
      <w:r w:rsidR="00E76358">
        <w:rPr>
          <w:lang w:val="en-US"/>
        </w:rPr>
        <w:t xml:space="preserve"> C</w:t>
      </w:r>
      <w:r w:rsidR="00E76358">
        <w:t>. 90.</w:t>
      </w:r>
    </w:p>
  </w:footnote>
  <w:footnote w:id="3">
    <w:p w:rsidR="007D2D25" w:rsidRDefault="007D2D25">
      <w:pPr>
        <w:pStyle w:val="ae"/>
      </w:pPr>
      <w:r>
        <w:rPr>
          <w:rStyle w:val="af0"/>
        </w:rPr>
        <w:footnoteRef/>
      </w:r>
      <w:r>
        <w:t xml:space="preserve"> </w:t>
      </w:r>
      <w:r w:rsidRPr="007D2D25">
        <w:t>Соколов В.И. Глобализация и аборигенное население Канады // США, Канада: экономика, политика, культура. — 2002. - № 5.</w:t>
      </w:r>
      <w:r w:rsidR="00E76358">
        <w:t xml:space="preserve"> С. 11.</w:t>
      </w:r>
    </w:p>
  </w:footnote>
  <w:footnote w:id="4">
    <w:p w:rsidR="007D2D25" w:rsidRDefault="007D2D25">
      <w:pPr>
        <w:pStyle w:val="ae"/>
      </w:pPr>
      <w:r>
        <w:rPr>
          <w:rStyle w:val="af0"/>
        </w:rPr>
        <w:footnoteRef/>
      </w:r>
      <w:r>
        <w:t xml:space="preserve"> </w:t>
      </w:r>
      <w:proofErr w:type="spellStart"/>
      <w:r w:rsidRPr="007D2D25">
        <w:t>Драгичевич-Сесич</w:t>
      </w:r>
      <w:proofErr w:type="spellEnd"/>
      <w:r w:rsidRPr="007D2D25">
        <w:t xml:space="preserve"> М. Культурная политика: новая роль администратора и менеджера культуры — роль посредника // Материальная база сферы культуры: Науч.-</w:t>
      </w:r>
      <w:proofErr w:type="spellStart"/>
      <w:r w:rsidRPr="007D2D25">
        <w:t>информ</w:t>
      </w:r>
      <w:proofErr w:type="spellEnd"/>
      <w:r w:rsidRPr="007D2D25">
        <w:t>. сб. — Вып.2. — М.: Изд. РГБ, 1999.</w:t>
      </w:r>
      <w:r w:rsidR="00E76358">
        <w:t xml:space="preserve"> С. 23.</w:t>
      </w:r>
    </w:p>
  </w:footnote>
  <w:footnote w:id="5">
    <w:p w:rsidR="007D2D25" w:rsidRDefault="007D2D25">
      <w:pPr>
        <w:pStyle w:val="ae"/>
      </w:pPr>
      <w:r>
        <w:rPr>
          <w:rStyle w:val="af0"/>
        </w:rPr>
        <w:footnoteRef/>
      </w:r>
      <w:r>
        <w:t xml:space="preserve"> </w:t>
      </w:r>
      <w:r w:rsidRPr="007D2D25">
        <w:t>Владимирова М.А. Влияние культурной среды на формирование национальной самобытности (на примере канадской и американской культур) // США, Канада: экономика, политика, культура. — 2001. - № 9.</w:t>
      </w:r>
      <w:r w:rsidR="00E76358">
        <w:t xml:space="preserve"> С. 8.</w:t>
      </w:r>
    </w:p>
  </w:footnote>
  <w:footnote w:id="6">
    <w:p w:rsidR="007D2D25" w:rsidRDefault="007D2D25">
      <w:pPr>
        <w:pStyle w:val="ae"/>
      </w:pPr>
      <w:r>
        <w:rPr>
          <w:rStyle w:val="af0"/>
        </w:rPr>
        <w:footnoteRef/>
      </w:r>
      <w:r>
        <w:t xml:space="preserve"> </w:t>
      </w:r>
      <w:r w:rsidRPr="007D2D25">
        <w:t>Гриценко А.А. Культура и власть. Теория и практика культурной политики в современном мире. — К.: УЦКД, 2000.</w:t>
      </w:r>
      <w:r w:rsidR="00E76358">
        <w:t xml:space="preserve"> С. 41.</w:t>
      </w:r>
    </w:p>
  </w:footnote>
  <w:footnote w:id="7">
    <w:p w:rsidR="00581428" w:rsidRPr="00581428" w:rsidRDefault="00581428">
      <w:pPr>
        <w:pStyle w:val="ae"/>
        <w:rPr>
          <w:lang w:val="en-US"/>
        </w:rPr>
      </w:pPr>
      <w:r>
        <w:rPr>
          <w:rStyle w:val="af0"/>
        </w:rPr>
        <w:footnoteRef/>
      </w:r>
      <w:r w:rsidRPr="00581428">
        <w:rPr>
          <w:lang w:val="en-US"/>
        </w:rPr>
        <w:t xml:space="preserve"> Cultural </w:t>
      </w:r>
      <w:proofErr w:type="spellStart"/>
      <w:r w:rsidRPr="00581428">
        <w:rPr>
          <w:lang w:val="en-US"/>
        </w:rPr>
        <w:t>polisy</w:t>
      </w:r>
      <w:proofErr w:type="spellEnd"/>
      <w:r w:rsidRPr="00581428">
        <w:rPr>
          <w:lang w:val="en-US"/>
        </w:rPr>
        <w:t xml:space="preserve">: a preliminary study. — P., UNESKO, 1969. </w:t>
      </w:r>
      <w:r>
        <w:rPr>
          <w:lang w:val="en-US"/>
        </w:rPr>
        <w:t>–</w:t>
      </w:r>
      <w:r w:rsidRPr="00581428">
        <w:rPr>
          <w:lang w:val="en-US"/>
        </w:rPr>
        <w:t xml:space="preserve"> </w:t>
      </w:r>
      <w:r>
        <w:t>с</w:t>
      </w:r>
      <w:r w:rsidRPr="00581428">
        <w:rPr>
          <w:lang w:val="en-US"/>
        </w:rPr>
        <w:t>. 8.</w:t>
      </w:r>
    </w:p>
  </w:footnote>
  <w:footnote w:id="8">
    <w:p w:rsidR="00581428" w:rsidRDefault="00581428">
      <w:pPr>
        <w:pStyle w:val="ae"/>
      </w:pPr>
      <w:r>
        <w:rPr>
          <w:rStyle w:val="af0"/>
        </w:rPr>
        <w:footnoteRef/>
      </w:r>
      <w:r w:rsidRPr="00581428">
        <w:rPr>
          <w:lang w:val="en-US"/>
        </w:rPr>
        <w:t xml:space="preserve">  Girard A. Cultural Development: Experiences and Policies. </w:t>
      </w:r>
      <w:r w:rsidRPr="00581428">
        <w:t>P., UNESCO, 1983. – с. 185.</w:t>
      </w:r>
    </w:p>
  </w:footnote>
  <w:footnote w:id="9">
    <w:p w:rsidR="00581428" w:rsidRDefault="00581428">
      <w:pPr>
        <w:pStyle w:val="ae"/>
      </w:pPr>
      <w:r>
        <w:rPr>
          <w:rStyle w:val="af0"/>
        </w:rPr>
        <w:footnoteRef/>
      </w:r>
      <w:r>
        <w:t xml:space="preserve"> </w:t>
      </w:r>
      <w:r w:rsidRPr="00581428">
        <w:t xml:space="preserve">Общественная поддержка культуры во Франции, Германии, Норвегии, Канаде // Культура в современном мире. — 2002. — </w:t>
      </w:r>
      <w:proofErr w:type="spellStart"/>
      <w:r w:rsidRPr="00581428">
        <w:t>Вып</w:t>
      </w:r>
      <w:proofErr w:type="spellEnd"/>
      <w:r w:rsidRPr="00581428">
        <w:t>. 5.</w:t>
      </w:r>
      <w:r>
        <w:t xml:space="preserve"> – с. 53.</w:t>
      </w:r>
    </w:p>
  </w:footnote>
  <w:footnote w:id="10">
    <w:p w:rsidR="00581428" w:rsidRDefault="00581428">
      <w:pPr>
        <w:pStyle w:val="ae"/>
      </w:pPr>
      <w:r>
        <w:rPr>
          <w:rStyle w:val="af0"/>
        </w:rPr>
        <w:footnoteRef/>
      </w:r>
      <w:r>
        <w:t xml:space="preserve"> </w:t>
      </w:r>
      <w:proofErr w:type="spellStart"/>
      <w:r w:rsidRPr="00581428">
        <w:t>Драгичевич-Сесич</w:t>
      </w:r>
      <w:proofErr w:type="spellEnd"/>
      <w:r w:rsidRPr="00581428">
        <w:t xml:space="preserve"> М. Культурная политика: новая роль администратора и менеджера культуры — роль посредника // Материальная база сферы культуры: Науч.-</w:t>
      </w:r>
      <w:proofErr w:type="spellStart"/>
      <w:r w:rsidRPr="00581428">
        <w:t>информ</w:t>
      </w:r>
      <w:proofErr w:type="spellEnd"/>
      <w:r w:rsidRPr="00581428">
        <w:t>. сб. — Вып.2. — М.: Изд. РГБ, 1999.</w:t>
      </w:r>
      <w:r>
        <w:t xml:space="preserve"> – с. 60.</w:t>
      </w:r>
    </w:p>
  </w:footnote>
  <w:footnote w:id="11">
    <w:p w:rsidR="00581428" w:rsidRDefault="00581428">
      <w:pPr>
        <w:pStyle w:val="ae"/>
      </w:pPr>
      <w:r>
        <w:rPr>
          <w:rStyle w:val="af0"/>
        </w:rPr>
        <w:footnoteRef/>
      </w:r>
      <w:r>
        <w:t xml:space="preserve"> </w:t>
      </w:r>
      <w:proofErr w:type="spellStart"/>
      <w:r w:rsidRPr="00581428">
        <w:t>Востряков</w:t>
      </w:r>
      <w:proofErr w:type="spellEnd"/>
      <w:r w:rsidRPr="00581428">
        <w:t xml:space="preserve"> Л.Е. Культурная политика в современном мире (взгляд из России) // Материальная база сферы культуры: Науч.- </w:t>
      </w:r>
      <w:proofErr w:type="spellStart"/>
      <w:r w:rsidRPr="00581428">
        <w:t>информ</w:t>
      </w:r>
      <w:proofErr w:type="spellEnd"/>
      <w:r w:rsidRPr="00581428">
        <w:t>. сб. — Вып.1. — М.: Изд. РГБ, 2000.</w:t>
      </w:r>
      <w:r>
        <w:t xml:space="preserve"> – с. 47-50.</w:t>
      </w:r>
    </w:p>
  </w:footnote>
  <w:footnote w:id="12">
    <w:p w:rsidR="00581428" w:rsidRDefault="00581428">
      <w:pPr>
        <w:pStyle w:val="ae"/>
      </w:pPr>
      <w:r>
        <w:rPr>
          <w:rStyle w:val="af0"/>
        </w:rPr>
        <w:footnoteRef/>
      </w:r>
      <w:r>
        <w:t xml:space="preserve"> </w:t>
      </w:r>
      <w:r w:rsidRPr="00581428">
        <w:t>8.</w:t>
      </w:r>
      <w:r w:rsidRPr="00581428">
        <w:tab/>
      </w:r>
      <w:proofErr w:type="spellStart"/>
      <w:r w:rsidRPr="00581428">
        <w:t>Драгичевич-Сесич</w:t>
      </w:r>
      <w:proofErr w:type="spellEnd"/>
      <w:r w:rsidRPr="00581428">
        <w:t xml:space="preserve"> М. Культурная политика: новая роль администратора и менеджера культуры — роль посредника // Материальная база сферы культуры: Науч.-</w:t>
      </w:r>
      <w:proofErr w:type="spellStart"/>
      <w:r w:rsidRPr="00581428">
        <w:t>информ</w:t>
      </w:r>
      <w:proofErr w:type="spellEnd"/>
      <w:r w:rsidRPr="00581428">
        <w:t>. сб. — Вып.2. — М.: Изд. РГБ, 1999.</w:t>
      </w:r>
      <w:r>
        <w:t xml:space="preserve"> – с. 61-62.</w:t>
      </w:r>
    </w:p>
  </w:footnote>
  <w:footnote w:id="13">
    <w:p w:rsidR="00581428" w:rsidRDefault="00581428">
      <w:pPr>
        <w:pStyle w:val="ae"/>
      </w:pPr>
      <w:r>
        <w:rPr>
          <w:rStyle w:val="af0"/>
        </w:rPr>
        <w:footnoteRef/>
      </w:r>
      <w:r>
        <w:t xml:space="preserve"> </w:t>
      </w:r>
      <w:r w:rsidRPr="00581428">
        <w:t xml:space="preserve">Общественная поддержка культуры во Франции, Германии, Норвегии, Канаде // Культура в современном мире. — 2002. — </w:t>
      </w:r>
      <w:proofErr w:type="spellStart"/>
      <w:r w:rsidRPr="00581428">
        <w:t>Вып</w:t>
      </w:r>
      <w:proofErr w:type="spellEnd"/>
      <w:r w:rsidRPr="00581428">
        <w:t>. 5.</w:t>
      </w:r>
    </w:p>
  </w:footnote>
  <w:footnote w:id="14">
    <w:p w:rsidR="00581428" w:rsidRDefault="00581428">
      <w:pPr>
        <w:pStyle w:val="ae"/>
      </w:pPr>
      <w:r>
        <w:rPr>
          <w:rStyle w:val="af0"/>
        </w:rPr>
        <w:footnoteRef/>
      </w:r>
      <w:r>
        <w:t xml:space="preserve"> </w:t>
      </w:r>
      <w:r w:rsidRPr="00581428">
        <w:t>Гриценко А.А. Культура и власть. Теория и практика культурной политики в современном мире. — К.: УЦКД, 2000.</w:t>
      </w:r>
    </w:p>
  </w:footnote>
  <w:footnote w:id="15">
    <w:p w:rsidR="00581428" w:rsidRDefault="00581428">
      <w:pPr>
        <w:pStyle w:val="ae"/>
      </w:pPr>
      <w:r>
        <w:rPr>
          <w:rStyle w:val="af0"/>
        </w:rPr>
        <w:footnoteRef/>
      </w:r>
      <w:r>
        <w:t xml:space="preserve"> </w:t>
      </w:r>
      <w:r w:rsidRPr="00581428">
        <w:t>Гриценко А.А. Культура и власть. Теория и практика культурной политики в современном мире. — К.: УЦКД, 2000.</w:t>
      </w:r>
      <w:r>
        <w:t xml:space="preserve"> – с. 90.</w:t>
      </w:r>
    </w:p>
  </w:footnote>
  <w:footnote w:id="16">
    <w:p w:rsidR="00581428" w:rsidRDefault="00581428">
      <w:pPr>
        <w:pStyle w:val="ae"/>
      </w:pPr>
      <w:r>
        <w:rPr>
          <w:rStyle w:val="af0"/>
        </w:rPr>
        <w:footnoteRef/>
      </w:r>
      <w:r>
        <w:t xml:space="preserve"> </w:t>
      </w:r>
      <w:r w:rsidRPr="00581428">
        <w:t xml:space="preserve">Государственная поддержка искусства в структуре культурной политики США // Культура в современном мире. — 2003. — </w:t>
      </w:r>
      <w:proofErr w:type="spellStart"/>
      <w:r w:rsidRPr="00581428">
        <w:t>Вып</w:t>
      </w:r>
      <w:proofErr w:type="spellEnd"/>
      <w:r w:rsidRPr="00581428">
        <w:t>. 4.</w:t>
      </w:r>
    </w:p>
  </w:footnote>
  <w:footnote w:id="17">
    <w:p w:rsidR="00581428" w:rsidRDefault="00581428">
      <w:pPr>
        <w:pStyle w:val="ae"/>
      </w:pPr>
      <w:r>
        <w:rPr>
          <w:rStyle w:val="af0"/>
        </w:rPr>
        <w:footnoteRef/>
      </w:r>
      <w:r>
        <w:t xml:space="preserve"> </w:t>
      </w:r>
      <w:r w:rsidRPr="00581428">
        <w:t>Владимирова М.А. Влияние культурной среды на формирование национальной самобытности (на примере канадской и американской культур) // США, Канада: экономика, политика, культура. — 2001. - № 9.</w:t>
      </w:r>
      <w:r>
        <w:t xml:space="preserve"> – с. 124.</w:t>
      </w:r>
    </w:p>
  </w:footnote>
  <w:footnote w:id="18">
    <w:p w:rsidR="00581428" w:rsidRDefault="00581428">
      <w:pPr>
        <w:pStyle w:val="ae"/>
      </w:pPr>
      <w:r>
        <w:rPr>
          <w:rStyle w:val="af0"/>
        </w:rPr>
        <w:footnoteRef/>
      </w:r>
      <w:r w:rsidRPr="00581428">
        <w:t>Сравнительный анализ культурной политики Соединенных Штатов и Японии // Панорама культурной жизни заруб</w:t>
      </w:r>
      <w:r w:rsidR="00E76358">
        <w:t xml:space="preserve">ежных стран. — 2000. – </w:t>
      </w:r>
      <w:proofErr w:type="spellStart"/>
      <w:r w:rsidR="00E76358">
        <w:t>вып</w:t>
      </w:r>
      <w:proofErr w:type="spellEnd"/>
      <w:r w:rsidR="00E76358">
        <w:t>. 6. – с. 25.</w:t>
      </w:r>
      <w:bookmarkStart w:id="6" w:name="_GoBack"/>
      <w:bookmarkEnd w:id="6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034947"/>
      <w:docPartObj>
        <w:docPartGallery w:val="Page Numbers (Top of Page)"/>
        <w:docPartUnique/>
      </w:docPartObj>
    </w:sdtPr>
    <w:sdtEndPr/>
    <w:sdtContent>
      <w:p w:rsidR="00C743A4" w:rsidRDefault="00C743A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358" w:rsidRPr="00E76358">
          <w:rPr>
            <w:noProof/>
            <w:lang w:val="uk-UA"/>
          </w:rPr>
          <w:t>2</w:t>
        </w:r>
        <w:r>
          <w:fldChar w:fldCharType="end"/>
        </w:r>
      </w:p>
    </w:sdtContent>
  </w:sdt>
  <w:p w:rsidR="00C743A4" w:rsidRDefault="00C743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465A3"/>
    <w:multiLevelType w:val="multilevel"/>
    <w:tmpl w:val="728609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>
    <w:nsid w:val="4B955211"/>
    <w:multiLevelType w:val="hybridMultilevel"/>
    <w:tmpl w:val="3384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6607F"/>
    <w:multiLevelType w:val="hybridMultilevel"/>
    <w:tmpl w:val="F9AC062A"/>
    <w:lvl w:ilvl="0" w:tplc="09206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EA20AA"/>
    <w:multiLevelType w:val="hybridMultilevel"/>
    <w:tmpl w:val="4C26B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D7187"/>
    <w:multiLevelType w:val="hybridMultilevel"/>
    <w:tmpl w:val="9BA0D93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5E"/>
    <w:rsid w:val="00083802"/>
    <w:rsid w:val="00087F9F"/>
    <w:rsid w:val="000D5A5E"/>
    <w:rsid w:val="001264E6"/>
    <w:rsid w:val="001C1937"/>
    <w:rsid w:val="001F0A2D"/>
    <w:rsid w:val="00240460"/>
    <w:rsid w:val="00266847"/>
    <w:rsid w:val="003A59BC"/>
    <w:rsid w:val="00415E2A"/>
    <w:rsid w:val="0053197A"/>
    <w:rsid w:val="0055017A"/>
    <w:rsid w:val="00556039"/>
    <w:rsid w:val="00571AAD"/>
    <w:rsid w:val="00581428"/>
    <w:rsid w:val="0058329D"/>
    <w:rsid w:val="005E1D06"/>
    <w:rsid w:val="006461FA"/>
    <w:rsid w:val="00672317"/>
    <w:rsid w:val="006D397B"/>
    <w:rsid w:val="00793233"/>
    <w:rsid w:val="007D2D25"/>
    <w:rsid w:val="00827715"/>
    <w:rsid w:val="00917F53"/>
    <w:rsid w:val="009940CC"/>
    <w:rsid w:val="009C3896"/>
    <w:rsid w:val="00A65A6E"/>
    <w:rsid w:val="00AA5BD1"/>
    <w:rsid w:val="00AB23D1"/>
    <w:rsid w:val="00B0727A"/>
    <w:rsid w:val="00C45EAA"/>
    <w:rsid w:val="00C7145A"/>
    <w:rsid w:val="00C743A4"/>
    <w:rsid w:val="00D301BF"/>
    <w:rsid w:val="00D84A1E"/>
    <w:rsid w:val="00DD1E92"/>
    <w:rsid w:val="00DE1A0F"/>
    <w:rsid w:val="00E54FB5"/>
    <w:rsid w:val="00E76358"/>
    <w:rsid w:val="00E87F8E"/>
    <w:rsid w:val="00F52D07"/>
    <w:rsid w:val="00F74B91"/>
    <w:rsid w:val="00F95468"/>
    <w:rsid w:val="00F96A1C"/>
    <w:rsid w:val="00FA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FA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61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6461F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461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3"/>
    </w:pPr>
    <w:rPr>
      <w:rFonts w:eastAsia="Times New Roman" w:cs="Times New Roman"/>
      <w:b/>
      <w:bCs/>
      <w:color w:val="000000"/>
      <w:sz w:val="18"/>
      <w:szCs w:val="18"/>
    </w:rPr>
  </w:style>
  <w:style w:type="paragraph" w:styleId="5">
    <w:name w:val="heading 5"/>
    <w:basedOn w:val="a"/>
    <w:next w:val="a"/>
    <w:link w:val="5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4"/>
    </w:pPr>
    <w:rPr>
      <w:rFonts w:eastAsia="Times New Roman" w:cs="Times New Roman"/>
      <w:i/>
      <w:iCs/>
      <w:color w:val="00000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61FA"/>
    <w:pPr>
      <w:keepNext/>
      <w:shd w:val="clear" w:color="auto" w:fill="FFFFFF"/>
      <w:tabs>
        <w:tab w:val="num" w:pos="2160"/>
      </w:tabs>
      <w:autoSpaceDE w:val="0"/>
      <w:autoSpaceDN w:val="0"/>
      <w:adjustRightInd w:val="0"/>
      <w:spacing w:line="360" w:lineRule="auto"/>
      <w:ind w:left="2160" w:hanging="360"/>
      <w:jc w:val="both"/>
      <w:outlineLvl w:val="5"/>
    </w:pPr>
    <w:rPr>
      <w:rFonts w:eastAsia="Times New Roman" w:cs="Times New Roman"/>
      <w:b/>
      <w:bCs/>
      <w:color w:val="000000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461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qFormat/>
    <w:rsid w:val="006461FA"/>
    <w:pPr>
      <w:keepNext/>
      <w:spacing w:line="360" w:lineRule="auto"/>
      <w:jc w:val="center"/>
      <w:outlineLvl w:val="7"/>
    </w:pPr>
    <w:rPr>
      <w:rFonts w:eastAsia="Times New Roman" w:cs="Times New Roman"/>
      <w:b/>
      <w:bCs/>
      <w:sz w:val="24"/>
    </w:rPr>
  </w:style>
  <w:style w:type="paragraph" w:styleId="9">
    <w:name w:val="heading 9"/>
    <w:basedOn w:val="a"/>
    <w:next w:val="a"/>
    <w:link w:val="90"/>
    <w:uiPriority w:val="99"/>
    <w:qFormat/>
    <w:rsid w:val="006461FA"/>
    <w:pPr>
      <w:keepNext/>
      <w:spacing w:line="360" w:lineRule="auto"/>
      <w:ind w:firstLine="720"/>
      <w:jc w:val="center"/>
      <w:outlineLvl w:val="8"/>
    </w:pPr>
    <w:rPr>
      <w:rFonts w:eastAsia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1F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1FA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461FA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461FA"/>
    <w:rPr>
      <w:rFonts w:ascii="Times New Roman" w:eastAsia="Times New Roman" w:hAnsi="Times New Roman" w:cs="Times New Roman"/>
      <w:i/>
      <w:iCs/>
      <w:color w:val="000000"/>
      <w:sz w:val="20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461F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461FA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6461FA"/>
    <w:rPr>
      <w:b/>
      <w:bCs/>
    </w:rPr>
  </w:style>
  <w:style w:type="character" w:styleId="a4">
    <w:name w:val="Emphasis"/>
    <w:basedOn w:val="a0"/>
    <w:uiPriority w:val="20"/>
    <w:qFormat/>
    <w:rsid w:val="006461FA"/>
    <w:rPr>
      <w:i/>
      <w:iCs/>
    </w:rPr>
  </w:style>
  <w:style w:type="paragraph" w:styleId="a5">
    <w:name w:val="List Paragraph"/>
    <w:basedOn w:val="a"/>
    <w:uiPriority w:val="34"/>
    <w:qFormat/>
    <w:rsid w:val="006461FA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9C389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87F8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87F8E"/>
    <w:rPr>
      <w:rFonts w:ascii="Times New Roman" w:hAnsi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87F8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87F8E"/>
    <w:rPr>
      <w:rFonts w:ascii="Times New Roman" w:hAnsi="Times New Roman"/>
      <w:sz w:val="28"/>
      <w:szCs w:val="24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827715"/>
    <w:pPr>
      <w:spacing w:line="276" w:lineRule="auto"/>
      <w:outlineLvl w:val="9"/>
    </w:pPr>
  </w:style>
  <w:style w:type="paragraph" w:styleId="ac">
    <w:name w:val="Balloon Text"/>
    <w:basedOn w:val="a"/>
    <w:link w:val="ad"/>
    <w:uiPriority w:val="99"/>
    <w:semiHidden/>
    <w:unhideWhenUsed/>
    <w:rsid w:val="00827715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27715"/>
    <w:rPr>
      <w:rFonts w:ascii="Tahoma" w:hAnsi="Tahoma" w:cs="Tahoma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277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27715"/>
    <w:pPr>
      <w:spacing w:after="100"/>
      <w:ind w:left="280"/>
    </w:pPr>
  </w:style>
  <w:style w:type="paragraph" w:styleId="ae">
    <w:name w:val="footnote text"/>
    <w:basedOn w:val="a"/>
    <w:link w:val="af"/>
    <w:uiPriority w:val="99"/>
    <w:semiHidden/>
    <w:unhideWhenUsed/>
    <w:rsid w:val="007D2D25"/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7D2D25"/>
    <w:rPr>
      <w:rFonts w:ascii="Times New Roman" w:hAnsi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D2D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FA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61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6461F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461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3"/>
    </w:pPr>
    <w:rPr>
      <w:rFonts w:eastAsia="Times New Roman" w:cs="Times New Roman"/>
      <w:b/>
      <w:bCs/>
      <w:color w:val="000000"/>
      <w:sz w:val="18"/>
      <w:szCs w:val="18"/>
    </w:rPr>
  </w:style>
  <w:style w:type="paragraph" w:styleId="5">
    <w:name w:val="heading 5"/>
    <w:basedOn w:val="a"/>
    <w:next w:val="a"/>
    <w:link w:val="5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4"/>
    </w:pPr>
    <w:rPr>
      <w:rFonts w:eastAsia="Times New Roman" w:cs="Times New Roman"/>
      <w:i/>
      <w:iCs/>
      <w:color w:val="00000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61FA"/>
    <w:pPr>
      <w:keepNext/>
      <w:shd w:val="clear" w:color="auto" w:fill="FFFFFF"/>
      <w:tabs>
        <w:tab w:val="num" w:pos="2160"/>
      </w:tabs>
      <w:autoSpaceDE w:val="0"/>
      <w:autoSpaceDN w:val="0"/>
      <w:adjustRightInd w:val="0"/>
      <w:spacing w:line="360" w:lineRule="auto"/>
      <w:ind w:left="2160" w:hanging="360"/>
      <w:jc w:val="both"/>
      <w:outlineLvl w:val="5"/>
    </w:pPr>
    <w:rPr>
      <w:rFonts w:eastAsia="Times New Roman" w:cs="Times New Roman"/>
      <w:b/>
      <w:bCs/>
      <w:color w:val="000000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461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qFormat/>
    <w:rsid w:val="006461FA"/>
    <w:pPr>
      <w:keepNext/>
      <w:spacing w:line="360" w:lineRule="auto"/>
      <w:jc w:val="center"/>
      <w:outlineLvl w:val="7"/>
    </w:pPr>
    <w:rPr>
      <w:rFonts w:eastAsia="Times New Roman" w:cs="Times New Roman"/>
      <w:b/>
      <w:bCs/>
      <w:sz w:val="24"/>
    </w:rPr>
  </w:style>
  <w:style w:type="paragraph" w:styleId="9">
    <w:name w:val="heading 9"/>
    <w:basedOn w:val="a"/>
    <w:next w:val="a"/>
    <w:link w:val="90"/>
    <w:uiPriority w:val="99"/>
    <w:qFormat/>
    <w:rsid w:val="006461FA"/>
    <w:pPr>
      <w:keepNext/>
      <w:spacing w:line="360" w:lineRule="auto"/>
      <w:ind w:firstLine="720"/>
      <w:jc w:val="center"/>
      <w:outlineLvl w:val="8"/>
    </w:pPr>
    <w:rPr>
      <w:rFonts w:eastAsia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1F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1FA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461FA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461FA"/>
    <w:rPr>
      <w:rFonts w:ascii="Times New Roman" w:eastAsia="Times New Roman" w:hAnsi="Times New Roman" w:cs="Times New Roman"/>
      <w:i/>
      <w:iCs/>
      <w:color w:val="000000"/>
      <w:sz w:val="20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461F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461FA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6461FA"/>
    <w:rPr>
      <w:b/>
      <w:bCs/>
    </w:rPr>
  </w:style>
  <w:style w:type="character" w:styleId="a4">
    <w:name w:val="Emphasis"/>
    <w:basedOn w:val="a0"/>
    <w:uiPriority w:val="20"/>
    <w:qFormat/>
    <w:rsid w:val="006461FA"/>
    <w:rPr>
      <w:i/>
      <w:iCs/>
    </w:rPr>
  </w:style>
  <w:style w:type="paragraph" w:styleId="a5">
    <w:name w:val="List Paragraph"/>
    <w:basedOn w:val="a"/>
    <w:uiPriority w:val="34"/>
    <w:qFormat/>
    <w:rsid w:val="006461FA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9C389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87F8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87F8E"/>
    <w:rPr>
      <w:rFonts w:ascii="Times New Roman" w:hAnsi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87F8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87F8E"/>
    <w:rPr>
      <w:rFonts w:ascii="Times New Roman" w:hAnsi="Times New Roman"/>
      <w:sz w:val="28"/>
      <w:szCs w:val="24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827715"/>
    <w:pPr>
      <w:spacing w:line="276" w:lineRule="auto"/>
      <w:outlineLvl w:val="9"/>
    </w:pPr>
  </w:style>
  <w:style w:type="paragraph" w:styleId="ac">
    <w:name w:val="Balloon Text"/>
    <w:basedOn w:val="a"/>
    <w:link w:val="ad"/>
    <w:uiPriority w:val="99"/>
    <w:semiHidden/>
    <w:unhideWhenUsed/>
    <w:rsid w:val="00827715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27715"/>
    <w:rPr>
      <w:rFonts w:ascii="Tahoma" w:hAnsi="Tahoma" w:cs="Tahoma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277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27715"/>
    <w:pPr>
      <w:spacing w:after="100"/>
      <w:ind w:left="280"/>
    </w:pPr>
  </w:style>
  <w:style w:type="paragraph" w:styleId="ae">
    <w:name w:val="footnote text"/>
    <w:basedOn w:val="a"/>
    <w:link w:val="af"/>
    <w:uiPriority w:val="99"/>
    <w:semiHidden/>
    <w:unhideWhenUsed/>
    <w:rsid w:val="007D2D25"/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7D2D25"/>
    <w:rPr>
      <w:rFonts w:ascii="Times New Roman" w:hAnsi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D2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526B-E0CB-4D0E-A41B-4B7ECD99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5870</Words>
  <Characters>33460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10</cp:revision>
  <dcterms:created xsi:type="dcterms:W3CDTF">2021-10-19T05:13:00Z</dcterms:created>
  <dcterms:modified xsi:type="dcterms:W3CDTF">2021-10-19T11:29:00Z</dcterms:modified>
</cp:coreProperties>
</file>