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480"/>
        <w:rPr>
          <w:rFonts w:ascii="Times New Roman" w:hAnsi="Times New Roman"/>
          <w:sz w:val="30"/>
          <w:szCs w:val="30"/>
          <w:lang w:val="en-GB"/>
        </w:rPr>
      </w:pPr>
      <w:r>
        <w:rPr>
          <w:rFonts w:eastAsia="Times New Roman" w:cs="Times New Roman" w:ascii="Times New Roman" w:hAnsi="Times New Roman"/>
          <w:b/>
          <w:sz w:val="30"/>
          <w:szCs w:val="30"/>
          <w:lang w:val="en-GB"/>
        </w:rPr>
        <w:t>Abstract</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 xml:space="preserve">Rheumatoid arthritis (RA) is an autoimmune inflammatory disease diagnosed in more than 1% of the global population [1]. RA is one of the most frequently reported autoimmune diseases [2] and is characterised by the development of inflammation, synovitis, and joint cartilage and bone damage. The progression of RA results in disability and immobilisation of the patient, and the effectiveness of treatment of the pathology is about 40-70% and depends on the individual characteristics of the patient [1, 3]. It should be noted that in addition to musculoskeletal damage, a chronic course of the disease may be accompanied by skin lesions (20% of patients), eye lesions (10%), gastrointestinal tract (primary - very rare, more often due to drug treatment), lungs (often asymptomatic - 50% of patients, 10% have clinical manifestations), vascular and cardiovascular system (about 50% of patients) [4-6]. Kidney and nervous system lesions have been reported in isolated cases as a result of small vessel lesions (vasculitis), leading to the development of organ dysfunction (glomerulonephritis, nephropathy, dementias, ischaemic neuropathies, myelopathies) (4, 5).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RA is most commonly diagnosed at the age of 52 ± 15 years, although the disease can also occur in children (juvenile RA) [7]. Trigger factors for the onset and progression of RA include genetic, epigenetic and environmental factors [8]. More and more often RA is associated with genetic factors: carriage of DRB1*0401 and DRB1*0404 complexes is associated with the development of RA in 50-61% and 27-37% of cases [7]. Almutairi K. et al. state that the global prevalence of RA (1980-2019 analysis) is 460 per 100,000. Although the prevalence of this pathology is heterogeneous and may vary depending on the geographical, racial and environmental features of a particular region [9], as well as lifestyle (diet, work activity, physical activity) [8]. Rural residents are more susceptible to the onset and progression of RA (about 70% of cases diagnosed in Uzbekistan), as well as in women, this pathology is twice as often registered [2]. There is also a high incidence of the disease (3.5%) in first-degree relatives. However, the rate for women is higher, at 5.1% (7). In addition, there is an indirect link between the diagnosis of the disease and economic factors: the availability of detection programmes (9). However, the link between the pathogenesis of RA and the activity of humoral and cellular factors in the immune system remains undisputed (8).</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b/>
          <w:i/>
          <w:sz w:val="30"/>
          <w:szCs w:val="30"/>
          <w:lang w:val="en-GB"/>
        </w:rPr>
        <w:t xml:space="preserve">The aim of our </w:t>
      </w:r>
      <w:r>
        <w:rPr>
          <w:rFonts w:eastAsia="Times New Roman" w:cs="Times New Roman" w:ascii="Times New Roman" w:hAnsi="Times New Roman"/>
          <w:sz w:val="30"/>
          <w:szCs w:val="30"/>
          <w:lang w:val="en-GB"/>
        </w:rPr>
        <w:t>study was to investigate the role of peripheral blood lymphocyte apoptosis in the pathogenesis and progression of rheumatoid arthritis.</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b/>
          <w:sz w:val="30"/>
          <w:szCs w:val="30"/>
          <w:lang w:val="en-GB"/>
        </w:rPr>
        <w:t>Materials and methods</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An analysis of literature sources in the science databases Google Scholar, PubMed, Web of Science and Scopus was carried out to study the problem of lymphocyte apoptosis in the pathogenesis of RA. We considered the results of clinical studies, analytical reviews, meta-analyses presented by domestic and foreign authors. The key word combinations "rheumatoid arthritis", "rheumatoid arthritis pathogenesis", "rheumatoid arthritis prevalence", "lymphocyte apoptosis in rheumatoid arthritis", "autoreactive T lymphocytes", "leukocytes in rheumatoid arthritis", "rheumatoid arthritis treatment" were used in the search and analysis. Short messages and advertisements were excluded from the analysis.</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b/>
          <w:sz w:val="30"/>
          <w:szCs w:val="30"/>
          <w:lang w:val="en-GB"/>
        </w:rPr>
        <w:t>Results and discussion</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i/>
          <w:sz w:val="30"/>
          <w:szCs w:val="30"/>
          <w:lang w:val="en-GB"/>
        </w:rPr>
        <w:t>The pathogenesis of RA and the role of apoptosis in it</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 xml:space="preserve">Apoptosis is a programmed, controlled death of specialised cells and is characterised by structural and functional changes in the structure of the cell itself. This process culminates in the phagocytosis of the destroyed cell (apoptotic cells) by macrophages. Apoptosis often plays a key role in the initiation or resolution of inflammation, but in the case of RA this process develops irregularly, creating a complex intercommunication of inflammatory and joint-damaging processes (10,11).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Normal apoptosis starts with the activation of membrane "death receptors" (FasR, TNFR1, CARI, DR3, DR4, DR5), which in turn activate the Bcl-2 protein group inducing the apoptosis process and simultaneously inhibit the apoptosis antagonist protein Bcl-2 (Bak). Further, caspases (cysteine-dependent endoproteases), which act as inducers and effectors of apoptosis and also act as pro-inflammatory components, are involved in the process. They trigger a number of enzymatic processes that accompany cell death and also activate Ca /Mg</w:t>
      </w:r>
      <w:r>
        <w:rPr>
          <w:rFonts w:eastAsia="Times New Roman" w:cs="Times New Roman" w:ascii="Times New Roman" w:hAnsi="Times New Roman"/>
          <w:sz w:val="30"/>
          <w:szCs w:val="30"/>
          <w:vertAlign w:val="superscript"/>
          <w:lang w:val="en-GB"/>
        </w:rPr>
        <w:t>2+2+</w:t>
      </w:r>
      <w:r>
        <w:rPr>
          <w:rFonts w:eastAsia="Times New Roman" w:cs="Times New Roman" w:ascii="Times New Roman" w:hAnsi="Times New Roman"/>
          <w:sz w:val="30"/>
          <w:szCs w:val="30"/>
          <w:lang w:val="en-GB"/>
        </w:rPr>
        <w:t xml:space="preserve"> -dependent endonucleases (CPAN/DFF40) [10, 12, 13].</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The early stages of RA are characterised by inflammation-induced hyperplasia of synovial tissue with further invasion of cartilage and bone tissue, leading to destruction of these structural components of the joint (14). Synovial fibroblast-like synoviocytes (FLS) are activated and exhibit tumour-like behaviour (15). Hyperplasia of joint synovial tissue is due to an imbalance between proliferation and apoptosis of fibroblasts (less subject to apoptosis) and synovial macrophages [14]. In the later stages of RA, apoptosis increases with a predominance of fibroblast and chondroblast destruction of hypertrophic joints [12], but this occurs later, and in the initial stages, together with synovial hyperplasia, a large number of T cells infiltrate the synovial membrane. T-lymphocytes interact with other immunocytes, such as dendritic cells and tissue macrophages, and also with sniocytes, thereby releasing large amounts of inflammatory mediators. The predominance of inflammatory mediators over anti-inflammatory mediators contributes to the formation of chronic synovial inflammation. High concentrations of Bcl-2 protein in the joint provoke the proliferation of autoimmune T-lymphocytes [16], which increase the number of B-lymphocytes whose natural function is to produce antibodies (autoantirheumatoid proteins in RA) and inhibit apoptosis of memory B-cells. Autoantibodies stimulate the proliferation of T-lymphocytes, which release interleukins (IL-10), activating factors that promote apoptosis (caspases) and tumour necrosis factor (TNF). This process triggers an abnormal T-cell autoreaction that contributes to the exacerbation of RA symptoms [17].</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i/>
          <w:sz w:val="30"/>
          <w:szCs w:val="30"/>
          <w:lang w:val="en-GB"/>
        </w:rPr>
        <w:t>Peripheral blood cell apoptosis in RA: role and significance</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Apoptosis as a form of cell death is a general biological mechanism responsible within the immune system for the elimination of activated lymphocytes that have fulfilled their function in order to prevent autoimmune reactions. Defects in the process of programmed peripheral lymphocyte death can cause tolerance disorders and chronic inflammation (10-14).</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 xml:space="preserve">RA is an autoimmune disease, as evidenced by the increased concentration of immunoglobulins in the blood serum, especially the increased concentration of rheumatoid factor (RF), as well as lymphocytes sensitised to the structural components of connective tissue [18]. The state of synovial macrophages, fibroblasts and lymphocytes determine the pathogenesis of the disease in this case. Thus at progression of RA hyperplasia of joint tissues due to accumulation of synovial macrophages and fibroblasts is diagnosed. These cells provoke the progression of inflammation and joint destruction through the release of cytokines, interleukins and proteases that provoke the inflammatory process [19]. The progression of RA is accompanied by an increase in T-lymphocytes, especially CD4+ cells that concentrate on their surface activating antigens such as Ia+cells (class 2 proteins of the major histocompatibility complex), receptors for interleukins (IL-2 in particular), transferrin (TFR+cells) [18]. The high expansion of reactive T lymphocytes into the affected joint is also noteworthy. They attack the synoviaceae, destroying them. A large number of inflammatory mediators are released and significantly fewer anti-inflammatory mediators are produced [10]. A consequence of the predominance of inflammatory mediators in the progression of the pathogenetic chain of the disease is the chronicity of the process [10, 19]. The degree of infiltration by lymphocytes, macrophages and FLS in the joint correlates with increased expression of the anti-apoptotic factor Bcl-2 in the synovium [20], and the increased expansion of autoimmune T lymphocytes into the affected joints is due to both the tumour-like behaviour of FLS and inhibition of apoptosis by blood T cells [21].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Activated autoimmune ralematoid-induced T lymphocyte (B7-H1) stimulates both proliferation and apoptosis of blood lymphocytes. Dong et al (2003) report that B7-H1 stimulates CD4+ T cell proliferation and also secretes interleukin IL-10, activating apoptosis-inducing ligands and caspase-3 and TNF. These processes cause abnormal T-cell responses in the progression of RA and exacerbation of disease symptoms [22].</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Note that apoptosis of peripheral blood lymphocytes (autoreactive T lymphocytes) in AR is activated by the CD44 protein triggering Fas ligand (FasL) on the surface of autoreactive T cells. In doing so, FasL activates Mg /Ca -conjugated</w:t>
      </w:r>
      <w:r>
        <w:rPr>
          <w:rFonts w:eastAsia="Times New Roman" w:cs="Times New Roman" w:ascii="Times New Roman" w:hAnsi="Times New Roman"/>
          <w:sz w:val="30"/>
          <w:szCs w:val="30"/>
          <w:vertAlign w:val="superscript"/>
          <w:lang w:val="en-GB"/>
        </w:rPr>
        <w:t xml:space="preserve">2+2+ </w:t>
      </w:r>
      <w:r>
        <w:rPr>
          <w:rFonts w:eastAsia="Times New Roman" w:cs="Times New Roman" w:ascii="Times New Roman" w:hAnsi="Times New Roman"/>
          <w:sz w:val="30"/>
          <w:szCs w:val="30"/>
          <w:lang w:val="en-GB"/>
        </w:rPr>
        <w:t xml:space="preserve"> cytokinases associated with IP3 receptors. This mechanism triggers actin cytoskeleton rearrangements which induce T-lymphocyte death [10]. But there is also an undefined relationship between synovium and leukocyte survival in it. Zaichko et al. report that the "mortality" of T-lymphocytes in the joint cavity is low, although these cells show low viability outside the joint environment (synovium) [20]. Goltsev et al. confirm the link between T-lymphocyte and synovium survival in their study. Although the characteristics of lymphocytes infiltrating the joint suggest that they are 'doomed' to the process of apoptosis (</w:t>
      </w:r>
      <w:r>
        <w:rPr>
          <w:rFonts w:eastAsia="Times New Roman" w:cs="Times New Roman" w:ascii="Times New Roman" w:hAnsi="Times New Roman"/>
          <w:sz w:val="30"/>
          <w:szCs w:val="30"/>
          <w:highlight w:val="white"/>
          <w:lang w:val="en-GB"/>
        </w:rPr>
        <w:t xml:space="preserve">high Fas receptor expression coupled with low Bcl-2 (an anti-apoptotic factor) activity), they are not involved in this process. The reasons for this situation are unclear, especially considering that neutrophils in the same patients undergo apoptosis en masse (18).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 xml:space="preserve">Note also that the process of activation of one of the immunocompetent cell populations entails the activation of other immunocyte types. Therefore, it is rather difficult to interrupt this chain. Thus, activation of CD4+ T-lymphocytes (which prevail in RA progression) is combined with activation of B-cells, production of pro-inflammatory factors and autoantibodies to RF. B-lymphocyte apoptosis is inhibited due to a decrease in Fasl activity, which induces a process of programmed lymphocyte death. Accordingly, the release of B-cell metabolites supports inflammation, the destruction of joint tissue, the release of inflammatory mediators and T-cell activation (10,16). In addition, the process of activation of immune mechanisms in a patient with RA occurs in the preclinical period of disease progression. So, before clinical symptoms appear, specialists already fix an increase in serum levels of autoantibodies to RF, in particular - to citrullinated protein/peptide antigens (ACPA). An increase in concentrations and antibodies to other post-translationally modified proteins such as carbamylated proteins have also been detected. It is also established that in the preclinical stage of the disease a number of biomarkers and changes in autoreactive T-lymphocytes are observed, e.g. glycosylation of their variable sites. This situation is considered to be highly predictive of future RA progression (23).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i/>
          <w:sz w:val="30"/>
          <w:szCs w:val="30"/>
          <w:lang w:val="en-GB"/>
        </w:rPr>
        <w:t>Therapy for RA: principles and mechanisms, and the activation of lymphocyte apoptosis</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 xml:space="preserve">The development of drug therapy to relieve symptoms and achieve stable remission is based on an understanding of the pathogenesis of the disease, as well as the mechanism of immune response (24). Today, an integrated approach to RA therapy is practiced, combining moderate activity, physiotherapy, symptomatic, anti-inflammatory therapy, and modifying traditional and biological anti-rheumatoid drugs [25, 26] and is subject to the benefit/risk assessment formula [20]. This approach can achieve remission or control the symptoms of the disease, but the effectiveness of this approach is not 100% guaranteed for the patient. In some cases, neither mono- nor combination therapies can achieve positive outcomes (15,27). However, activation of the mechanism of programmed autoreactive lymphocyte death, followed by release of anti-inflammatory mediators into the bloodstream, alleviates the symptoms and stops the progression of RA [10, 28]. Both genetic and environmental factors can influence the effectiveness of therapy, including improving prognosis [23]. At the same time, lack of timely therapy leads to disability in patients: 80% of patients are diagnosed with joint malpositioning, and 40% of patients become disabled within 10 years (26).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 xml:space="preserve">One theory of therapy aimed at relieving symptoms and alleviating the patient's condition is the activation of the p53 molecule, which can affect the tumorigenic nature of cell division (suppression) and activate apoptosis [4, 29], but the activation of this molecule does not bring a positive therapeutic effect in the early stages of RA. Thus, a high p53 titer (+0.85) is observed in the blood of patients with active clinical RA in the early stages of the disease, which can even be considered a predictor of high disease activity. Whereas in the later stages of the disease, activation of the p53 molecule confers a positive therapeutic effect. A direct correlation between apoptotic factor p53 concentration and non-erosive RA (+0.8) can be asserted. In the case of the erosive form, this relationship has been established for the anti-apoptotic molecule Mdm2 (+0.7). Therefore, activation of p53 in the early stages of the disease leads to a worsening of symptoms and can only be performed in late-stage patients (4). </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Greenblatt et al (2020) report that a single dose of rituximab can delay the onset of RA symptoms (23). Rituximab is essentially a chimeric monoclonal antibody. Its action is based on its mechanism of binding to the surface marker of B-lymphocytes - CD20. The activity of the drug extends to mature (plasma) cells as well as to non-activated B-lymphocytes and memory cells. The effect of rituximab is to kill target cells by activating cytotoxicity (antibody- and complement-dependent) and apoptosis [26, 30]. Greenblatt et al. also hypothesise that abatacept, hydroxychloroquine and methotrexate are effective in the treatment of RA [23]. López-Rodríguez et al (2018) provide evidence that the efficacy of methotrexate treatment is associated with the polymorphism of the A-allele MTRR-rs1801394 in the patient [31]. Efficacy of methotrexate treatment is also associated with genetic variants SLC19A1-rs1051266, DHFR-rs836788 and TYMS-rs2244500 [32]. Methotrexate is an antimetabolite, similar in structure to folic acid, and its accumulation in the body provokes an antiproliferative effect by depleting the intracellular folate depot [33]. However, any therapy aimed at relieving symptoms, stabilising the patient's condition and achieving a stable remission should be accompanied by a therapy focused on the repair of damaged tissue (mesenchymal stem cell therapy) (26).</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b/>
          <w:sz w:val="30"/>
          <w:szCs w:val="30"/>
          <w:lang w:val="en-GB"/>
        </w:rPr>
        <w:t>Conclusions</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Programmed cell death (apoptosis) has been extensively studied and is recognised as one of the main pathological mechanisms of RA. Its dysregulation of the various cells involved in the pathological process contributes to the progression of RA and worsens the symptoms of the disease.</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At the same time, an imbalance of cell death of autoimmune T- and B-lymphocytes enhances both autoimmune and, in fact, inflammatory reactions. At the same time, there is massive cell death of macrophages and neutrophils, which contributes to the pathological reactions associated with RA. In addition, the increased death of joint structural cells - osteoblasts/chondrocytes as well as osteoclasts - causes not only the destruction of articular surfaces but also of bone tissue. Consequently, unbalanced death of several cell types works in tandem, forming a vicious circle. Activation of each of its links aggravates clinical manifestation of the disease. At the same time, both genetic and environmental factors influence the symptomatology and the rate of progression of the pathology.</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Activation of autoreactive leukocyte apoptosis (both T- and B-cells) has a positive effect on the course and prognosis of the disease, significantly alleviating the symptoms of the pathology, and thus improving quality of life and delaying the disability of the patient.</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b/>
          <w:i/>
          <w:sz w:val="30"/>
          <w:szCs w:val="30"/>
          <w:lang w:val="en-GB"/>
        </w:rPr>
        <w:t>Prospects for further research</w:t>
      </w:r>
    </w:p>
    <w:p>
      <w:pPr>
        <w:pStyle w:val="Normal1"/>
        <w:spacing w:lineRule="auto" w:line="480"/>
        <w:jc w:val="both"/>
        <w:rPr>
          <w:rFonts w:ascii="Times New Roman" w:hAnsi="Times New Roman"/>
          <w:sz w:val="30"/>
          <w:szCs w:val="30"/>
          <w:lang w:val="en-GB"/>
        </w:rPr>
      </w:pPr>
      <w:r>
        <w:rPr>
          <w:rFonts w:eastAsia="Times New Roman" w:cs="Times New Roman" w:ascii="Times New Roman" w:hAnsi="Times New Roman"/>
          <w:sz w:val="30"/>
          <w:szCs w:val="30"/>
          <w:lang w:val="en-GB"/>
        </w:rPr>
        <w:t>Based on the data from the literature, we believe that it is necessary to continue to study the intensity of lymphocyte apoptosis, taking into account the degree of RA activity and the effect of the ongoing treatment on the process of programmed death of lymphocytes. As a result of this research, we plan to develop guidelines for the diagnosis and personalized therapy of patients with rheumatoid arthritis!</w:t>
      </w:r>
    </w:p>
    <w:sectPr>
      <w:type w:val="nextPage"/>
      <w:pgSz w:w="11906" w:h="16838"/>
      <w:pgMar w:left="1701" w:right="850"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name w:val="Normal"/>
    <w:qFormat/>
    <w:pPr>
      <w:widowControl/>
      <w:bidi w:val="0"/>
      <w:spacing w:lineRule="auto" w:line="360" w:before="0" w:after="0"/>
      <w:jc w:val="left"/>
    </w:pPr>
    <w:rPr>
      <w:rFonts w:ascii="Calibri" w:hAnsi="Calibri" w:eastAsia="Calibri" w:cs="Calibri"/>
      <w:color w:val="auto"/>
      <w:kern w:val="0"/>
      <w:sz w:val="22"/>
      <w:szCs w:val="22"/>
      <w:lang w:val="en-GB" w:eastAsia="zh-CN" w:bidi="hi-IN"/>
    </w:rPr>
  </w:style>
  <w:style w:type="paragraph" w:styleId="1">
    <w:name w:val="Heading 1"/>
    <w:basedOn w:val="Normal1"/>
    <w:next w:val="Normal1"/>
    <w:qFormat/>
    <w:pPr>
      <w:keepNext w:val="true"/>
      <w:keepLines/>
      <w:pageBreakBefore w:val="false"/>
      <w:widowControl/>
      <w:pBdr/>
      <w:shd w:val="clear" w:fill="auto"/>
      <w:spacing w:lineRule="auto" w:line="360" w:before="480" w:after="120"/>
      <w:ind w:left="0" w:right="0" w:hanging="0"/>
      <w:jc w:val="left"/>
    </w:pPr>
    <w:rPr>
      <w:rFonts w:ascii="Calibri" w:hAnsi="Calibri" w:eastAsia="Calibri" w:cs="Calibri"/>
      <w:b/>
      <w:i w:val="false"/>
      <w:caps w:val="false"/>
      <w:smallCaps w:val="false"/>
      <w:strike w:val="false"/>
      <w:dstrike w:val="false"/>
      <w:color w:val="000000"/>
      <w:position w:val="0"/>
      <w:sz w:val="48"/>
      <w:sz w:val="48"/>
      <w:szCs w:val="48"/>
      <w:u w:val="none"/>
      <w:shd w:fill="auto" w:val="clear"/>
      <w:vertAlign w:val="baseline"/>
    </w:rPr>
  </w:style>
  <w:style w:type="paragraph" w:styleId="2">
    <w:name w:val="Heading 2"/>
    <w:basedOn w:val="Normal1"/>
    <w:next w:val="Normal1"/>
    <w:qFormat/>
    <w:pPr>
      <w:keepNext w:val="true"/>
      <w:keepLines/>
      <w:pageBreakBefore w:val="false"/>
      <w:widowControl/>
      <w:pBdr/>
      <w:shd w:val="clear" w:fill="auto"/>
      <w:spacing w:lineRule="auto" w:line="360" w:before="360" w:after="80"/>
      <w:ind w:left="0" w:right="0" w:hanging="0"/>
      <w:jc w:val="left"/>
    </w:pPr>
    <w:rPr>
      <w:rFonts w:ascii="Calibri" w:hAnsi="Calibri" w:eastAsia="Calibri" w:cs="Calibri"/>
      <w:b/>
      <w:i w:val="false"/>
      <w:caps w:val="false"/>
      <w:smallCaps w:val="false"/>
      <w:strike w:val="false"/>
      <w:dstrike w:val="false"/>
      <w:color w:val="000000"/>
      <w:position w:val="0"/>
      <w:sz w:val="36"/>
      <w:sz w:val="36"/>
      <w:szCs w:val="36"/>
      <w:u w:val="none"/>
      <w:shd w:fill="auto" w:val="clear"/>
      <w:vertAlign w:val="baseline"/>
    </w:rPr>
  </w:style>
  <w:style w:type="paragraph" w:styleId="3">
    <w:name w:val="Heading 3"/>
    <w:basedOn w:val="Normal1"/>
    <w:next w:val="Normal1"/>
    <w:qFormat/>
    <w:pPr>
      <w:keepNext w:val="true"/>
      <w:keepLines/>
      <w:pageBreakBefore w:val="false"/>
      <w:widowControl/>
      <w:pBdr/>
      <w:shd w:val="clear" w:fill="auto"/>
      <w:spacing w:lineRule="auto" w:line="360" w:before="280" w:after="80"/>
      <w:ind w:left="0" w:right="0" w:hanging="0"/>
      <w:jc w:val="left"/>
    </w:pPr>
    <w:rPr>
      <w:rFonts w:ascii="Calibri" w:hAnsi="Calibri" w:eastAsia="Calibri" w:cs="Calibri"/>
      <w:b/>
      <w:i w:val="false"/>
      <w:caps w:val="false"/>
      <w:smallCaps w:val="false"/>
      <w:strike w:val="false"/>
      <w:dstrike w:val="false"/>
      <w:color w:val="000000"/>
      <w:position w:val="0"/>
      <w:sz w:val="28"/>
      <w:sz w:val="28"/>
      <w:szCs w:val="28"/>
      <w:u w:val="none"/>
      <w:shd w:fill="auto" w:val="clear"/>
      <w:vertAlign w:val="baseline"/>
    </w:rPr>
  </w:style>
  <w:style w:type="paragraph" w:styleId="4">
    <w:name w:val="Heading 4"/>
    <w:basedOn w:val="Normal1"/>
    <w:next w:val="Normal1"/>
    <w:qFormat/>
    <w:pPr>
      <w:keepNext w:val="true"/>
      <w:keepLines/>
      <w:pageBreakBefore w:val="false"/>
      <w:widowControl/>
      <w:pBdr/>
      <w:shd w:val="clear" w:fill="auto"/>
      <w:spacing w:lineRule="auto" w:line="360" w:before="240" w:after="40"/>
      <w:ind w:left="0" w:right="0" w:hanging="0"/>
      <w:jc w:val="left"/>
    </w:pPr>
    <w:rPr>
      <w:rFonts w:ascii="Calibri" w:hAnsi="Calibri" w:eastAsia="Calibri" w:cs="Calibri"/>
      <w:b/>
      <w:i w:val="false"/>
      <w:caps w:val="false"/>
      <w:smallCaps w:val="false"/>
      <w:strike w:val="false"/>
      <w:dstrike w:val="false"/>
      <w:color w:val="000000"/>
      <w:position w:val="0"/>
      <w:sz w:val="24"/>
      <w:sz w:val="24"/>
      <w:szCs w:val="24"/>
      <w:u w:val="none"/>
      <w:shd w:fill="auto" w:val="clear"/>
      <w:vertAlign w:val="baseline"/>
    </w:rPr>
  </w:style>
  <w:style w:type="paragraph" w:styleId="5">
    <w:name w:val="Heading 5"/>
    <w:basedOn w:val="Normal1"/>
    <w:next w:val="Normal1"/>
    <w:qFormat/>
    <w:pPr>
      <w:keepNext w:val="true"/>
      <w:keepLines/>
      <w:pageBreakBefore w:val="false"/>
      <w:widowControl/>
      <w:pBdr/>
      <w:shd w:val="clear" w:fill="auto"/>
      <w:spacing w:lineRule="auto" w:line="360" w:before="220" w:after="40"/>
      <w:ind w:left="0" w:right="0" w:hanging="0"/>
      <w:jc w:val="left"/>
    </w:pPr>
    <w:rPr>
      <w:rFonts w:ascii="Calibri" w:hAnsi="Calibri" w:eastAsia="Calibri" w:cs="Calibri"/>
      <w:b/>
      <w:i w:val="false"/>
      <w:caps w:val="false"/>
      <w:smallCaps w:val="false"/>
      <w:strike w:val="false"/>
      <w:dstrike w:val="false"/>
      <w:color w:val="000000"/>
      <w:position w:val="0"/>
      <w:sz w:val="22"/>
      <w:sz w:val="22"/>
      <w:szCs w:val="22"/>
      <w:u w:val="none"/>
      <w:shd w:fill="auto" w:val="clear"/>
      <w:vertAlign w:val="baseline"/>
    </w:rPr>
  </w:style>
  <w:style w:type="paragraph" w:styleId="6">
    <w:name w:val="Heading 6"/>
    <w:basedOn w:val="Normal1"/>
    <w:next w:val="Normal1"/>
    <w:qFormat/>
    <w:pPr>
      <w:keepNext w:val="true"/>
      <w:keepLines/>
      <w:pageBreakBefore w:val="false"/>
      <w:widowControl/>
      <w:pBdr/>
      <w:shd w:val="clear" w:fill="auto"/>
      <w:spacing w:lineRule="auto" w:line="360" w:before="200" w:after="40"/>
      <w:ind w:left="0" w:right="0" w:hanging="0"/>
      <w:jc w:val="left"/>
    </w:pPr>
    <w:rPr>
      <w:rFonts w:ascii="Calibri" w:hAnsi="Calibri" w:eastAsia="Calibri" w:cs="Calibri"/>
      <w:b/>
      <w:i w:val="false"/>
      <w:caps w:val="false"/>
      <w:smallCaps w:val="false"/>
      <w:strike w:val="false"/>
      <w:dstrike w:val="false"/>
      <w:color w:val="000000"/>
      <w:position w:val="0"/>
      <w:sz w:val="20"/>
      <w:sz w:val="20"/>
      <w:szCs w:val="20"/>
      <w:u w:val="none"/>
      <w:shd w:fill="auto" w:val="clear"/>
      <w:vertAlign w:val="baseline"/>
    </w:rPr>
  </w:style>
  <w:style w:type="paragraph" w:styleId="Style8">
    <w:name w:val="Заголовок"/>
    <w:basedOn w:val="Normal"/>
    <w:next w:val="Style9"/>
    <w:qFormat/>
    <w:pPr>
      <w:keepNext w:val="true"/>
      <w:spacing w:before="240" w:after="120"/>
    </w:pPr>
    <w:rPr>
      <w:rFonts w:ascii="Liberation Sans" w:hAnsi="Liberation Sans" w:eastAsia="Noto Sans CJK SC" w:cs="Droid Sans Devanagari"/>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Droid Sans Devanagari"/>
    </w:rPr>
  </w:style>
  <w:style w:type="paragraph" w:styleId="Style11">
    <w:name w:val="Caption"/>
    <w:basedOn w:val="Normal"/>
    <w:qFormat/>
    <w:pPr>
      <w:suppressLineNumbers/>
      <w:spacing w:before="120" w:after="120"/>
    </w:pPr>
    <w:rPr>
      <w:rFonts w:cs="Droid Sans Devanagari"/>
      <w:i/>
      <w:iCs/>
      <w:sz w:val="24"/>
      <w:szCs w:val="24"/>
    </w:rPr>
  </w:style>
  <w:style w:type="paragraph" w:styleId="Style12">
    <w:name w:val="Указатель"/>
    <w:basedOn w:val="Normal"/>
    <w:qFormat/>
    <w:pPr>
      <w:suppressLineNumbers/>
    </w:pPr>
    <w:rPr>
      <w:rFonts w:cs="Droid Sans Devanagari"/>
      <w:lang w:eastAsia="zxx" w:bidi="zxx"/>
    </w:rPr>
  </w:style>
  <w:style w:type="paragraph" w:styleId="Normal1" w:default="1">
    <w:name w:val="LO-normal"/>
    <w:qFormat/>
    <w:pPr>
      <w:widowControl/>
      <w:bidi w:val="0"/>
      <w:spacing w:lineRule="auto" w:line="360" w:before="0" w:after="0"/>
      <w:jc w:val="left"/>
    </w:pPr>
    <w:rPr>
      <w:rFonts w:ascii="Calibri" w:hAnsi="Calibri" w:eastAsia="Calibri" w:cs="Calibri"/>
      <w:color w:val="auto"/>
      <w:kern w:val="0"/>
      <w:sz w:val="22"/>
      <w:szCs w:val="22"/>
      <w:lang w:val="en-GB" w:eastAsia="zh-CN" w:bidi="hi-IN"/>
    </w:rPr>
  </w:style>
  <w:style w:type="paragraph" w:styleId="Style13">
    <w:name w:val="Title"/>
    <w:basedOn w:val="Normal1"/>
    <w:next w:val="Normal1"/>
    <w:qFormat/>
    <w:pPr>
      <w:keepNext w:val="true"/>
      <w:keepLines/>
      <w:pageBreakBefore w:val="false"/>
      <w:widowControl/>
      <w:pBdr/>
      <w:shd w:val="clear" w:fill="auto"/>
      <w:spacing w:lineRule="auto" w:line="360" w:before="480" w:after="120"/>
      <w:ind w:left="0" w:right="0" w:hanging="0"/>
      <w:jc w:val="left"/>
    </w:pPr>
    <w:rPr>
      <w:rFonts w:ascii="Calibri" w:hAnsi="Calibri" w:eastAsia="Calibri" w:cs="Calibri"/>
      <w:b/>
      <w:i w:val="false"/>
      <w:caps w:val="false"/>
      <w:smallCaps w:val="false"/>
      <w:strike w:val="false"/>
      <w:dstrike w:val="false"/>
      <w:color w:val="000000"/>
      <w:position w:val="0"/>
      <w:sz w:val="72"/>
      <w:sz w:val="72"/>
      <w:szCs w:val="72"/>
      <w:u w:val="none"/>
      <w:shd w:fill="auto" w:val="clear"/>
      <w:vertAlign w:val="baseline"/>
    </w:rPr>
  </w:style>
  <w:style w:type="paragraph" w:styleId="Style14">
    <w:name w:val="Subtitle"/>
    <w:basedOn w:val="Normal1"/>
    <w:next w:val="Normal1"/>
    <w:qFormat/>
    <w:pPr>
      <w:keepNext w:val="true"/>
      <w:keepLines/>
      <w:pageBreakBefore w:val="false"/>
      <w:widowControl/>
      <w:pBdr/>
      <w:shd w:val="clear" w:fill="auto"/>
      <w:spacing w:lineRule="auto" w:line="36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12</Pages>
  <Words>2475</Words>
  <Characters>14425</Characters>
  <CharactersWithSpaces>16881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2023-04-06T20:55:53Z</dcterms:modified>
  <cp:revision>1</cp:revision>
  <dc:subject/>
  <dc:title/>
</cp:coreProperties>
</file>