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480" w:line="259"/>
        <w:ind w:right="0" w:left="0" w:firstLine="567"/>
        <w:jc w:val="both"/>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Як виїхати з дитиною за кордон без згоди другого з батьків?</w:t>
      </w:r>
    </w:p>
    <w:p>
      <w:pPr>
        <w:spacing w:before="0" w:after="160" w:line="259"/>
        <w:ind w:right="0" w:left="0" w:firstLine="567"/>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Які норми права регулюють порядок виїзду дитини за межі України?</w:t>
      </w:r>
    </w:p>
    <w:p>
      <w:pPr>
        <w:spacing w:before="0" w:after="160" w:line="259"/>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Цивільний кодекс</w:t>
      </w:r>
      <w:r>
        <w:rPr>
          <w:rFonts w:ascii="Times New Roman" w:hAnsi="Times New Roman" w:cs="Times New Roman" w:eastAsia="Times New Roman"/>
          <w:color w:val="auto"/>
          <w:spacing w:val="0"/>
          <w:position w:val="0"/>
          <w:sz w:val="24"/>
          <w:shd w:fill="auto" w:val="clear"/>
        </w:rPr>
        <w:t xml:space="preserve">, зокрема п. 3 ст. 313 передбачає право дитини, яка досягла шістнадцяти років, на вільний самостійний виїзд за межі країни. Проте, незалежно від мети подорожі (оздоровлення або лікування в іншій державі, туристична поїздка, зустріч з родичами тощо), діти до 16 років мають право на виїзд за кордон тільки за згодою батьків та в їх супроводі або разом з особами, які уповноважені батьками дитини.</w:t>
      </w:r>
    </w:p>
    <w:p>
      <w:pPr>
        <w:spacing w:before="100" w:after="100" w:line="240"/>
        <w:ind w:right="0" w:left="0" w:firstLine="567"/>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Який порядок вивезення дитини за кордон?</w:t>
      </w:r>
    </w:p>
    <w:p>
      <w:pPr>
        <w:spacing w:before="100" w:after="10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Процедура вивезення дітей, які не досягли шістнадцяти років, в супроводі одного з батьків або інших осіб, уповноважених ними, відповідно до п. 4 Постанови Кабінету Міністрів України від 27.01.1995 р.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Про затвердження Правил перетинання державного кордону громадянами України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передбачає, що виїзд здійснюється у таких випадках: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1) </w:t>
      </w:r>
      <w:r>
        <w:rPr>
          <w:rFonts w:ascii="Times New Roman" w:hAnsi="Times New Roman" w:cs="Times New Roman" w:eastAsia="Times New Roman"/>
          <w:color w:val="auto"/>
          <w:spacing w:val="0"/>
          <w:position w:val="0"/>
          <w:sz w:val="24"/>
          <w:u w:val="single"/>
          <w:shd w:fill="auto" w:val="clear"/>
        </w:rPr>
        <w:t xml:space="preserve">за нотаріально посвідченою згодою</w:t>
      </w:r>
      <w:r>
        <w:rPr>
          <w:rFonts w:ascii="Times New Roman" w:hAnsi="Times New Roman" w:cs="Times New Roman" w:eastAsia="Times New Roman"/>
          <w:color w:val="auto"/>
          <w:spacing w:val="0"/>
          <w:position w:val="0"/>
          <w:sz w:val="24"/>
          <w:shd w:fill="auto" w:val="clear"/>
        </w:rPr>
        <w:t xml:space="preserve"> другого з батьків із зазначенням у ній держави прямування та відповідного часового проміжку перебування у цій державі, якщо другий з батьків відсутній у пункті пропуску; </w:t>
        <w:br/>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2) </w:t>
      </w:r>
      <w:r>
        <w:rPr>
          <w:rFonts w:ascii="Times New Roman" w:hAnsi="Times New Roman" w:cs="Times New Roman" w:eastAsia="Times New Roman"/>
          <w:color w:val="auto"/>
          <w:spacing w:val="0"/>
          <w:position w:val="0"/>
          <w:sz w:val="24"/>
          <w:u w:val="single"/>
          <w:shd w:fill="auto" w:val="clear"/>
        </w:rPr>
        <w:t xml:space="preserve">без нотаріально посвідченої згоди</w:t>
      </w:r>
      <w:r>
        <w:rPr>
          <w:rFonts w:ascii="Times New Roman" w:hAnsi="Times New Roman" w:cs="Times New Roman" w:eastAsia="Times New Roman"/>
          <w:color w:val="auto"/>
          <w:spacing w:val="0"/>
          <w:position w:val="0"/>
          <w:sz w:val="24"/>
          <w:shd w:fill="auto" w:val="clear"/>
        </w:rPr>
        <w:t xml:space="preserve"> другого з батьків: </w:t>
        <w:br/>
      </w:r>
    </w:p>
    <w:p>
      <w:pPr>
        <w:numPr>
          <w:ilvl w:val="0"/>
          <w:numId w:val="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09" w:hanging="283"/>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якщо другий з батьків є іноземцем або особою без громадянства, що підтверджується записом про батька у свідоцтві про народження дитини, та який (яка) відсутній у пункті пропуску; </w:t>
        <w:br/>
      </w:r>
    </w:p>
    <w:p>
      <w:pPr>
        <w:numPr>
          <w:ilvl w:val="0"/>
          <w:numId w:val="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09" w:hanging="283"/>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якщо у паспорті громадянина України для виїзду за кордон, з яким перетинає державний кордон громадянин, який не досяг 16-річного віку, або проїзному документі дитини є запис про вибуття на постійне місце проживання за межі України чи відмітка про взяття на постійний консульський облік у дипломатичному представництві або консульській установі України за кордоном; </w:t>
        <w:br/>
      </w:r>
    </w:p>
    <w:p>
      <w:pPr>
        <w:numPr>
          <w:ilvl w:val="0"/>
          <w:numId w:val="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09"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 разі пред'явлення документів або їх нотаріально засвідчених копій: </w:t>
        <w:br/>
      </w:r>
    </w:p>
    <w:p>
      <w:pPr>
        <w:numPr>
          <w:ilvl w:val="0"/>
          <w:numId w:val="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120" w:line="240"/>
        <w:ind w:right="0" w:left="1191"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свідоцтва про смерть другого з батьків; </w:t>
      </w:r>
    </w:p>
    <w:p>
      <w:pPr>
        <w:numPr>
          <w:ilvl w:val="0"/>
          <w:numId w:val="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120" w:line="240"/>
        <w:ind w:right="0" w:left="1191"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рішення суду про позбавлення батьківських прав другого з батьків;</w:t>
      </w:r>
    </w:p>
    <w:p>
      <w:pPr>
        <w:numPr>
          <w:ilvl w:val="0"/>
          <w:numId w:val="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120" w:line="240"/>
        <w:ind w:right="0" w:left="1191"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рішення суду про визнання другого з батьків безвісно відсутнім; </w:t>
      </w:r>
    </w:p>
    <w:p>
      <w:pPr>
        <w:numPr>
          <w:ilvl w:val="0"/>
          <w:numId w:val="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120" w:line="240"/>
        <w:ind w:right="0" w:left="1191"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рішення суду про визнання другого з батьків недієздатним; </w:t>
      </w:r>
    </w:p>
    <w:p>
      <w:pPr>
        <w:numPr>
          <w:ilvl w:val="0"/>
          <w:numId w:val="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120" w:line="240"/>
        <w:ind w:right="0" w:left="1191"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рішення суду про надання дозволу на виїзд з України громадянину, який не досяг 16-річного віку, без згоди та супроводу другого з батьків; </w:t>
      </w:r>
    </w:p>
    <w:p>
      <w:pPr>
        <w:numPr>
          <w:ilvl w:val="0"/>
          <w:numId w:val="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120" w:line="240"/>
        <w:ind w:right="0" w:left="1191"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довідки про народження дитини, виданої відділом реєстрації актів цивільного стану, із зазначенням підстав внесення відомостей про батька (під час виїзду дитини за кордон у супроводі одинокої матері);</w:t>
      </w:r>
    </w:p>
    <w:p>
      <w:pPr>
        <w:numPr>
          <w:ilvl w:val="0"/>
          <w:numId w:val="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120" w:line="240"/>
        <w:ind w:right="0" w:left="1191"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довідки про наявність заборгованості із сплати аліментів, сукупний розмір якої перевищує суму відповідних платежів за чотири місяці, виданої органом державної виконавчої служби, приватним виконавцем; </w:t>
      </w:r>
    </w:p>
    <w:p>
      <w:pPr>
        <w:numPr>
          <w:ilvl w:val="0"/>
          <w:numId w:val="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120" w:line="240"/>
        <w:ind w:right="0" w:left="1191"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свідоцтва про народження дитини, виданого компетентним органом іноземної держави, що не містить відомостей про батька дитини, легалізованого або засвідченого апостилем, а також без будь-якого додаткового засвідчення у випадках, передбачених міжнародним договором України.</w:t>
      </w:r>
    </w:p>
    <w:p>
      <w:pPr>
        <w:keepNext w:val="true"/>
        <w:keepLines w:val="true"/>
        <w:spacing w:before="40" w:after="0" w:line="259"/>
        <w:ind w:right="0" w:left="0" w:firstLine="0"/>
        <w:jc w:val="both"/>
        <w:rPr>
          <w:rFonts w:ascii="Times New Roman" w:hAnsi="Times New Roman" w:cs="Times New Roman" w:eastAsia="Times New Roman"/>
          <w:b/>
          <w:i/>
          <w:color w:val="auto"/>
          <w:spacing w:val="0"/>
          <w:position w:val="0"/>
          <w:sz w:val="24"/>
          <w:shd w:fill="auto" w:val="clear"/>
        </w:rPr>
      </w:pPr>
    </w:p>
    <w:p>
      <w:pPr>
        <w:keepNext w:val="true"/>
        <w:keepLines w:val="true"/>
        <w:spacing w:before="40" w:after="0" w:line="259"/>
        <w:ind w:right="0" w:left="0" w:firstLine="567"/>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Як вивезти дитину за кордон на строк </w:t>
      </w:r>
      <w:r>
        <w:rPr>
          <w:rFonts w:ascii="Times New Roman" w:hAnsi="Times New Roman" w:cs="Times New Roman" w:eastAsia="Times New Roman"/>
          <w:b/>
          <w:color w:val="auto"/>
          <w:spacing w:val="0"/>
          <w:position w:val="0"/>
          <w:sz w:val="24"/>
          <w:shd w:fill="auto" w:val="clear"/>
        </w:rPr>
        <w:t xml:space="preserve">до 1 місяця?</w:t>
      </w:r>
    </w:p>
    <w:p>
      <w:pPr>
        <w:spacing w:before="100" w:after="100" w:line="24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Законодавством передбачені дві підстави виїзду дитини без нотаріально посвідченої згоди другого з батьків у разі:</w:t>
      </w:r>
    </w:p>
    <w:p>
      <w:pPr>
        <w:numPr>
          <w:ilvl w:val="0"/>
          <w:numId w:val="11"/>
        </w:numPr>
        <w:tabs>
          <w:tab w:val="left" w:pos="993"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тимчасового виїзду з України на строк до одного місяця під час пред’явлення рішення суду або органу опіки та піклування або їх копій, засвідчених нотаріально чи органом, який їх видав, у якому визначено (підтверджено) місце проживання дитини з одним із батьків, який має намір виїзду з дитиною або який уповноважив на це нотаріально посвідченою згодою інших осіб;</w:t>
      </w:r>
    </w:p>
    <w:p>
      <w:pPr>
        <w:numPr>
          <w:ilvl w:val="0"/>
          <w:numId w:val="11"/>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тимчасового виїзду з України на строк до одного місяця та більше дитини з інвалідністю, дитини, яка хворіє на захворювання, передбачені ч. 5 статті 157 Сімейного кодексу України, під час пред’явлення </w:t>
      </w:r>
      <w:r>
        <w:rPr>
          <w:rFonts w:ascii="Times New Roman" w:hAnsi="Times New Roman" w:cs="Times New Roman" w:eastAsia="Times New Roman"/>
          <w:color w:val="auto"/>
          <w:spacing w:val="0"/>
          <w:position w:val="0"/>
          <w:sz w:val="24"/>
          <w:u w:val="single"/>
          <w:shd w:fill="auto" w:val="clear"/>
        </w:rPr>
        <w:t xml:space="preserve">таких документів</w:t>
      </w:r>
      <w:r>
        <w:rPr>
          <w:rFonts w:ascii="Times New Roman" w:hAnsi="Times New Roman" w:cs="Times New Roman" w:eastAsia="Times New Roman"/>
          <w:color w:val="auto"/>
          <w:spacing w:val="0"/>
          <w:position w:val="0"/>
          <w:sz w:val="24"/>
          <w:shd w:fill="auto" w:val="clear"/>
        </w:rPr>
        <w:t xml:space="preserve"> або їх копій, засвідчених нотаріально чи органом, який їх видав: </w:t>
        <w:br/>
      </w:r>
    </w:p>
    <w:p>
      <w:pPr>
        <w:numPr>
          <w:ilvl w:val="0"/>
          <w:numId w:val="11"/>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87"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довідки, виданої органом державної виконавчої служби, приватним виконавцем, про наявність заборгованості із сплати аліментів (у разі коли сукупний розмір заборгованості перевищує суму відповідних платежів за три місяці); </w:t>
        <w:br/>
      </w:r>
    </w:p>
    <w:p>
      <w:pPr>
        <w:numPr>
          <w:ilvl w:val="0"/>
          <w:numId w:val="11"/>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87"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документа, виданого лікарсько-консультативною комісією лікувально-профілактичного закладу, в порядку та за формою, встановленими МОЗ (у разі коли сума заборгованості по аліментах становить понад три місяці, але не більше чотирьох місяців).</w:t>
      </w:r>
    </w:p>
    <w:p>
      <w:pPr>
        <w:spacing w:before="100" w:after="100" w:line="240"/>
        <w:ind w:right="0" w:left="0" w:firstLine="567"/>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Який перелік документів потрібен для отримання дозволу на виїзд дітей за кордон України через суд?</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 житті мають місце випадки, коли інший з батьків не дає згоду на виїзд неповнолітньої дитини з України. Це може бути, наприклад, викликано розлученням та ймовірним конфліктом. </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Якщо мирним шляхом досягти компромісу не має можливості, єдиним варіантом вирішення проблеми є звернення до суду.</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Процедура оформлення судового дозволу на вивезення дітей за кордон передбачає надання таких документів):</w:t>
      </w:r>
    </w:p>
    <w:p>
      <w:pPr>
        <w:numPr>
          <w:ilvl w:val="0"/>
          <w:numId w:val="16"/>
        </w:numPr>
        <w:tabs>
          <w:tab w:val="left" w:pos="720"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позовна заява про виїзд дитини</w:t>
      </w:r>
    </w:p>
    <w:p>
      <w:pPr>
        <w:numPr>
          <w:ilvl w:val="0"/>
          <w:numId w:val="16"/>
        </w:numPr>
        <w:tabs>
          <w:tab w:val="left" w:pos="720"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копія паспорта, ІПН позивача</w:t>
      </w:r>
    </w:p>
    <w:p>
      <w:pPr>
        <w:numPr>
          <w:ilvl w:val="0"/>
          <w:numId w:val="16"/>
        </w:numPr>
        <w:tabs>
          <w:tab w:val="left" w:pos="720"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копія рішення суду про розірвання шлюбу</w:t>
      </w:r>
    </w:p>
    <w:p>
      <w:pPr>
        <w:numPr>
          <w:ilvl w:val="0"/>
          <w:numId w:val="16"/>
        </w:numPr>
        <w:tabs>
          <w:tab w:val="left" w:pos="720"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копія свідоцтва про народження дитини</w:t>
      </w:r>
    </w:p>
    <w:p>
      <w:pPr>
        <w:numPr>
          <w:ilvl w:val="0"/>
          <w:numId w:val="16"/>
        </w:numPr>
        <w:tabs>
          <w:tab w:val="left" w:pos="720"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докази доцільності поїздки.</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 останній пункт слід звернути особливу увагу, тому що суди спираються на такі докази як на основоположні і від переконливої аргументації необхідності вивезення дитини за кордон залежить результат судового розгляду. Такими доказами можуть послужити довідки з медичної установи про потребу в лікуванні за кордоном, якщо метою поїздки є оздоровлення, або письмові докази родинних зв’язків, якщо подорож викликана бажання відвідати родичів, які живуть в іншій країні.</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567"/>
        <w:jc w:val="both"/>
        <w:rPr>
          <w:rFonts w:ascii="Courier New" w:hAnsi="Courier New" w:cs="Courier New" w:eastAsia="Courier New"/>
          <w:color w:val="auto"/>
          <w:spacing w:val="0"/>
          <w:position w:val="0"/>
          <w:sz w:val="20"/>
          <w:shd w:fill="auto" w:val="clear"/>
        </w:rPr>
      </w:pPr>
      <w:r>
        <w:rPr>
          <w:rFonts w:ascii="Times New Roman" w:hAnsi="Times New Roman" w:cs="Times New Roman" w:eastAsia="Times New Roman"/>
          <w:color w:val="auto"/>
          <w:spacing w:val="0"/>
          <w:position w:val="0"/>
          <w:sz w:val="24"/>
          <w:shd w:fill="auto" w:val="clear"/>
        </w:rPr>
        <w:t xml:space="preserve">Верховний Суд України узагальнив</w:t>
      </w:r>
      <w:r>
        <w:rPr>
          <w:rFonts w:ascii="Courier New" w:hAnsi="Courier New" w:cs="Courier New" w:eastAsia="Courier New"/>
          <w:color w:val="auto"/>
          <w:spacing w:val="0"/>
          <w:position w:val="0"/>
          <w:sz w:val="20"/>
          <w:shd w:fill="auto" w:val="clear"/>
        </w:rPr>
        <w:t xml:space="preserve"> </w:t>
      </w:r>
      <w:r>
        <w:rPr>
          <w:rFonts w:ascii="Times New Roman" w:hAnsi="Times New Roman" w:cs="Times New Roman" w:eastAsia="Times New Roman"/>
          <w:color w:val="auto"/>
          <w:spacing w:val="0"/>
          <w:position w:val="0"/>
          <w:sz w:val="24"/>
          <w:shd w:fill="auto" w:val="clear"/>
        </w:rPr>
        <w:t xml:space="preserve">у відповідній постанові </w:t>
      </w:r>
      <w:hyperlink xmlns:r="http://schemas.openxmlformats.org/officeDocument/2006/relationships" r:id="docRId0">
        <w:r>
          <w:rPr>
            <w:rFonts w:ascii="Times New Roman" w:hAnsi="Times New Roman" w:cs="Times New Roman" w:eastAsia="Times New Roman"/>
            <w:color w:val="auto"/>
            <w:spacing w:val="0"/>
            <w:position w:val="0"/>
            <w:sz w:val="24"/>
            <w:u w:val="single"/>
            <w:shd w:fill="auto" w:val="clear"/>
          </w:rPr>
          <w:t xml:space="preserve">по справі № 643/1090/17</w:t>
        </w:r>
      </w:hyperlink>
      <w:r>
        <w:rPr>
          <w:rFonts w:ascii="Times New Roman" w:hAnsi="Times New Roman" w:cs="Times New Roman" w:eastAsia="Times New Roman"/>
          <w:color w:val="auto"/>
          <w:spacing w:val="0"/>
          <w:position w:val="0"/>
          <w:sz w:val="24"/>
          <w:u w:val="single"/>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прийнятій у 2019 році), що надання дозволу на виїзд дитини за кордон без зазначення конкретної адреси місця перебування дитини за межами України та не надання доказів на підтвердження повернення дитини на територію України створить ситуацію правової невизначеності та непрогнозованості. Саме тому доцільність поїздки слід обґрунтовувати.</w:t>
      </w:r>
    </w:p>
    <w:p>
      <w:pPr>
        <w:spacing w:before="100" w:after="100" w:line="240"/>
        <w:ind w:right="0" w:left="0" w:firstLine="567"/>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Які документи потрібні для поїздки за кордон з дитиною?</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Неповнолітні діти мають можливість перетинати межі України на підставі закордонного паспорту чи проїзного документу дитини. Слід зауважити, що Міграційна служба України припинила виготовлення проїзних документів для дітей, а також їх внесення в закордонні паспорти батьків. Дійсний проїзний документ дитини лише до закінчення його терміну дії і не підлягає поновленню.</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Однак, вже оформлений проїзний документ може стати  і проблемою, якщо був отриманий у віці до п’яти років. Консульські установи просто можуть відмовити в оформленні візи, бо обличчя дитини в житті вже може не збігатися з фотографією на проїзному документі. В Такому випадку все ж доведеться оформити дитині закордонний паспорт. </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567"/>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Як виїхати з дитиною на непідконтрольну територію?</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Особливої уваги заслуговує питання про порядок виїзду дітей на тимчасово окуповані території України, а також у зону проведення ООС.</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П.3 Порядку в’їзду на тимчасово окуповану територію</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та виїзду з неї</w:t>
      </w:r>
      <w:r>
        <w:rPr>
          <w:rFonts w:ascii="Times New Roman" w:hAnsi="Times New Roman" w:cs="Times New Roman" w:eastAsia="Times New Roman"/>
          <w:color w:val="auto"/>
          <w:spacing w:val="0"/>
          <w:position w:val="0"/>
          <w:sz w:val="24"/>
          <w:shd w:fill="auto" w:val="clear"/>
        </w:rPr>
        <w:t xml:space="preserve">, затвердженого постановою Кабінету Міністрів від 4.06.2015 №367 регламентує, що в’їзд на тимчасово окуповану територію громадян, які не досягли 16-річного віку, здійснюється через контрольні пункти за умови пред’явлення паспорта, або паспорта для виїзду за кордон, або проїзного документа дитини (до 09.02.2020) з дотриманням вимог, передбачених для таких осіб пп.3—6 </w:t>
      </w:r>
      <w:r>
        <w:rPr>
          <w:rFonts w:ascii="Times New Roman" w:hAnsi="Times New Roman" w:cs="Times New Roman" w:eastAsia="Times New Roman"/>
          <w:i/>
          <w:color w:val="auto"/>
          <w:spacing w:val="0"/>
          <w:position w:val="0"/>
          <w:sz w:val="24"/>
          <w:shd w:fill="auto" w:val="clear"/>
        </w:rPr>
        <w:t xml:space="preserve">Правил перетинання державного кордону громадянами України</w:t>
      </w:r>
      <w:r>
        <w:rPr>
          <w:rFonts w:ascii="Times New Roman" w:hAnsi="Times New Roman" w:cs="Times New Roman" w:eastAsia="Times New Roman"/>
          <w:color w:val="auto"/>
          <w:spacing w:val="0"/>
          <w:position w:val="0"/>
          <w:sz w:val="24"/>
          <w:shd w:fill="auto" w:val="clear"/>
        </w:rPr>
        <w:t xml:space="preserve">, затверджених постановою КМУ від 27.01.95 №57.</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Однак, </w:t>
      </w:r>
      <w:r>
        <w:rPr>
          <w:rFonts w:ascii="Times New Roman" w:hAnsi="Times New Roman" w:cs="Times New Roman" w:eastAsia="Times New Roman"/>
          <w:color w:val="auto"/>
          <w:spacing w:val="0"/>
          <w:position w:val="0"/>
          <w:sz w:val="24"/>
          <w:u w:val="single"/>
          <w:shd w:fill="auto" w:val="clear"/>
        </w:rPr>
        <w:t xml:space="preserve">09.02.2020 відбудеться редакція</w:t>
      </w:r>
      <w:r>
        <w:rPr>
          <w:rFonts w:ascii="Times New Roman" w:hAnsi="Times New Roman" w:cs="Times New Roman" w:eastAsia="Times New Roman"/>
          <w:color w:val="auto"/>
          <w:spacing w:val="0"/>
          <w:position w:val="0"/>
          <w:sz w:val="24"/>
          <w:shd w:fill="auto" w:val="clear"/>
        </w:rPr>
        <w:t xml:space="preserve"> п. 3 </w:t>
      </w:r>
      <w:r>
        <w:rPr>
          <w:rFonts w:ascii="Times New Roman" w:hAnsi="Times New Roman" w:cs="Times New Roman" w:eastAsia="Times New Roman"/>
          <w:i/>
          <w:color w:val="auto"/>
          <w:spacing w:val="0"/>
          <w:position w:val="0"/>
          <w:sz w:val="24"/>
          <w:shd w:fill="auto" w:val="clear"/>
        </w:rPr>
        <w:t xml:space="preserve">Порядку в’їзду на тимчасово окуповану територію</w:t>
      </w:r>
      <w:r>
        <w:rPr>
          <w:rFonts w:ascii="Times New Roman" w:hAnsi="Times New Roman" w:cs="Times New Roman" w:eastAsia="Times New Roman"/>
          <w:color w:val="auto"/>
          <w:spacing w:val="0"/>
          <w:position w:val="0"/>
          <w:sz w:val="24"/>
          <w:shd w:fill="auto" w:val="clear"/>
        </w:rPr>
        <w:t xml:space="preserve"> та виїзду з неї, так норму буде доповнено таким: в’їзд на тимчасово окуповану територію України громадян України, які не досягли 16-річного віку, які виїхали з цієї території в супроводі одного з батьків (усиновлювачів), опікунів, піклувальників або інших законних представників чи в супроводі інших осіб, уповноважених одним із батьків, опікунів, піклувальників або інших законних представників, може здійснюватися також в супроводі батьків, опікунів, піклувальників або інших законних представників чи в супроводі інших осіб, уповноважених батьками, опікунами, піклувальниками або іншими законними представниками, а також в супроводі однієї із зазначених осіб, з якими вони здійснили виїзд.</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В’їзд на тимчасово окуповану територію України громадян України віком від 14 до 16 років, які навчаються в закладах освіти на території інших регіонів України, батьки, опікуни, піклувальники яких проживають на тимчасово окупованій території України, може здійснюватися також без супроводу батьків чи одного з батьків, опікунів, піклувальників або інших законних представників чи супроводу інших осіб, уповноважених ними, за наявності інформації про навчання цих громадян України в Єдиній державній електронній базі з питань освіти.</w:t>
      </w:r>
    </w:p>
    <w:p>
      <w:pPr>
        <w:spacing w:before="0" w:after="0" w:line="240"/>
        <w:ind w:right="0" w:left="0" w:firstLine="567"/>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shd w:fill="auto" w:val="clear"/>
        </w:rPr>
        <w:t xml:space="preserve">Таким чином, відповідно до згаданих порядку та правил для виїзду дитини на тимчасово окуповану територію </w:t>
      </w:r>
      <w:r>
        <w:rPr>
          <w:rFonts w:ascii="Times New Roman" w:hAnsi="Times New Roman" w:cs="Times New Roman" w:eastAsia="Times New Roman"/>
          <w:color w:val="auto"/>
          <w:spacing w:val="0"/>
          <w:position w:val="0"/>
          <w:sz w:val="24"/>
          <w:u w:val="single"/>
          <w:shd w:fill="auto" w:val="clear"/>
        </w:rPr>
        <w:t xml:space="preserve">також потрібна нотаріально посвідчена згода іншого з подружжя, як і у випадку виїзду за кордон.</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 рекомендаціях до вчинення нотаріальних дій сказано, що текст заяви повинен містити таке формулювання: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Даємо згоду на тимчасовий в’їзд на тимчасово окуповану територію України — Автономну Республіку Крим та м. Севастополь та виїзд з неї</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Питання згоди батьків на тимчасовий в’їзд дітей у зону проведення ООС регламентується вимогами пп.5.1.1 п.5.1 </w:t>
      </w:r>
      <w:r>
        <w:rPr>
          <w:rFonts w:ascii="Times New Roman" w:hAnsi="Times New Roman" w:cs="Times New Roman" w:eastAsia="Times New Roman"/>
          <w:i/>
          <w:color w:val="auto"/>
          <w:spacing w:val="0"/>
          <w:position w:val="0"/>
          <w:sz w:val="24"/>
          <w:shd w:fill="auto" w:val="clear"/>
        </w:rPr>
        <w:t xml:space="preserve">Тимчасового порядку контролю за переміщенням осіб, транспортних засобів та вантажів (товарів) через лінію зіткнення у межах Донецької та Луганської областей</w:t>
      </w:r>
      <w:r>
        <w:rPr>
          <w:rFonts w:ascii="Times New Roman" w:hAnsi="Times New Roman" w:cs="Times New Roman" w:eastAsia="Times New Roman"/>
          <w:color w:val="auto"/>
          <w:spacing w:val="0"/>
          <w:position w:val="0"/>
          <w:sz w:val="24"/>
          <w:shd w:fill="auto" w:val="clear"/>
        </w:rPr>
        <w:t xml:space="preserve">, затвердженого наказом антитерористичного центру при СБУ від 12.06.2015 №415ог. Так, в’їзд на тимчасово неконтрольовану територію дітей, які не досягли 16-річного віку, здійснюється з дотриманням вимог, передбачених для таких осіб </w:t>
      </w:r>
      <w:r>
        <w:rPr>
          <w:rFonts w:ascii="Times New Roman" w:hAnsi="Times New Roman" w:cs="Times New Roman" w:eastAsia="Times New Roman"/>
          <w:i/>
          <w:color w:val="auto"/>
          <w:spacing w:val="0"/>
          <w:position w:val="0"/>
          <w:sz w:val="24"/>
          <w:shd w:fill="auto" w:val="clear"/>
        </w:rPr>
        <w:t xml:space="preserve">Правилами перетинання державного кордону громадянами України</w:t>
      </w:r>
      <w:r>
        <w:rPr>
          <w:rFonts w:ascii="Times New Roman" w:hAnsi="Times New Roman" w:cs="Times New Roman" w:eastAsia="Times New Roman"/>
          <w:color w:val="auto"/>
          <w:spacing w:val="0"/>
          <w:position w:val="0"/>
          <w:sz w:val="24"/>
          <w:shd w:fill="auto" w:val="clear"/>
        </w:rPr>
        <w:t xml:space="preserve">, затвердженими постановою Кабінету Міністрів України від 27.01.1995 № 57.</w:t>
      </w:r>
    </w:p>
    <w:p>
      <w:pPr>
        <w:spacing w:before="0" w:after="160" w:line="259"/>
        <w:ind w:right="0" w:left="0" w:firstLine="0"/>
        <w:jc w:val="both"/>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5">
    <w:abstractNumId w:val="12"/>
  </w:num>
  <w:num w:numId="11">
    <w:abstractNumId w:val="6"/>
  </w:num>
  <w:num w:numId="16">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s://verdictum.ligazakon.net/document/82798144" Id="docRId0" Type="http://schemas.openxmlformats.org/officeDocument/2006/relationships/hyperlink"/><Relationship Target="numbering.xml" Id="docRId1" Type="http://schemas.openxmlformats.org/officeDocument/2006/relationships/numbering"/><Relationship Target="styles.xml" Id="docRId2" Type="http://schemas.openxmlformats.org/officeDocument/2006/relationships/styles"/></Relationships>
</file>