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AA1E9" w14:textId="713FB690" w:rsidR="00157199" w:rsidRPr="00C83932" w:rsidRDefault="00157199" w:rsidP="00C83932">
      <w:pPr>
        <w:pStyle w:val="a3"/>
        <w:shd w:val="clear" w:color="auto" w:fill="FFFFFF"/>
        <w:spacing w:before="0" w:beforeAutospacing="0" w:after="45" w:afterAutospacing="0" w:line="360" w:lineRule="auto"/>
        <w:jc w:val="center"/>
        <w:rPr>
          <w:b/>
          <w:bCs/>
          <w:sz w:val="28"/>
          <w:szCs w:val="28"/>
          <w:lang w:val="uk-UA"/>
        </w:rPr>
      </w:pPr>
      <w:r w:rsidRPr="00C83932">
        <w:rPr>
          <w:b/>
          <w:bCs/>
          <w:sz w:val="28"/>
          <w:szCs w:val="28"/>
          <w:lang w:val="uk-UA"/>
        </w:rPr>
        <w:t>ПЛАН</w:t>
      </w:r>
    </w:p>
    <w:p w14:paraId="404B3EFC" w14:textId="735C456A" w:rsidR="00157199" w:rsidRPr="00C83932" w:rsidRDefault="00157199" w:rsidP="00C83932">
      <w:pPr>
        <w:pStyle w:val="a3"/>
        <w:shd w:val="clear" w:color="auto" w:fill="FFFFFF"/>
        <w:spacing w:before="0" w:beforeAutospacing="0" w:after="45" w:afterAutospacing="0" w:line="360" w:lineRule="auto"/>
        <w:jc w:val="both"/>
        <w:rPr>
          <w:b/>
          <w:bCs/>
          <w:sz w:val="28"/>
          <w:szCs w:val="28"/>
          <w:lang w:val="uk-UA"/>
        </w:rPr>
      </w:pPr>
      <w:r w:rsidRPr="00C83932">
        <w:rPr>
          <w:b/>
          <w:bCs/>
          <w:sz w:val="28"/>
          <w:szCs w:val="28"/>
          <w:lang w:val="uk-UA"/>
        </w:rPr>
        <w:t>ВСТУП</w:t>
      </w:r>
      <w:r w:rsidR="00BF1A46">
        <w:rPr>
          <w:b/>
          <w:bCs/>
          <w:sz w:val="28"/>
          <w:szCs w:val="28"/>
          <w:lang w:val="uk-UA"/>
        </w:rPr>
        <w:t>…………………………………………………………………………..</w:t>
      </w:r>
      <w:r w:rsidR="00C83932">
        <w:rPr>
          <w:b/>
          <w:bCs/>
          <w:sz w:val="28"/>
          <w:szCs w:val="28"/>
          <w:lang w:val="uk-UA"/>
        </w:rPr>
        <w:t>3-5</w:t>
      </w:r>
    </w:p>
    <w:p w14:paraId="16BA5C06" w14:textId="77777777" w:rsidR="001409AE" w:rsidRPr="00C83932" w:rsidRDefault="001409AE" w:rsidP="00C83932">
      <w:pPr>
        <w:pStyle w:val="a3"/>
        <w:shd w:val="clear" w:color="auto" w:fill="FFFFFF"/>
        <w:spacing w:before="0" w:beforeAutospacing="0" w:after="45" w:afterAutospacing="0" w:line="360" w:lineRule="auto"/>
        <w:jc w:val="both"/>
        <w:rPr>
          <w:b/>
          <w:bCs/>
          <w:sz w:val="28"/>
          <w:szCs w:val="28"/>
          <w:lang w:val="uk-UA"/>
        </w:rPr>
      </w:pPr>
    </w:p>
    <w:p w14:paraId="04E87CC5" w14:textId="49D2FDA2" w:rsidR="001409AE"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РОЗДІЛ 1</w:t>
      </w:r>
      <w:r w:rsidR="001409AE" w:rsidRPr="00C83932">
        <w:rPr>
          <w:b/>
          <w:bCs/>
          <w:noProof/>
          <w:sz w:val="28"/>
          <w:szCs w:val="28"/>
          <w:lang w:val="uk-UA"/>
        </w:rPr>
        <w:t>.</w:t>
      </w:r>
      <w:r w:rsidRPr="00C83932">
        <w:rPr>
          <w:b/>
          <w:bCs/>
          <w:noProof/>
          <w:sz w:val="28"/>
          <w:szCs w:val="28"/>
          <w:lang w:val="uk-UA"/>
        </w:rPr>
        <w:t xml:space="preserve"> ЗАГАЛЬНА ХАРАКТЕРИСТИКА ПУБЛІЧНОГО УПРАВЛІННЯ</w:t>
      </w:r>
      <w:r w:rsidR="00BF1A46">
        <w:rPr>
          <w:b/>
          <w:bCs/>
          <w:noProof/>
          <w:sz w:val="28"/>
          <w:szCs w:val="28"/>
          <w:lang w:val="uk-UA"/>
        </w:rPr>
        <w:t>………………………………………………………………..</w:t>
      </w:r>
      <w:r w:rsidR="00C83932">
        <w:rPr>
          <w:b/>
          <w:bCs/>
          <w:noProof/>
          <w:sz w:val="28"/>
          <w:szCs w:val="28"/>
          <w:lang w:val="uk-UA"/>
        </w:rPr>
        <w:t>6-</w:t>
      </w:r>
      <w:r w:rsidR="00BF1A46">
        <w:rPr>
          <w:b/>
          <w:bCs/>
          <w:noProof/>
          <w:sz w:val="28"/>
          <w:szCs w:val="28"/>
          <w:lang w:val="uk-UA"/>
        </w:rPr>
        <w:t>29</w:t>
      </w:r>
    </w:p>
    <w:p w14:paraId="494D42A5" w14:textId="7CD171EC" w:rsidR="00157199"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1.1. Поняття публічного управління та нормативно - правові акти, що регулюють діяльність публічного управління</w:t>
      </w:r>
      <w:r w:rsidR="00BF1A46">
        <w:rPr>
          <w:noProof/>
          <w:sz w:val="28"/>
          <w:szCs w:val="28"/>
          <w:lang w:val="uk-UA"/>
        </w:rPr>
        <w:t>……………………………….</w:t>
      </w:r>
      <w:r w:rsidR="00C83932">
        <w:rPr>
          <w:noProof/>
          <w:sz w:val="28"/>
          <w:szCs w:val="28"/>
          <w:lang w:val="uk-UA"/>
        </w:rPr>
        <w:t>6-11</w:t>
      </w:r>
    </w:p>
    <w:p w14:paraId="3F01F367" w14:textId="3BF08092" w:rsidR="001409AE"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 xml:space="preserve">1.2. </w:t>
      </w:r>
      <w:r w:rsidR="00C65D98" w:rsidRPr="00C83932">
        <w:rPr>
          <w:noProof/>
          <w:sz w:val="28"/>
          <w:szCs w:val="28"/>
          <w:lang w:val="uk-UA"/>
        </w:rPr>
        <w:t>Принципи та ф</w:t>
      </w:r>
      <w:r w:rsidRPr="00C83932">
        <w:rPr>
          <w:noProof/>
          <w:sz w:val="28"/>
          <w:szCs w:val="28"/>
          <w:lang w:val="uk-UA"/>
        </w:rPr>
        <w:t>ункції публічного управління</w:t>
      </w:r>
      <w:r w:rsidR="00BF1A46">
        <w:rPr>
          <w:noProof/>
          <w:sz w:val="28"/>
          <w:szCs w:val="28"/>
          <w:lang w:val="uk-UA"/>
        </w:rPr>
        <w:t>………………………….</w:t>
      </w:r>
      <w:r w:rsidR="00C83932">
        <w:rPr>
          <w:noProof/>
          <w:sz w:val="28"/>
          <w:szCs w:val="28"/>
          <w:lang w:val="uk-UA"/>
        </w:rPr>
        <w:t>12-26</w:t>
      </w:r>
    </w:p>
    <w:p w14:paraId="62DA8E3F" w14:textId="78719449" w:rsidR="00157199"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Висновки до розділу 1</w:t>
      </w:r>
      <w:r w:rsidR="00BF1A46">
        <w:rPr>
          <w:b/>
          <w:bCs/>
          <w:noProof/>
          <w:sz w:val="28"/>
          <w:szCs w:val="28"/>
          <w:lang w:val="uk-UA"/>
        </w:rPr>
        <w:t>………………………………………………………</w:t>
      </w:r>
      <w:r w:rsidR="00C83932">
        <w:rPr>
          <w:b/>
          <w:bCs/>
          <w:noProof/>
          <w:sz w:val="28"/>
          <w:szCs w:val="28"/>
          <w:lang w:val="uk-UA"/>
        </w:rPr>
        <w:t>27-29</w:t>
      </w:r>
    </w:p>
    <w:p w14:paraId="5C952BFC" w14:textId="77777777" w:rsidR="001409AE" w:rsidRPr="00C83932" w:rsidRDefault="001409AE" w:rsidP="00C83932">
      <w:pPr>
        <w:pStyle w:val="a3"/>
        <w:shd w:val="clear" w:color="auto" w:fill="FFFFFF"/>
        <w:spacing w:before="0" w:beforeAutospacing="0" w:after="0" w:afterAutospacing="0" w:line="360" w:lineRule="auto"/>
        <w:jc w:val="both"/>
        <w:rPr>
          <w:b/>
          <w:bCs/>
          <w:noProof/>
          <w:sz w:val="28"/>
          <w:szCs w:val="28"/>
          <w:lang w:val="uk-UA"/>
        </w:rPr>
      </w:pPr>
    </w:p>
    <w:p w14:paraId="681D42F4" w14:textId="064E86AE" w:rsidR="001409AE"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РОЗДІЛ 2</w:t>
      </w:r>
      <w:r w:rsidR="00CC35C5" w:rsidRPr="00C83932">
        <w:rPr>
          <w:b/>
          <w:bCs/>
          <w:noProof/>
          <w:sz w:val="28"/>
          <w:szCs w:val="28"/>
          <w:lang w:val="uk-UA"/>
        </w:rPr>
        <w:t>.</w:t>
      </w:r>
      <w:r w:rsidRPr="00C83932">
        <w:rPr>
          <w:b/>
          <w:bCs/>
          <w:noProof/>
          <w:sz w:val="28"/>
          <w:szCs w:val="28"/>
          <w:lang w:val="uk-UA"/>
        </w:rPr>
        <w:t xml:space="preserve"> ПУБЛІЧНЕ УПРАВЛІННЯ СФЕРОЮ ОСВІТИ</w:t>
      </w:r>
      <w:r w:rsidR="00BF1A46">
        <w:rPr>
          <w:b/>
          <w:bCs/>
          <w:noProof/>
          <w:sz w:val="28"/>
          <w:szCs w:val="28"/>
          <w:lang w:val="uk-UA"/>
        </w:rPr>
        <w:t>………....</w:t>
      </w:r>
      <w:r w:rsidRPr="00C83932">
        <w:rPr>
          <w:b/>
          <w:bCs/>
          <w:noProof/>
          <w:sz w:val="28"/>
          <w:szCs w:val="28"/>
          <w:lang w:val="uk-UA"/>
        </w:rPr>
        <w:t>.</w:t>
      </w:r>
      <w:r w:rsidR="00BF1A46">
        <w:rPr>
          <w:b/>
          <w:bCs/>
          <w:noProof/>
          <w:sz w:val="28"/>
          <w:szCs w:val="28"/>
          <w:lang w:val="uk-UA"/>
        </w:rPr>
        <w:t>30-58</w:t>
      </w:r>
    </w:p>
    <w:p w14:paraId="2E6D518F" w14:textId="207592C4" w:rsidR="00157199"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2.1. Теоретико-методологічні засади державного управління у сфері освіти</w:t>
      </w:r>
      <w:r w:rsidR="00BF1A46">
        <w:rPr>
          <w:noProof/>
          <w:sz w:val="28"/>
          <w:szCs w:val="28"/>
          <w:lang w:val="uk-UA"/>
        </w:rPr>
        <w:t>………………………………………………………………………….30-38</w:t>
      </w:r>
    </w:p>
    <w:p w14:paraId="32DEA834" w14:textId="049BD00C" w:rsidR="00157199"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2.2. Система управління освітою в Україні</w:t>
      </w:r>
      <w:r w:rsidR="00BF1A46">
        <w:rPr>
          <w:noProof/>
          <w:sz w:val="28"/>
          <w:szCs w:val="28"/>
          <w:lang w:val="uk-UA"/>
        </w:rPr>
        <w:t>………………………………...39-43</w:t>
      </w:r>
    </w:p>
    <w:p w14:paraId="1C26D19C" w14:textId="376F9981" w:rsidR="0092631E"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2.3. Освітня політика</w:t>
      </w:r>
      <w:r w:rsidR="00BF1A46">
        <w:rPr>
          <w:noProof/>
          <w:sz w:val="28"/>
          <w:szCs w:val="28"/>
          <w:lang w:val="uk-UA"/>
        </w:rPr>
        <w:t>………………………………………………………...44-56</w:t>
      </w:r>
    </w:p>
    <w:p w14:paraId="28AA23D9" w14:textId="46CD568B" w:rsidR="00157199"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Висновки до розділу 2</w:t>
      </w:r>
      <w:r w:rsidR="00BF1A46">
        <w:rPr>
          <w:b/>
          <w:bCs/>
          <w:noProof/>
          <w:sz w:val="28"/>
          <w:szCs w:val="28"/>
          <w:lang w:val="uk-UA"/>
        </w:rPr>
        <w:t>………………………………………………………57-58</w:t>
      </w:r>
    </w:p>
    <w:p w14:paraId="068AA259" w14:textId="77777777" w:rsidR="0092631E" w:rsidRPr="00C83932" w:rsidRDefault="0092631E" w:rsidP="00C83932">
      <w:pPr>
        <w:pStyle w:val="a3"/>
        <w:shd w:val="clear" w:color="auto" w:fill="FFFFFF"/>
        <w:spacing w:before="0" w:beforeAutospacing="0" w:after="0" w:afterAutospacing="0" w:line="360" w:lineRule="auto"/>
        <w:jc w:val="both"/>
        <w:rPr>
          <w:b/>
          <w:bCs/>
          <w:noProof/>
          <w:sz w:val="28"/>
          <w:szCs w:val="28"/>
          <w:lang w:val="uk-UA"/>
        </w:rPr>
      </w:pPr>
    </w:p>
    <w:p w14:paraId="2B2DF097" w14:textId="3E42FBAF" w:rsidR="0092631E"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РОЗДІЛ 3</w:t>
      </w:r>
      <w:r w:rsidR="004A63B3" w:rsidRPr="00C83932">
        <w:rPr>
          <w:b/>
          <w:bCs/>
          <w:noProof/>
          <w:sz w:val="28"/>
          <w:szCs w:val="28"/>
          <w:lang w:val="uk-UA"/>
        </w:rPr>
        <w:t>.</w:t>
      </w:r>
      <w:r w:rsidRPr="00C83932">
        <w:rPr>
          <w:b/>
          <w:bCs/>
          <w:noProof/>
          <w:sz w:val="28"/>
          <w:szCs w:val="28"/>
          <w:lang w:val="uk-UA"/>
        </w:rPr>
        <w:t xml:space="preserve"> УПРАВЛІННЯ ОСВІТОЮ В ЄС</w:t>
      </w:r>
      <w:r w:rsidR="00BF1A46">
        <w:rPr>
          <w:b/>
          <w:bCs/>
          <w:noProof/>
          <w:sz w:val="28"/>
          <w:szCs w:val="28"/>
          <w:lang w:val="uk-UA"/>
        </w:rPr>
        <w:t>…………………………….</w:t>
      </w:r>
      <w:r w:rsidRPr="00C83932">
        <w:rPr>
          <w:b/>
          <w:bCs/>
          <w:noProof/>
          <w:sz w:val="28"/>
          <w:szCs w:val="28"/>
          <w:lang w:val="uk-UA"/>
        </w:rPr>
        <w:t>.</w:t>
      </w:r>
      <w:r w:rsidR="00BF1A46">
        <w:rPr>
          <w:b/>
          <w:bCs/>
          <w:noProof/>
          <w:sz w:val="28"/>
          <w:szCs w:val="28"/>
          <w:lang w:val="uk-UA"/>
        </w:rPr>
        <w:t>59-84</w:t>
      </w:r>
    </w:p>
    <w:p w14:paraId="5795D79F" w14:textId="4ED63F82" w:rsidR="00157199"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3.1. Система управління освітою в ЄС</w:t>
      </w:r>
      <w:r w:rsidR="00BF1A46">
        <w:rPr>
          <w:noProof/>
          <w:sz w:val="28"/>
          <w:szCs w:val="28"/>
          <w:lang w:val="uk-UA"/>
        </w:rPr>
        <w:t>………………………………………59-70</w:t>
      </w:r>
    </w:p>
    <w:p w14:paraId="180FD263" w14:textId="6BF3D5D5" w:rsidR="0092631E" w:rsidRPr="00C83932" w:rsidRDefault="00157199" w:rsidP="00C83932">
      <w:pPr>
        <w:pStyle w:val="a3"/>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3.2. Освітня політика ЄС</w:t>
      </w:r>
      <w:r w:rsidR="00BF1A46">
        <w:rPr>
          <w:noProof/>
          <w:sz w:val="28"/>
          <w:szCs w:val="28"/>
          <w:lang w:val="uk-UA"/>
        </w:rPr>
        <w:t>……………………………………………………..71-81</w:t>
      </w:r>
    </w:p>
    <w:p w14:paraId="35CAB606" w14:textId="38FD2C64" w:rsidR="00157199"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Висновки до розділу 3</w:t>
      </w:r>
      <w:r w:rsidR="00BF1A46">
        <w:rPr>
          <w:b/>
          <w:bCs/>
          <w:noProof/>
          <w:sz w:val="28"/>
          <w:szCs w:val="28"/>
          <w:lang w:val="uk-UA"/>
        </w:rPr>
        <w:t>……………………………………………………….82-84</w:t>
      </w:r>
    </w:p>
    <w:p w14:paraId="4E23629B" w14:textId="77777777" w:rsidR="0092631E" w:rsidRPr="00C83932" w:rsidRDefault="0092631E" w:rsidP="00C83932">
      <w:pPr>
        <w:pStyle w:val="a3"/>
        <w:shd w:val="clear" w:color="auto" w:fill="FFFFFF"/>
        <w:spacing w:before="0" w:beforeAutospacing="0" w:after="0" w:afterAutospacing="0" w:line="360" w:lineRule="auto"/>
        <w:jc w:val="both"/>
        <w:rPr>
          <w:b/>
          <w:bCs/>
          <w:noProof/>
          <w:sz w:val="28"/>
          <w:szCs w:val="28"/>
          <w:lang w:val="uk-UA"/>
        </w:rPr>
      </w:pPr>
    </w:p>
    <w:p w14:paraId="1F42B232" w14:textId="3C1D78B8" w:rsidR="00157199"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ВИСНОВКИ</w:t>
      </w:r>
      <w:r w:rsidR="00BF1A46">
        <w:rPr>
          <w:b/>
          <w:bCs/>
          <w:noProof/>
          <w:sz w:val="28"/>
          <w:szCs w:val="28"/>
          <w:lang w:val="uk-UA"/>
        </w:rPr>
        <w:t>………………………………………………………………....85-89</w:t>
      </w:r>
    </w:p>
    <w:p w14:paraId="6A308F00" w14:textId="77777777" w:rsidR="0092631E" w:rsidRPr="00C83932" w:rsidRDefault="0092631E" w:rsidP="00C83932">
      <w:pPr>
        <w:pStyle w:val="a3"/>
        <w:shd w:val="clear" w:color="auto" w:fill="FFFFFF"/>
        <w:spacing w:before="0" w:beforeAutospacing="0" w:after="0" w:afterAutospacing="0" w:line="360" w:lineRule="auto"/>
        <w:jc w:val="both"/>
        <w:rPr>
          <w:b/>
          <w:bCs/>
          <w:noProof/>
          <w:sz w:val="28"/>
          <w:szCs w:val="28"/>
          <w:lang w:val="uk-UA"/>
        </w:rPr>
      </w:pPr>
    </w:p>
    <w:p w14:paraId="63D2A746" w14:textId="0CDC29DD" w:rsidR="0092631E" w:rsidRPr="00C83932" w:rsidRDefault="00157199"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СПИСОК ВИКОРИСТАНИХ ДЖЕРЕЛ</w:t>
      </w:r>
      <w:r w:rsidR="00BF1A46">
        <w:rPr>
          <w:b/>
          <w:bCs/>
          <w:noProof/>
          <w:sz w:val="28"/>
          <w:szCs w:val="28"/>
          <w:lang w:val="uk-UA"/>
        </w:rPr>
        <w:t>…………………………………90-95</w:t>
      </w:r>
    </w:p>
    <w:p w14:paraId="1AEEDB8E" w14:textId="1305E298" w:rsidR="002F15D8" w:rsidRPr="00C83932" w:rsidRDefault="002F15D8" w:rsidP="00C83932">
      <w:pPr>
        <w:pStyle w:val="a3"/>
        <w:shd w:val="clear" w:color="auto" w:fill="FFFFFF"/>
        <w:spacing w:before="0" w:beforeAutospacing="0" w:after="0" w:afterAutospacing="0" w:line="360" w:lineRule="auto"/>
        <w:jc w:val="both"/>
        <w:rPr>
          <w:b/>
          <w:bCs/>
          <w:noProof/>
          <w:sz w:val="28"/>
          <w:szCs w:val="28"/>
          <w:lang w:val="uk-UA"/>
        </w:rPr>
      </w:pPr>
      <w:r w:rsidRPr="00C83932">
        <w:rPr>
          <w:sz w:val="28"/>
          <w:szCs w:val="28"/>
        </w:rPr>
        <w:br w:type="page"/>
      </w:r>
    </w:p>
    <w:p w14:paraId="4CDF622E" w14:textId="32E1CD28" w:rsidR="006863C7" w:rsidRPr="00C83932" w:rsidRDefault="002F15D8" w:rsidP="00C83932">
      <w:pPr>
        <w:spacing w:line="360" w:lineRule="auto"/>
        <w:jc w:val="both"/>
        <w:rPr>
          <w:rFonts w:ascii="Times New Roman" w:hAnsi="Times New Roman" w:cs="Times New Roman"/>
          <w:b/>
          <w:bCs/>
          <w:sz w:val="28"/>
          <w:szCs w:val="28"/>
          <w:lang w:val="uk-UA"/>
        </w:rPr>
      </w:pPr>
      <w:r w:rsidRPr="00C83932">
        <w:rPr>
          <w:rFonts w:ascii="Times New Roman" w:hAnsi="Times New Roman" w:cs="Times New Roman"/>
          <w:b/>
          <w:bCs/>
          <w:sz w:val="28"/>
          <w:szCs w:val="28"/>
          <w:lang w:val="uk-UA"/>
        </w:rPr>
        <w:lastRenderedPageBreak/>
        <w:t>ВСТУП</w:t>
      </w:r>
    </w:p>
    <w:p w14:paraId="6E2F0811" w14:textId="77777777" w:rsidR="00E6003B"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b/>
          <w:bCs/>
          <w:noProof/>
          <w:sz w:val="28"/>
          <w:szCs w:val="28"/>
          <w:lang w:val="uk-UA"/>
        </w:rPr>
        <w:t>Актуальність теми</w:t>
      </w:r>
      <w:r w:rsidRPr="00C83932">
        <w:rPr>
          <w:rFonts w:ascii="Times New Roman" w:hAnsi="Times New Roman" w:cs="Times New Roman"/>
          <w:noProof/>
          <w:sz w:val="28"/>
          <w:szCs w:val="28"/>
          <w:lang w:val="uk-UA"/>
        </w:rPr>
        <w:t xml:space="preserve">. </w:t>
      </w:r>
      <w:r w:rsidR="00E6003B" w:rsidRPr="00C83932">
        <w:rPr>
          <w:rFonts w:ascii="Times New Roman" w:hAnsi="Times New Roman" w:cs="Times New Roman"/>
          <w:noProof/>
          <w:sz w:val="28"/>
          <w:szCs w:val="28"/>
          <w:lang w:val="uk-UA"/>
        </w:rPr>
        <w:t>Публічне</w:t>
      </w:r>
      <w:r w:rsidRPr="00C83932">
        <w:rPr>
          <w:rFonts w:ascii="Times New Roman" w:hAnsi="Times New Roman" w:cs="Times New Roman"/>
          <w:noProof/>
          <w:sz w:val="28"/>
          <w:szCs w:val="28"/>
          <w:lang w:val="uk-UA"/>
        </w:rPr>
        <w:t xml:space="preserve">е управління освітою - особливий вид професійної діяльності, спрямований на систему освіти з метою забезпечення її життєдіяльності, динамічного розвитку. Суттю управління освітою є цілеспрямована діяльність </w:t>
      </w:r>
      <w:r w:rsidR="00E6003B" w:rsidRPr="00C83932">
        <w:rPr>
          <w:rFonts w:ascii="Times New Roman" w:hAnsi="Times New Roman" w:cs="Times New Roman"/>
          <w:noProof/>
          <w:sz w:val="28"/>
          <w:szCs w:val="28"/>
          <w:lang w:val="uk-UA"/>
        </w:rPr>
        <w:t>публічних органів влади</w:t>
      </w:r>
      <w:r w:rsidRPr="00C83932">
        <w:rPr>
          <w:rFonts w:ascii="Times New Roman" w:hAnsi="Times New Roman" w:cs="Times New Roman"/>
          <w:noProof/>
          <w:sz w:val="28"/>
          <w:szCs w:val="28"/>
          <w:lang w:val="uk-UA"/>
        </w:rPr>
        <w:t xml:space="preserve"> щодо створення соціально</w:t>
      </w:r>
      <w:r w:rsidR="00E6003B"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прогностичних, організаційно-правових, кадрових, психолого-педагогічних, матеріальнофінансових та інших умов, необхідних для оптимального функціонування і розвитку галузі, реалізації її мети, переходу в якісно новий стан та інтеграції до європейського освітнього простору. </w:t>
      </w:r>
    </w:p>
    <w:p w14:paraId="6B43D692" w14:textId="77777777" w:rsidR="00E6003B"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Управління в освіті розглядається як підсистема соціального управління, під яким розуміють вплив на суспільство з метою його впорядкування, збереження якостей, специфіки, удосконаленням і розвитку. </w:t>
      </w:r>
    </w:p>
    <w:p w14:paraId="693E643B"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Державне управління освітою – це певний вид діяльності органів державної влади, що має виконавчий та розпорядчий характер, який полягає в організуючому впливові на суспільні відносини у сфері освіти шляхом застосування державно-владних повноважень і включає цілеспрямоване вироблення, прийняття та реалізацію організуючих, регулюючих та координуючих рішень, що справляють вплив на освітню сферу. </w:t>
      </w:r>
    </w:p>
    <w:p w14:paraId="73AD5237" w14:textId="77777777" w:rsidR="001409AE" w:rsidRPr="00C83932" w:rsidRDefault="001409AE"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Одже</w:t>
      </w:r>
      <w:r w:rsidR="0030524A" w:rsidRPr="00C83932">
        <w:rPr>
          <w:rFonts w:ascii="Times New Roman" w:hAnsi="Times New Roman" w:cs="Times New Roman"/>
          <w:noProof/>
          <w:sz w:val="28"/>
          <w:szCs w:val="28"/>
          <w:lang w:val="uk-UA"/>
        </w:rPr>
        <w:t xml:space="preserve">, державне управління освітою - це окрема галузь державного управління, яка забезпечує планомірний вплив на освітню сферу, що ґрунтується на законах та інших нормативних актах, і спрямована на розвиток цієї цілісної системи. </w:t>
      </w:r>
    </w:p>
    <w:p w14:paraId="44C57500"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Система освіти може впорядковуватися через регулювання ззовні і регулювання зсередини. Система освіти, будучи органічно пов'язаною з управлінням, змінюється зі зміною останнього, вона вдосконалює, реформує, трансформу і в цілому розвиває сама себе лише через управління.</w:t>
      </w:r>
    </w:p>
    <w:p w14:paraId="301C90C7"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В управлінському процесі беруть участь як суб'єкти (ті, що управляють), так і об'єкти (ті, якими управляють). Суб'єкти управління у найзагальнішому </w:t>
      </w:r>
      <w:r w:rsidRPr="00C83932">
        <w:rPr>
          <w:rFonts w:ascii="Times New Roman" w:hAnsi="Times New Roman" w:cs="Times New Roman"/>
          <w:noProof/>
          <w:sz w:val="28"/>
          <w:szCs w:val="28"/>
          <w:lang w:val="uk-UA"/>
        </w:rPr>
        <w:lastRenderedPageBreak/>
        <w:t xml:space="preserve">вигляді визначаються як сукупність спеціально створених органів (державних, громадських, самоврядування), їх підрозділів, посадових осіб, які виконують функції управління. Об'єкти управління освітою - це система освіти, органи управління освітою, їх підрозділи, посадові особи, навчальні заклади, організації, установи, виробничі підприємства та ін., що перебувають під організуючим, регулюючим і координуючим впливом держави. В систему державного управління освітою входить також державно-управлінська діяльність, певного роду суспільні відносини, через які реалізуються численні прямі і зворотні зв'язки між суб'єктами і об'єктами управління. </w:t>
      </w:r>
    </w:p>
    <w:p w14:paraId="1A50879D"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Основними якостями, що характеризують державне управління освітою, є: </w:t>
      </w:r>
    </w:p>
    <w:p w14:paraId="4DB17CA7" w14:textId="77777777" w:rsidR="001409AE" w:rsidRPr="00C83932" w:rsidRDefault="0030524A" w:rsidP="00C83932">
      <w:pPr>
        <w:pStyle w:val="a4"/>
        <w:numPr>
          <w:ilvl w:val="0"/>
          <w:numId w:val="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наявність органів управління, наділених певними повноваженнями, діяльність яких спрямована на певні об'єкти освітянської галузі; </w:t>
      </w:r>
    </w:p>
    <w:p w14:paraId="4254771E" w14:textId="77777777" w:rsidR="001409AE" w:rsidRPr="00C83932" w:rsidRDefault="0030524A" w:rsidP="00C83932">
      <w:pPr>
        <w:pStyle w:val="a4"/>
        <w:numPr>
          <w:ilvl w:val="0"/>
          <w:numId w:val="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існування управлінських зв'язків, відносин і організації як суб'єктів, так і об'єктів управління; </w:t>
      </w:r>
    </w:p>
    <w:p w14:paraId="3B4E1B5E" w14:textId="77777777" w:rsidR="001409AE" w:rsidRPr="00C83932" w:rsidRDefault="0030524A" w:rsidP="00C83932">
      <w:pPr>
        <w:pStyle w:val="a4"/>
        <w:numPr>
          <w:ilvl w:val="0"/>
          <w:numId w:val="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наявність управлінських функцій, пов'язаних із забезпеченням існування та розвитку галузі. </w:t>
      </w:r>
    </w:p>
    <w:p w14:paraId="0117BA73"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Державне управління освітою - це система державного управлінської діяльності, складовими якої є стратегічне управління, державне регулювання і адміністративне управління.</w:t>
      </w:r>
    </w:p>
    <w:p w14:paraId="569A2188" w14:textId="77777777" w:rsidR="001409AE"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Державні організації виступають особливими елементами суспільної системи, які зорієнтовані на здійснення суспільно-корисної діяльності в усіх її сферах. Їх діяльність спрямована на забезпечення реалізації функції </w:t>
      </w:r>
      <w:r w:rsidR="001409AE" w:rsidRPr="00C83932">
        <w:rPr>
          <w:rFonts w:ascii="Times New Roman" w:hAnsi="Times New Roman" w:cs="Times New Roman"/>
          <w:noProof/>
          <w:sz w:val="28"/>
          <w:szCs w:val="28"/>
          <w:lang w:val="uk-UA"/>
        </w:rPr>
        <w:t>публічног</w:t>
      </w:r>
      <w:r w:rsidRPr="00C83932">
        <w:rPr>
          <w:rFonts w:ascii="Times New Roman" w:hAnsi="Times New Roman" w:cs="Times New Roman"/>
          <w:noProof/>
          <w:sz w:val="28"/>
          <w:szCs w:val="28"/>
          <w:lang w:val="uk-UA"/>
        </w:rPr>
        <w:t xml:space="preserve">о управління, створення суспільних благ, вирішення завдань, які не можуть бути здійснені ефективно приватними організаціями. Але й вони в умовах ринкових відносин об'єктивно є учасниками глобальної конкуренції, в якій успішними є ті, хто використовує сучасний менеджмент. </w:t>
      </w:r>
    </w:p>
    <w:p w14:paraId="3002008A" w14:textId="77777777" w:rsidR="001409AE" w:rsidRPr="00C83932" w:rsidRDefault="001409AE"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На с</w:t>
      </w:r>
      <w:r w:rsidR="0030524A" w:rsidRPr="00C83932">
        <w:rPr>
          <w:rFonts w:ascii="Times New Roman" w:hAnsi="Times New Roman" w:cs="Times New Roman"/>
          <w:noProof/>
          <w:sz w:val="28"/>
          <w:szCs w:val="28"/>
          <w:lang w:val="uk-UA"/>
        </w:rPr>
        <w:t>ьогодні актуальним є розгляд проблем модернізації управління закладами освіти на державно-громадських засадах, які фактично почали розроблятись дослідниками та органами управління освітою в Україні тільки впродовж останнього десятиріччя.</w:t>
      </w:r>
    </w:p>
    <w:p w14:paraId="13F0B155" w14:textId="6ECC55BC" w:rsidR="0030524A" w:rsidRPr="00C83932" w:rsidRDefault="0030524A"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Поступове входження України до світового простору, інноваційні та модернізаційні процеси в освіті виявили наявність істотних суперечностей між потребами часу та реальним упровадженням інноваційних підходів до управління освітніми навчальними закладами. Над питаннями впровадження нових підходів до управління освітніми закладами працюють вітчизняні науковці, як В. Алфімов, Г. Артюх, Т. Боголюб, Л. Даниленко, Г. Дмитренко, Л. Карамушка, В. Крижко, Н. Коломинський, В. Луговий, Є. Павлютенков.</w:t>
      </w:r>
    </w:p>
    <w:p w14:paraId="63E250EA" w14:textId="42E7C685" w:rsidR="00E6003B" w:rsidRPr="00C83932" w:rsidRDefault="00E6003B"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b/>
          <w:bCs/>
          <w:noProof/>
          <w:sz w:val="28"/>
          <w:szCs w:val="28"/>
          <w:lang w:val="uk-UA"/>
        </w:rPr>
        <w:t>Метою</w:t>
      </w:r>
      <w:r w:rsidRPr="00C83932">
        <w:rPr>
          <w:rFonts w:ascii="Times New Roman" w:hAnsi="Times New Roman" w:cs="Times New Roman"/>
          <w:noProof/>
          <w:sz w:val="28"/>
          <w:szCs w:val="28"/>
          <w:lang w:val="uk-UA"/>
        </w:rPr>
        <w:t xml:space="preserve"> роботи є комплексне всебічне дослідження публічного управління в сфері освіти та досвід ЄС.</w:t>
      </w:r>
    </w:p>
    <w:p w14:paraId="7C471059" w14:textId="54450E9E" w:rsidR="00E6003B" w:rsidRPr="00C83932" w:rsidRDefault="00E6003B"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b/>
          <w:bCs/>
          <w:noProof/>
          <w:sz w:val="28"/>
          <w:szCs w:val="28"/>
          <w:lang w:val="uk-UA"/>
        </w:rPr>
        <w:t>Об’єкт</w:t>
      </w:r>
      <w:r w:rsidRPr="00C83932">
        <w:rPr>
          <w:rFonts w:ascii="Times New Roman" w:hAnsi="Times New Roman" w:cs="Times New Roman"/>
          <w:noProof/>
          <w:sz w:val="28"/>
          <w:szCs w:val="28"/>
          <w:lang w:val="uk-UA"/>
        </w:rPr>
        <w:t xml:space="preserve"> роботи суспільні відносини у сфері публічного управління.</w:t>
      </w:r>
    </w:p>
    <w:p w14:paraId="4D4B2363" w14:textId="1242FA66" w:rsidR="00E6003B" w:rsidRPr="00C83932" w:rsidRDefault="00E6003B"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b/>
          <w:bCs/>
          <w:noProof/>
          <w:sz w:val="28"/>
          <w:szCs w:val="28"/>
          <w:lang w:val="uk-UA"/>
        </w:rPr>
        <w:t>Предметом</w:t>
      </w:r>
      <w:r w:rsidRPr="00C83932">
        <w:rPr>
          <w:rFonts w:ascii="Times New Roman" w:hAnsi="Times New Roman" w:cs="Times New Roman"/>
          <w:noProof/>
          <w:sz w:val="28"/>
          <w:szCs w:val="28"/>
          <w:lang w:val="uk-UA"/>
        </w:rPr>
        <w:t xml:space="preserve"> роботи є сфера освіти та досвід ЄС.</w:t>
      </w:r>
    </w:p>
    <w:p w14:paraId="0C946F20" w14:textId="77777777" w:rsidR="00E6003B" w:rsidRPr="00C83932" w:rsidRDefault="00E6003B"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Для досягнення мети роботи було сформульовано такі </w:t>
      </w:r>
      <w:r w:rsidRPr="00C83932">
        <w:rPr>
          <w:rFonts w:ascii="Times New Roman" w:hAnsi="Times New Roman" w:cs="Times New Roman"/>
          <w:b/>
          <w:bCs/>
          <w:noProof/>
          <w:sz w:val="28"/>
          <w:szCs w:val="28"/>
          <w:lang w:val="uk-UA"/>
        </w:rPr>
        <w:t>завдання:</w:t>
      </w:r>
    </w:p>
    <w:p w14:paraId="27BA401C" w14:textId="35720F83" w:rsidR="00E6003B" w:rsidRPr="00C83932" w:rsidRDefault="001409AE" w:rsidP="00C83932">
      <w:pPr>
        <w:pStyle w:val="a3"/>
        <w:numPr>
          <w:ilvl w:val="0"/>
          <w:numId w:val="2"/>
        </w:numPr>
        <w:shd w:val="clear" w:color="auto" w:fill="FFFFFF"/>
        <w:spacing w:before="0" w:beforeAutospacing="0" w:after="0" w:afterAutospacing="0" w:line="360" w:lineRule="auto"/>
        <w:jc w:val="both"/>
        <w:rPr>
          <w:noProof/>
          <w:sz w:val="28"/>
          <w:szCs w:val="28"/>
          <w:lang w:val="uk-UA"/>
        </w:rPr>
      </w:pPr>
      <w:r w:rsidRPr="00C83932">
        <w:rPr>
          <w:noProof/>
          <w:sz w:val="28"/>
          <w:szCs w:val="28"/>
          <w:lang w:val="uk-UA"/>
        </w:rPr>
        <w:t>в</w:t>
      </w:r>
      <w:r w:rsidR="00E6003B" w:rsidRPr="00C83932">
        <w:rPr>
          <w:noProof/>
          <w:sz w:val="28"/>
          <w:szCs w:val="28"/>
          <w:lang w:val="uk-UA"/>
        </w:rPr>
        <w:t>изначити поняття, функції публічного управління та нормативно - правові акти, що регулюють діяльність публічного управління;</w:t>
      </w:r>
    </w:p>
    <w:p w14:paraId="0585FBE8" w14:textId="73C9ECA1" w:rsidR="0030524A" w:rsidRPr="00C83932" w:rsidRDefault="00E6003B" w:rsidP="00C83932">
      <w:pPr>
        <w:pStyle w:val="a4"/>
        <w:numPr>
          <w:ilvl w:val="0"/>
          <w:numId w:val="2"/>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розкрити теоретико-методологічні засади державного управління у сфері освіти;</w:t>
      </w:r>
    </w:p>
    <w:p w14:paraId="03C1C6C1" w14:textId="2487C6BD" w:rsidR="00E6003B" w:rsidRPr="00C83932" w:rsidRDefault="00E6003B" w:rsidP="00C83932">
      <w:pPr>
        <w:pStyle w:val="a4"/>
        <w:numPr>
          <w:ilvl w:val="0"/>
          <w:numId w:val="2"/>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охарактеризувати систему освіти та освітню політику;</w:t>
      </w:r>
    </w:p>
    <w:p w14:paraId="78833DD3" w14:textId="23682244" w:rsidR="00E6003B" w:rsidRPr="00C83932" w:rsidRDefault="00E6003B" w:rsidP="00C83932">
      <w:pPr>
        <w:pStyle w:val="a4"/>
        <w:numPr>
          <w:ilvl w:val="0"/>
          <w:numId w:val="2"/>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розглянути систему управління в ЄС.</w:t>
      </w:r>
    </w:p>
    <w:p w14:paraId="6CF74B84" w14:textId="4D1558CC" w:rsidR="0092631E" w:rsidRPr="00C83932" w:rsidRDefault="0092631E" w:rsidP="00C83932">
      <w:p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br w:type="page"/>
      </w:r>
    </w:p>
    <w:p w14:paraId="0EDE90AC" w14:textId="77777777" w:rsidR="0092631E" w:rsidRPr="00C83932" w:rsidRDefault="0092631E"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РОЗДІЛ 1. ЗАГАЛЬНА ХАРАКТЕРИСТИКА ПУБЛІЧНОГО УПРАВЛІННЯ.</w:t>
      </w:r>
    </w:p>
    <w:p w14:paraId="0B60C551" w14:textId="77777777" w:rsidR="0092631E" w:rsidRPr="00C83932" w:rsidRDefault="0092631E"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1.1. Поняття публічного управління та нормативно - правові акти, що регулюють діяльність публічного управління.</w:t>
      </w:r>
    </w:p>
    <w:p w14:paraId="46FC6479" w14:textId="1A7E7C0F" w:rsidR="0092631E" w:rsidRPr="00C83932" w:rsidRDefault="0092631E" w:rsidP="00C83932">
      <w:pPr>
        <w:spacing w:line="360" w:lineRule="auto"/>
        <w:jc w:val="both"/>
        <w:rPr>
          <w:rFonts w:ascii="Times New Roman" w:hAnsi="Times New Roman" w:cs="Times New Roman"/>
          <w:noProof/>
          <w:sz w:val="28"/>
          <w:szCs w:val="28"/>
          <w:lang w:val="uk-UA"/>
        </w:rPr>
      </w:pPr>
    </w:p>
    <w:p w14:paraId="016A17CE" w14:textId="3E3A5BB6" w:rsidR="0092631E" w:rsidRPr="00C83932" w:rsidRDefault="0050291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Термін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(англ. public management), який замінив термін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публічне </w:t>
      </w:r>
      <w:r w:rsidR="00C65D98" w:rsidRPr="00C83932">
        <w:rPr>
          <w:rFonts w:ascii="Times New Roman" w:hAnsi="Times New Roman" w:cs="Times New Roman"/>
          <w:noProof/>
          <w:sz w:val="28"/>
          <w:szCs w:val="28"/>
        </w:rPr>
        <w:t>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(англ. public administration), вперше використовує англійський державний службовець Десмонд Кілінг у 1972 р. [</w:t>
      </w:r>
      <w:r w:rsidR="00790A46" w:rsidRPr="00C83932">
        <w:rPr>
          <w:rFonts w:ascii="Times New Roman" w:hAnsi="Times New Roman" w:cs="Times New Roman"/>
          <w:noProof/>
          <w:sz w:val="28"/>
          <w:szCs w:val="28"/>
          <w:lang w:val="uk-UA"/>
        </w:rPr>
        <w:t>45</w:t>
      </w:r>
      <w:r w:rsidRPr="00C83932">
        <w:rPr>
          <w:rFonts w:ascii="Times New Roman" w:hAnsi="Times New Roman" w:cs="Times New Roman"/>
          <w:noProof/>
          <w:sz w:val="28"/>
          <w:szCs w:val="28"/>
        </w:rPr>
        <w:t xml:space="preserve">, c. 15].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 – це пошук у найкращий спосіб використання ресурсів задля досягнення пріоритетних цілей державної політики</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790A46" w:rsidRPr="00C83932">
        <w:rPr>
          <w:rFonts w:ascii="Times New Roman" w:hAnsi="Times New Roman" w:cs="Times New Roman"/>
          <w:noProof/>
          <w:sz w:val="28"/>
          <w:szCs w:val="28"/>
          <w:lang w:val="uk-UA"/>
        </w:rPr>
        <w:t>45</w:t>
      </w:r>
      <w:r w:rsidRPr="00C83932">
        <w:rPr>
          <w:rFonts w:ascii="Times New Roman" w:hAnsi="Times New Roman" w:cs="Times New Roman"/>
          <w:noProof/>
          <w:sz w:val="28"/>
          <w:szCs w:val="28"/>
        </w:rPr>
        <w:t>, c. 15] (визначення Кілінга). Поява нової форми управління у публічній сфері була спричинена потребою модернізувати організаційні структури і процедури, які вони використовують, для того, щоб усі інституції публічної сфери працювали краще. Публічне управління стосується ефективного функціонування всієї системи політичних інституцій.</w:t>
      </w:r>
    </w:p>
    <w:p w14:paraId="4D5181D2" w14:textId="362420F5" w:rsidR="00C63A1C" w:rsidRPr="00C83932" w:rsidRDefault="0050291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У глосарії Програми розвитку ООН</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послуговується визначенням, запропонованим американським ученим Джеєм М.Шавріцом у Міжнародній енциклопедії державної політики та </w:t>
      </w:r>
      <w:r w:rsidR="00C65D98" w:rsidRPr="00C83932">
        <w:rPr>
          <w:rFonts w:ascii="Times New Roman" w:hAnsi="Times New Roman" w:cs="Times New Roman"/>
          <w:noProof/>
          <w:sz w:val="28"/>
          <w:szCs w:val="28"/>
        </w:rPr>
        <w:t>управління</w:t>
      </w:r>
      <w:r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Публічне управління – це галузь практики та теорії, яка є ключовою для публічного </w:t>
      </w:r>
      <w:r w:rsidR="00C65D98" w:rsidRPr="00C83932">
        <w:rPr>
          <w:rFonts w:ascii="Times New Roman" w:hAnsi="Times New Roman" w:cs="Times New Roman"/>
          <w:noProof/>
          <w:sz w:val="28"/>
          <w:szCs w:val="28"/>
        </w:rPr>
        <w:t>управління</w:t>
      </w:r>
      <w:r w:rsidRPr="00C83932">
        <w:rPr>
          <w:rFonts w:ascii="Times New Roman" w:hAnsi="Times New Roman" w:cs="Times New Roman"/>
          <w:noProof/>
          <w:sz w:val="28"/>
          <w:szCs w:val="28"/>
        </w:rPr>
        <w:t xml:space="preserve"> та зосереджена на внутрішній діяльності державних установ, зокрема на вирішенні таких управлінських питань, як контроль, керівництво, планування, організаційне забезпечення, забезпечення інформаційними технологіями, управління персоналом, та оцінка ефективності</w:t>
      </w:r>
      <w:r w:rsidR="00C63A1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790A46" w:rsidRPr="00C83932">
        <w:rPr>
          <w:rFonts w:ascii="Times New Roman" w:hAnsi="Times New Roman" w:cs="Times New Roman"/>
          <w:noProof/>
          <w:sz w:val="28"/>
          <w:szCs w:val="28"/>
          <w:lang w:val="uk-UA"/>
        </w:rPr>
        <w:t>36, с. 49</w:t>
      </w:r>
      <w:r w:rsidRPr="00C83932">
        <w:rPr>
          <w:rFonts w:ascii="Times New Roman" w:hAnsi="Times New Roman" w:cs="Times New Roman"/>
          <w:noProof/>
          <w:sz w:val="28"/>
          <w:szCs w:val="28"/>
        </w:rPr>
        <w:t xml:space="preserve">]. </w:t>
      </w:r>
    </w:p>
    <w:p w14:paraId="6C6D0ACB" w14:textId="4AEE3CB1" w:rsidR="00502913" w:rsidRPr="00C83932" w:rsidRDefault="0050291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Відповідно до теорії публічного управління діяльність уряду і неприбуткових організацій в деяких важливих питаннях є подібною до діяльності установ приватного сектора. Таким чином, одні й ті самі управлінські інструменти, що максимізують ефективність та результативність роботи, можуть використовуватись як у приватному, так і у публічному секторі. Джей М.Шавріц наголошує на тому, що належне публічне управління </w:t>
      </w:r>
      <w:r w:rsidRPr="00C83932">
        <w:rPr>
          <w:rFonts w:ascii="Times New Roman" w:hAnsi="Times New Roman" w:cs="Times New Roman"/>
          <w:noProof/>
          <w:sz w:val="28"/>
          <w:szCs w:val="28"/>
        </w:rPr>
        <w:lastRenderedPageBreak/>
        <w:t>має бути сфокусоване на забезпечення спроможності задля досягнення результатів.</w:t>
      </w:r>
    </w:p>
    <w:p w14:paraId="62768565" w14:textId="77777777" w:rsidR="00C63A1C" w:rsidRPr="00C83932" w:rsidRDefault="00C63A1C"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Крістофер Поллітт, професор з публічного управління Лювенського католицького університету, стверджує, що термін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може вживатися у щонайменше трьох основних значеннях: </w:t>
      </w:r>
    </w:p>
    <w:p w14:paraId="2640C897" w14:textId="6C971172" w:rsidR="00C63A1C" w:rsidRPr="00C83932" w:rsidRDefault="00C63A1C" w:rsidP="00C83932">
      <w:pPr>
        <w:pStyle w:val="a4"/>
        <w:numPr>
          <w:ilvl w:val="0"/>
          <w:numId w:val="3"/>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діяльність державних службовців і політиків</w:t>
      </w:r>
      <w:r w:rsidRPr="00C83932">
        <w:rPr>
          <w:rFonts w:ascii="Times New Roman" w:hAnsi="Times New Roman" w:cs="Times New Roman"/>
          <w:noProof/>
          <w:sz w:val="28"/>
          <w:szCs w:val="28"/>
          <w:lang w:val="uk-UA"/>
        </w:rPr>
        <w:t>;</w:t>
      </w:r>
    </w:p>
    <w:p w14:paraId="4A70549A" w14:textId="601142BF" w:rsidR="00C63A1C" w:rsidRPr="00C83932" w:rsidRDefault="00C63A1C" w:rsidP="00C83932">
      <w:pPr>
        <w:pStyle w:val="a4"/>
        <w:numPr>
          <w:ilvl w:val="0"/>
          <w:numId w:val="3"/>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структури і процедури органів державної влади</w:t>
      </w:r>
      <w:r w:rsidRPr="00C83932">
        <w:rPr>
          <w:rFonts w:ascii="Times New Roman" w:hAnsi="Times New Roman" w:cs="Times New Roman"/>
          <w:noProof/>
          <w:sz w:val="28"/>
          <w:szCs w:val="28"/>
          <w:lang w:val="uk-UA"/>
        </w:rPr>
        <w:t>;</w:t>
      </w:r>
    </w:p>
    <w:p w14:paraId="58E0FA96" w14:textId="231134F7" w:rsidR="00C63A1C" w:rsidRPr="00C83932" w:rsidRDefault="00C63A1C" w:rsidP="00C83932">
      <w:pPr>
        <w:pStyle w:val="a4"/>
        <w:numPr>
          <w:ilvl w:val="0"/>
          <w:numId w:val="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системне вивчення чи то діяльності, чи то структур та процедур</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w:t>
      </w:r>
      <w:r w:rsidR="00790A46" w:rsidRPr="00C83932">
        <w:rPr>
          <w:rFonts w:ascii="Times New Roman" w:hAnsi="Times New Roman" w:cs="Times New Roman"/>
          <w:noProof/>
          <w:sz w:val="28"/>
          <w:szCs w:val="28"/>
          <w:lang w:val="uk-UA"/>
        </w:rPr>
        <w:t>6</w:t>
      </w:r>
      <w:r w:rsidRPr="00C83932">
        <w:rPr>
          <w:rFonts w:ascii="Times New Roman" w:hAnsi="Times New Roman" w:cs="Times New Roman"/>
          <w:noProof/>
          <w:sz w:val="28"/>
          <w:szCs w:val="28"/>
        </w:rPr>
        <w:t xml:space="preserve">, c. 12-13]. </w:t>
      </w:r>
    </w:p>
    <w:p w14:paraId="545EDEE3" w14:textId="77777777" w:rsidR="00C63A1C" w:rsidRPr="00C83932" w:rsidRDefault="00C63A1C"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Публічне управління включає, зокрема, ту діяльність, яка забезпечує ефективне функціонування всієї системи органів державної влади та органів місцевого самоврядування і передбачає широке залучення різних зацікавлених сторін до розробки та реалізації державної політики. </w:t>
      </w:r>
    </w:p>
    <w:p w14:paraId="72C053DE" w14:textId="14A7520A" w:rsidR="00C63A1C" w:rsidRPr="00C83932" w:rsidRDefault="00C63A1C"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Аби</w:t>
      </w:r>
      <w:r w:rsidRPr="00C83932">
        <w:rPr>
          <w:rFonts w:ascii="Times New Roman" w:hAnsi="Times New Roman" w:cs="Times New Roman"/>
          <w:noProof/>
          <w:sz w:val="28"/>
          <w:szCs w:val="28"/>
        </w:rPr>
        <w:t xml:space="preserve"> якнайкраще розкрити зміст нового поняття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звернемося до етимології слів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публічний</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та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Поняття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публічний</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походить від латинського слова publicus – суспільний, народний. Мовознавецьлексиколог та перекладач Юліан Кобилянський у своєму латинсько-українському словнику слово publicus перекладає як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людовий, народний, громадський, державний</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895F8F" w:rsidRPr="00C83932">
        <w:rPr>
          <w:rFonts w:ascii="Times New Roman" w:hAnsi="Times New Roman" w:cs="Times New Roman"/>
          <w:noProof/>
          <w:sz w:val="28"/>
          <w:szCs w:val="28"/>
          <w:lang w:val="uk-UA"/>
        </w:rPr>
        <w:t>61, с. 119</w:t>
      </w:r>
      <w:r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Словник іншомовних слів</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визначає поняття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публічний</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як відкритий, гласний, суспільний [</w:t>
      </w:r>
      <w:r w:rsidR="00895F8F" w:rsidRPr="00C83932">
        <w:rPr>
          <w:rFonts w:ascii="Times New Roman" w:hAnsi="Times New Roman" w:cs="Times New Roman"/>
          <w:noProof/>
          <w:sz w:val="28"/>
          <w:szCs w:val="28"/>
          <w:lang w:val="uk-UA"/>
        </w:rPr>
        <w:t>16</w:t>
      </w:r>
      <w:r w:rsidRPr="00C83932">
        <w:rPr>
          <w:rFonts w:ascii="Times New Roman" w:hAnsi="Times New Roman" w:cs="Times New Roman"/>
          <w:noProof/>
          <w:sz w:val="28"/>
          <w:szCs w:val="28"/>
        </w:rPr>
        <w:t xml:space="preserve">, c. 560].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Новий тлумачний словник української мови</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подає кілька значень слова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публічний</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p>
    <w:p w14:paraId="5A0F1687" w14:textId="6DEA7308" w:rsidR="00C63A1C" w:rsidRPr="00C83932" w:rsidRDefault="00C63A1C" w:rsidP="00C83932">
      <w:pPr>
        <w:pStyle w:val="a4"/>
        <w:numPr>
          <w:ilvl w:val="0"/>
          <w:numId w:val="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Який відбувається в присутності публіки, людей; прилюдний, привселюдний, гласний, відкритий. </w:t>
      </w:r>
    </w:p>
    <w:p w14:paraId="24664113" w14:textId="0A94D972" w:rsidR="00C63A1C" w:rsidRPr="00C83932" w:rsidRDefault="00C63A1C" w:rsidP="00C83932">
      <w:pPr>
        <w:pStyle w:val="a4"/>
        <w:numPr>
          <w:ilvl w:val="0"/>
          <w:numId w:val="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Призначений для широкого відвідування, користування; громадський, загальний, загальнодоступний. </w:t>
      </w:r>
    </w:p>
    <w:p w14:paraId="309B1F41" w14:textId="7AD6E8C2" w:rsidR="00C63A1C" w:rsidRPr="00C83932" w:rsidRDefault="00C63A1C" w:rsidP="00C83932">
      <w:pPr>
        <w:pStyle w:val="a4"/>
        <w:numPr>
          <w:ilvl w:val="0"/>
          <w:numId w:val="4"/>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Стосується публіки [</w:t>
      </w:r>
      <w:r w:rsidR="00895F8F" w:rsidRPr="00C83932">
        <w:rPr>
          <w:rFonts w:ascii="Times New Roman" w:hAnsi="Times New Roman" w:cs="Times New Roman"/>
          <w:noProof/>
          <w:sz w:val="28"/>
          <w:szCs w:val="28"/>
          <w:lang w:val="uk-UA"/>
        </w:rPr>
        <w:t>49</w:t>
      </w:r>
      <w:r w:rsidRPr="00C83932">
        <w:rPr>
          <w:rFonts w:ascii="Times New Roman" w:hAnsi="Times New Roman" w:cs="Times New Roman"/>
          <w:noProof/>
          <w:sz w:val="28"/>
          <w:szCs w:val="28"/>
        </w:rPr>
        <w:t>, c. 843].</w:t>
      </w:r>
    </w:p>
    <w:p w14:paraId="3B17E630" w14:textId="77777777"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 xml:space="preserve">Оскільки в українській мові слова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публіка</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з діалектичного означає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ганьба, сором</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то це породжує неоднозначне ставлення до використання слова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у словосполученні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публічне управління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Однак, звернувшись до етимології слова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публіка</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отримуємо підтвердження того, що основне його значення –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народ, люди</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p>
    <w:p w14:paraId="0AACCF1D" w14:textId="6C3C55A9"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Про це свідчить визначення цього поняття в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Етимологічному словнику української мови</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публіка</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 група людей, що зібралася де-небудь (глядачі, слухачі); народ, люди; публікатор, публікація, публіцист, публіцистка, публічний, публіцистичний, публікувати; старе слово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публице</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означає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публічно, всенародно</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(1646 рік); запозичення із середньолатинської мови (слово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публіцист</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і похідне від нього – з французької publiciste від public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лат. Publicum (vulgus)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простий (народ)</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виникло з лат. publicus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народний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що постало внаслідок накладання лат. poplicus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належний народові</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утвореного від populus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народ</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і publicus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належний дорослим</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похідного від pubes,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волосся, що з’являється при повнолітті; дорослі; народ</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спорідненого з лат. puer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хлопець</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29</w:t>
      </w:r>
      <w:r w:rsidRPr="00C83932">
        <w:rPr>
          <w:rFonts w:ascii="Times New Roman" w:hAnsi="Times New Roman" w:cs="Times New Roman"/>
          <w:noProof/>
          <w:sz w:val="28"/>
          <w:szCs w:val="28"/>
          <w:lang w:val="uk-UA"/>
        </w:rPr>
        <w:t xml:space="preserve">, c. 625]. </w:t>
      </w:r>
    </w:p>
    <w:p w14:paraId="33106F06" w14:textId="1A0E7CEB"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Лексикограф Володимир Даль виводить зміст терміна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з терміна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публіка</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(від лат. publica – суспільство, народ, люди) і визначає його як всенародний, оголошений, явний, відомий; організований для публіки, суспільства, народний, загальнонародний, всенародний, вселюдний; всіма спільний, такий, що всім належить [</w:t>
      </w:r>
      <w:r w:rsidR="00895F8F" w:rsidRPr="00C83932">
        <w:rPr>
          <w:rFonts w:ascii="Times New Roman" w:hAnsi="Times New Roman" w:cs="Times New Roman"/>
          <w:noProof/>
          <w:sz w:val="28"/>
          <w:szCs w:val="28"/>
          <w:lang w:val="uk-UA"/>
        </w:rPr>
        <w:t>58</w:t>
      </w:r>
      <w:r w:rsidRPr="00C83932">
        <w:rPr>
          <w:rFonts w:ascii="Times New Roman" w:hAnsi="Times New Roman" w:cs="Times New Roman"/>
          <w:noProof/>
          <w:sz w:val="28"/>
          <w:szCs w:val="28"/>
          <w:lang w:val="uk-UA"/>
        </w:rPr>
        <w:t xml:space="preserve">, c. 535]. </w:t>
      </w:r>
    </w:p>
    <w:p w14:paraId="04D3B394" w14:textId="1A0ACE57"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Провідний експерт з аналізу державної політики Олександр Кілієвич перекладає англійське слово public на українську мову як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громадський, публічний, державний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47</w:t>
      </w:r>
      <w:r w:rsidRPr="00C83932">
        <w:rPr>
          <w:rFonts w:ascii="Times New Roman" w:hAnsi="Times New Roman" w:cs="Times New Roman"/>
          <w:noProof/>
          <w:sz w:val="28"/>
          <w:szCs w:val="28"/>
          <w:lang w:val="uk-UA"/>
        </w:rPr>
        <w:t xml:space="preserve">, с. 292]. </w:t>
      </w:r>
    </w:p>
    <w:p w14:paraId="1BA61D4A" w14:textId="67D7D275"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У юридичних енциклопедіях і словниках термін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публічний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розкривається у таких словосполученнях, як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публічна влада</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(народовладдя) та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публічне право</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(система правових норм, якими регулюються суспільні відносини у сфері публічної влади) [ </w:t>
      </w:r>
      <w:r w:rsidR="00895F8F" w:rsidRPr="00C83932">
        <w:rPr>
          <w:rFonts w:ascii="Times New Roman" w:hAnsi="Times New Roman" w:cs="Times New Roman"/>
          <w:noProof/>
          <w:sz w:val="28"/>
          <w:szCs w:val="28"/>
          <w:lang w:val="uk-UA"/>
        </w:rPr>
        <w:t>26</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c. 196-198]. </w:t>
      </w:r>
    </w:p>
    <w:p w14:paraId="5AB7C43D" w14:textId="5DB1C24C"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 xml:space="preserve">У Конституції України (ст. 5) чітко зазначено, що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народ здійснює владу безпосередньо і через органи державної влади та органи місцевого самоврядування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1</w:t>
      </w:r>
      <w:r w:rsidRPr="00C83932">
        <w:rPr>
          <w:rFonts w:ascii="Times New Roman" w:hAnsi="Times New Roman" w:cs="Times New Roman"/>
          <w:noProof/>
          <w:sz w:val="28"/>
          <w:szCs w:val="28"/>
          <w:lang w:val="uk-UA"/>
        </w:rPr>
        <w:t xml:space="preserve">]. Отже, коли ми говоримо про публічну владу, то маємо на увазі владу, джерелом якої є народ. Коли ми говоримо про публічне управління, то, відповідно, маємо на увазі управління, участь у якому бере народ. </w:t>
      </w:r>
    </w:p>
    <w:p w14:paraId="65AF4588" w14:textId="77777777"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Етимологія слова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управління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чи його синоніма, запозиченого з англійської мови, –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вказує на те, що в обох випадках йдеться про вміння управляти. Англійське слово to manage (управляти) походить від латинського слова manus (рука). У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Новому тлумачному словнику української мови</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слово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управляти</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має таке тлумачення: </w:t>
      </w:r>
    </w:p>
    <w:p w14:paraId="1D5BFFCF" w14:textId="004309E7" w:rsidR="00A30980" w:rsidRPr="00C83932" w:rsidRDefault="00C63A1C" w:rsidP="00C83932">
      <w:pPr>
        <w:pStyle w:val="a4"/>
        <w:numPr>
          <w:ilvl w:val="0"/>
          <w:numId w:val="5"/>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Спрямовувати діяльність, роботу кого-, чого-небудь; бути на чолі когось, чогось; керувати. </w:t>
      </w:r>
    </w:p>
    <w:p w14:paraId="3285FA1F" w14:textId="16D107EF" w:rsidR="00A30980" w:rsidRPr="00C83932" w:rsidRDefault="00C63A1C" w:rsidP="00C83932">
      <w:pPr>
        <w:pStyle w:val="a4"/>
        <w:numPr>
          <w:ilvl w:val="0"/>
          <w:numId w:val="5"/>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Користуючись кермом та іншими регулюючими пристроями, спрямовувати рух, хід, роботу чого-небудь; спрямовувати хід якогось процесу, впливати на розвиток, стан чого-небудь [</w:t>
      </w:r>
      <w:r w:rsidR="00895F8F" w:rsidRPr="00C83932">
        <w:rPr>
          <w:rFonts w:ascii="Times New Roman" w:hAnsi="Times New Roman" w:cs="Times New Roman"/>
          <w:noProof/>
          <w:sz w:val="28"/>
          <w:szCs w:val="28"/>
          <w:lang w:val="uk-UA"/>
        </w:rPr>
        <w:t>19</w:t>
      </w:r>
      <w:r w:rsidRPr="00C83932">
        <w:rPr>
          <w:rFonts w:ascii="Times New Roman" w:hAnsi="Times New Roman" w:cs="Times New Roman"/>
          <w:noProof/>
          <w:sz w:val="28"/>
          <w:szCs w:val="28"/>
          <w:lang w:val="uk-UA"/>
        </w:rPr>
        <w:t xml:space="preserve">, c. 642]. </w:t>
      </w:r>
    </w:p>
    <w:p w14:paraId="7AFCFCFE" w14:textId="39232A46"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Спочатку терміном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позначали вміння управляти кіньми, згодом – вміння володіти зброєю та керувати колісницями, сьогодні позначають вміння управляти людьми, організаціями, процесами. Пітер Ф.Друкер визначає управління як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специфічний вид діяльності, який перетворює неорганізований натовп на ефективну цілеспрямовану продуктивну групу</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24</w:t>
      </w:r>
      <w:r w:rsidRPr="00C83932">
        <w:rPr>
          <w:rFonts w:ascii="Times New Roman" w:hAnsi="Times New Roman" w:cs="Times New Roman"/>
          <w:noProof/>
          <w:sz w:val="28"/>
          <w:szCs w:val="28"/>
          <w:lang w:val="uk-UA"/>
        </w:rPr>
        <w:t xml:space="preserve">, c. 48].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Управляти – це передбачати, організовувати, розпоряджатися, узгоджувати, контролювати</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26</w:t>
      </w:r>
      <w:r w:rsidRPr="00C83932">
        <w:rPr>
          <w:rFonts w:ascii="Times New Roman" w:hAnsi="Times New Roman" w:cs="Times New Roman"/>
          <w:noProof/>
          <w:sz w:val="28"/>
          <w:szCs w:val="28"/>
          <w:lang w:val="uk-UA"/>
        </w:rPr>
        <w:t xml:space="preserve">, c. 8], – визначення Анрі Файоль. М.Х.Мескон у термін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управління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вкладає той самий зміст, що й інші теоретики у сфері управління: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 – це процес планування, організації, мотивації та контролю працівників організації, які забезпечують досягнення їх цілей</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26</w:t>
      </w:r>
      <w:r w:rsidRPr="00C83932">
        <w:rPr>
          <w:rFonts w:ascii="Times New Roman" w:hAnsi="Times New Roman" w:cs="Times New Roman"/>
          <w:noProof/>
          <w:sz w:val="28"/>
          <w:szCs w:val="28"/>
          <w:lang w:val="uk-UA"/>
        </w:rPr>
        <w:t xml:space="preserve">, c. 16]. </w:t>
      </w:r>
    </w:p>
    <w:p w14:paraId="7B0900C7" w14:textId="11B80223"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Менеджмент (за Оксфордським словником англійської мови) – це спосіб, манера спілкування з людьми; влада та мистецтво управління; уміння особливого роду й адміністративні навички; орган управління, адміністративна одиниця; інтеграційний процес, за допомогою якого професійно підготовлені спеціалісти формують організації і управляють ними шляхом постановки цілей і розробки способів їх досягнення [</w:t>
      </w:r>
      <w:r w:rsidR="00895F8F" w:rsidRPr="00C83932">
        <w:rPr>
          <w:rFonts w:ascii="Times New Roman" w:hAnsi="Times New Roman" w:cs="Times New Roman"/>
          <w:noProof/>
          <w:sz w:val="28"/>
          <w:szCs w:val="28"/>
          <w:lang w:val="uk-UA"/>
        </w:rPr>
        <w:t>50</w:t>
      </w:r>
      <w:r w:rsidRPr="00C83932">
        <w:rPr>
          <w:rFonts w:ascii="Times New Roman" w:hAnsi="Times New Roman" w:cs="Times New Roman"/>
          <w:noProof/>
          <w:sz w:val="28"/>
          <w:szCs w:val="28"/>
          <w:lang w:val="uk-UA"/>
        </w:rPr>
        <w:t xml:space="preserve">]. </w:t>
      </w:r>
    </w:p>
    <w:p w14:paraId="48B75836" w14:textId="5F277B0D"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В українському словнику знаходимо таке визначення: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 – цілеспрямований вплив на діяльність усіх працівників організації для успішного досягнення встановлених ними ринкових цілей у змінному середовищі шляхом продуктивного використання наявних ресурсів</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19</w:t>
      </w:r>
      <w:r w:rsidRPr="00C83932">
        <w:rPr>
          <w:rFonts w:ascii="Times New Roman" w:hAnsi="Times New Roman" w:cs="Times New Roman"/>
          <w:noProof/>
          <w:sz w:val="28"/>
          <w:szCs w:val="28"/>
          <w:lang w:val="uk-UA"/>
        </w:rPr>
        <w:t xml:space="preserve">]. </w:t>
      </w:r>
    </w:p>
    <w:p w14:paraId="45C48F8E" w14:textId="77777777" w:rsidR="00A30980"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З наведеного огляду можна зробити висновок, що розмежовувати значення іменників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і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управління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не можна. У німецькій та польській мовах також прижилося запозичене з англійської мови слово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менеджмент</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яке вживається як синонім німецького слова verwaltung та як синонім польського слова zarządzanie. Виходячи з рекомендацій більшості словників та визначень теоретиків у сфері управління можемо стверджувати, що українським відповідником англійського терміна public management буде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публічне управління</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p>
    <w:p w14:paraId="2B382C6D" w14:textId="77777777" w:rsidR="008972C9"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Галузь науки державного управління, запроваджена в Україні Постановою Кабінету Міністрів України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Про затвердження переліку галузей науки, з яких може бути присуджений науковий ступінь</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 1328 від 29 листопада 1997 р., розвивається вже другий десяток років. Все ж історія науки державного управління розпочинається у кінці XIX ст. </w:t>
      </w:r>
    </w:p>
    <w:p w14:paraId="4A0F8380" w14:textId="46EEA311" w:rsidR="008972C9"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У науковій літературі можна знайти багато визначень державного управління. У навчальному посібнику </w:t>
      </w:r>
      <w:r w:rsidR="00A30980"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Державне управління</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який було опубліковано у 2003 р., знаходимо таке трактування: </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державне управління – це цілеспрямований організаційний та регулюючий вплив держави на стан і розвиток суспільних процесів, свідомість, поведінку та діяльність особи і </w:t>
      </w:r>
      <w:r w:rsidRPr="00C83932">
        <w:rPr>
          <w:rFonts w:ascii="Times New Roman" w:hAnsi="Times New Roman" w:cs="Times New Roman"/>
          <w:noProof/>
          <w:sz w:val="28"/>
          <w:szCs w:val="28"/>
          <w:lang w:val="uk-UA"/>
        </w:rPr>
        <w:lastRenderedPageBreak/>
        <w:t>громадянина з метою досягнення цілей та реалізації функцій держави, відображених у Конституції та законодавчих актах, шляхом запровадження державної політики, виробленої політичною системою та законодавчо закріпленої, через діяльність органів державної влади, наділених необхідною компетенцією</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26</w:t>
      </w:r>
      <w:r w:rsidRPr="00C83932">
        <w:rPr>
          <w:rFonts w:ascii="Times New Roman" w:hAnsi="Times New Roman" w:cs="Times New Roman"/>
          <w:noProof/>
          <w:sz w:val="28"/>
          <w:szCs w:val="28"/>
          <w:lang w:val="uk-UA"/>
        </w:rPr>
        <w:t xml:space="preserve">, c. 32]. </w:t>
      </w:r>
    </w:p>
    <w:p w14:paraId="1564BB37" w14:textId="32C113AE" w:rsidR="008972C9"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Особливий наголос робиться на тому, що здійснення державного управління спирається на владу як на організовану силу суспільства, здатну до примусу [</w:t>
      </w:r>
      <w:r w:rsidR="00895F8F" w:rsidRPr="00C83932">
        <w:rPr>
          <w:rFonts w:ascii="Times New Roman" w:hAnsi="Times New Roman" w:cs="Times New Roman"/>
          <w:noProof/>
          <w:sz w:val="28"/>
          <w:szCs w:val="28"/>
          <w:lang w:val="uk-UA"/>
        </w:rPr>
        <w:t>24</w:t>
      </w:r>
      <w:r w:rsidRPr="00C83932">
        <w:rPr>
          <w:rFonts w:ascii="Times New Roman" w:hAnsi="Times New Roman" w:cs="Times New Roman"/>
          <w:noProof/>
          <w:sz w:val="28"/>
          <w:szCs w:val="28"/>
          <w:lang w:val="uk-UA"/>
        </w:rPr>
        <w:t xml:space="preserve">, c. 94]. </w:t>
      </w:r>
    </w:p>
    <w:p w14:paraId="490168D3" w14:textId="5224FB34" w:rsidR="008972C9"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Словник-довідник </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Державне управління</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визначає державне управління як </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практичний, організуючий і регулюючий вплив держави на суспільну життєдіяльність людей з метою її упорядкування, зберігання, або перетворення, що спирається на її владну силу</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39</w:t>
      </w:r>
      <w:r w:rsidRPr="00C83932">
        <w:rPr>
          <w:rFonts w:ascii="Times New Roman" w:hAnsi="Times New Roman" w:cs="Times New Roman"/>
          <w:noProof/>
          <w:sz w:val="28"/>
          <w:szCs w:val="28"/>
          <w:lang w:val="uk-UA"/>
        </w:rPr>
        <w:t xml:space="preserve">, c. 63]. В основу визначень державного управління, які надаються більшістю українських науковців, покладено класичне розуміння управління в державному секторі, що було запропоноване Максом Вебером. </w:t>
      </w:r>
    </w:p>
    <w:p w14:paraId="06AC8273" w14:textId="2964781A" w:rsidR="008972C9"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Інтегрований підхід до управління, який використовується сучасною теорією менеджменту, розглядає </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організацію як відкриту систему, яка постійно взаємодіє із зовнішнім середовищем, до якого має пристосуватися</w:t>
      </w:r>
      <w:r w:rsidR="008972C9" w:rsidRPr="00C83932">
        <w:rPr>
          <w:rFonts w:ascii="Times New Roman" w:hAnsi="Times New Roman" w:cs="Times New Roman"/>
          <w:noProof/>
          <w:sz w:val="28"/>
          <w:szCs w:val="28"/>
          <w:lang w:val="uk-UA"/>
        </w:rPr>
        <w:t>»</w:t>
      </w:r>
      <w:r w:rsidR="00895F8F" w:rsidRPr="00C83932">
        <w:rPr>
          <w:rFonts w:ascii="Times New Roman" w:hAnsi="Times New Roman" w:cs="Times New Roman"/>
          <w:noProof/>
          <w:sz w:val="28"/>
          <w:szCs w:val="28"/>
          <w:lang w:val="uk-UA"/>
        </w:rPr>
        <w:t>.</w:t>
      </w:r>
    </w:p>
    <w:p w14:paraId="533172A1" w14:textId="1C80B10E" w:rsidR="00C63A1C" w:rsidRPr="00C83932" w:rsidRDefault="00C63A1C"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Сьогодні, розробляючи найкращу модель управління, необхідно враховувати всі елементи внутрішнього та зовнішнього середовища організації. Один із сучасних дослідників публічного управління Гірт Букерт наголошує на тому, що </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публічне управління не є якимось нейтральним, технічним процесом, натомість є діяльністю, яка тісно пов’язана з політикою, законом та громадянським суспільством</w:t>
      </w:r>
      <w:r w:rsidR="008972C9"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 xml:space="preserve"> [</w:t>
      </w:r>
      <w:r w:rsidR="00895F8F" w:rsidRPr="00C83932">
        <w:rPr>
          <w:rFonts w:ascii="Times New Roman" w:hAnsi="Times New Roman" w:cs="Times New Roman"/>
          <w:noProof/>
          <w:sz w:val="28"/>
          <w:szCs w:val="28"/>
          <w:lang w:val="uk-UA"/>
        </w:rPr>
        <w:t>28</w:t>
      </w:r>
      <w:r w:rsidRPr="00C83932">
        <w:rPr>
          <w:rFonts w:ascii="Times New Roman" w:hAnsi="Times New Roman" w:cs="Times New Roman"/>
          <w:noProof/>
          <w:sz w:val="28"/>
          <w:szCs w:val="28"/>
          <w:lang w:val="uk-UA"/>
        </w:rPr>
        <w:t>, c. 26].</w:t>
      </w:r>
    </w:p>
    <w:p w14:paraId="161D50BE" w14:textId="410D9BBF" w:rsidR="00C65D98" w:rsidRPr="00C83932" w:rsidRDefault="00C65D98" w:rsidP="00C83932">
      <w:p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br w:type="page"/>
      </w:r>
    </w:p>
    <w:p w14:paraId="79B9DAFD" w14:textId="1A887225" w:rsidR="00C65D98" w:rsidRPr="00C83932" w:rsidRDefault="00C65D98"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1.2. Принципи та функції публічного управління.</w:t>
      </w:r>
    </w:p>
    <w:p w14:paraId="421CC767" w14:textId="6A130ABA" w:rsidR="008972C9" w:rsidRPr="00C83932" w:rsidRDefault="008972C9" w:rsidP="00C83932">
      <w:pPr>
        <w:spacing w:line="360" w:lineRule="auto"/>
        <w:ind w:firstLine="720"/>
        <w:jc w:val="both"/>
        <w:rPr>
          <w:rFonts w:ascii="Times New Roman" w:hAnsi="Times New Roman" w:cs="Times New Roman"/>
          <w:noProof/>
          <w:sz w:val="28"/>
          <w:szCs w:val="28"/>
          <w:lang w:val="uk-UA"/>
        </w:rPr>
      </w:pPr>
    </w:p>
    <w:p w14:paraId="7F04D156" w14:textId="60906A8E"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Принципи публічного управління тісно пов'язані із його суттю. Класичними є принципи, виділені Г.Б. Петерсом:</w:t>
      </w:r>
    </w:p>
    <w:p w14:paraId="76DFDE27" w14:textId="584E7F23" w:rsidR="00C65D98" w:rsidRPr="00C83932" w:rsidRDefault="00C65D98" w:rsidP="00C83932">
      <w:pPr>
        <w:pStyle w:val="a4"/>
        <w:numPr>
          <w:ilvl w:val="0"/>
          <w:numId w:val="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територіальності; підставою для виокремлення органів та встановлення їх компетенцій є територіально- адміністративний поділ держави, а головною проблемою – децентралізація управління;</w:t>
      </w:r>
    </w:p>
    <w:p w14:paraId="055A7F93" w14:textId="2B8C9E0B" w:rsidR="00C65D98" w:rsidRPr="00C83932" w:rsidRDefault="00C65D98" w:rsidP="00C83932">
      <w:pPr>
        <w:pStyle w:val="a4"/>
        <w:numPr>
          <w:ilvl w:val="0"/>
          <w:numId w:val="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мериторичності</w:t>
      </w:r>
      <w:r w:rsidRPr="00C83932">
        <w:rPr>
          <w:rFonts w:ascii="Times New Roman" w:hAnsi="Times New Roman" w:cs="Times New Roman"/>
          <w:noProof/>
          <w:sz w:val="28"/>
          <w:szCs w:val="28"/>
          <w:lang w:val="uk-UA"/>
        </w:rPr>
        <w:t>, який</w:t>
      </w:r>
      <w:r w:rsidRPr="00C83932">
        <w:rPr>
          <w:rFonts w:ascii="Times New Roman" w:hAnsi="Times New Roman" w:cs="Times New Roman"/>
          <w:noProof/>
          <w:sz w:val="28"/>
          <w:szCs w:val="28"/>
        </w:rPr>
        <w:t xml:space="preserve"> полягає у визначенні типових процедур і вмінь, які складають сутність публічного управління;</w:t>
      </w:r>
    </w:p>
    <w:p w14:paraId="7BDCD230" w14:textId="777C1564" w:rsidR="00C65D98" w:rsidRPr="00C83932" w:rsidRDefault="00C65D98" w:rsidP="00C83932">
      <w:pPr>
        <w:pStyle w:val="a4"/>
        <w:numPr>
          <w:ilvl w:val="0"/>
          <w:numId w:val="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об'єктності: полягає у концентруванні органів публічного управління навколо визначених об'єктів діяльності, а всередині організації – концентрації за таким принципом працівників. Основним завданням є забезпечення потреб визначених суспільних груп;</w:t>
      </w:r>
    </w:p>
    <w:p w14:paraId="61786695" w14:textId="44D0D997" w:rsidR="00C65D98" w:rsidRPr="00C83932" w:rsidRDefault="00C65D98" w:rsidP="00C83932">
      <w:pPr>
        <w:pStyle w:val="a4"/>
        <w:numPr>
          <w:ilvl w:val="0"/>
          <w:numId w:val="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функціональності: полягає у поділі завдань між суб'єктами публічного управління з метою реалізації чіткої визначених цілей</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w:t>
      </w:r>
      <w:r w:rsidR="00895F8F" w:rsidRPr="00C83932">
        <w:rPr>
          <w:rFonts w:ascii="Times New Roman" w:hAnsi="Times New Roman" w:cs="Times New Roman"/>
          <w:noProof/>
          <w:sz w:val="28"/>
          <w:szCs w:val="28"/>
          <w:lang w:val="uk-UA"/>
        </w:rPr>
        <w:t>9, с. 46</w:t>
      </w:r>
      <w:r w:rsidRPr="00C83932">
        <w:rPr>
          <w:rFonts w:ascii="Times New Roman" w:hAnsi="Times New Roman" w:cs="Times New Roman"/>
          <w:noProof/>
          <w:sz w:val="28"/>
          <w:szCs w:val="28"/>
        </w:rPr>
        <w:t>].</w:t>
      </w:r>
    </w:p>
    <w:p w14:paraId="630458BD" w14:textId="77777777"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Проблемою у цьому випадку є визначення пріоритетних цілей, а протиріччям – дилема між цілями суспільства та цілями власне адміністрації.</w:t>
      </w:r>
    </w:p>
    <w:p w14:paraId="38CD391B" w14:textId="0DE2B5F0"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У літературі досить поширеним є також виділення універсальних принципів публічного управління. Основними з них є такі:</w:t>
      </w:r>
    </w:p>
    <w:p w14:paraId="3414909C" w14:textId="4A5B82C8" w:rsidR="00C65D98" w:rsidRPr="00C83932" w:rsidRDefault="00C65D98" w:rsidP="00C83932">
      <w:pPr>
        <w:pStyle w:val="a4"/>
        <w:numPr>
          <w:ilvl w:val="0"/>
          <w:numId w:val="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відкритості – означає діалог з громадськістю щодо встановлення цілей та завдань, спрямованих на їх досягнення;</w:t>
      </w:r>
    </w:p>
    <w:p w14:paraId="13FC754F" w14:textId="44960B55" w:rsidR="00C65D98" w:rsidRPr="00C83932" w:rsidRDefault="00C65D98" w:rsidP="00C83932">
      <w:pPr>
        <w:pStyle w:val="a4"/>
        <w:numPr>
          <w:ilvl w:val="0"/>
          <w:numId w:val="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участі – передбачає залучення громадян до у процесу прийняття адміністративних рішень на всіх рівнях управління;</w:t>
      </w:r>
    </w:p>
    <w:p w14:paraId="572D19DC" w14:textId="164C1282" w:rsidR="00C65D98" w:rsidRPr="00C83932" w:rsidRDefault="00C65D98" w:rsidP="00C83932">
      <w:pPr>
        <w:pStyle w:val="a4"/>
        <w:numPr>
          <w:ilvl w:val="0"/>
          <w:numId w:val="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підзвітності вказує на обов'язок влади звітуватися перед населенням;</w:t>
      </w:r>
    </w:p>
    <w:p w14:paraId="7845F5AB" w14:textId="56D2F600" w:rsidR="00C65D98" w:rsidRPr="00C83932" w:rsidRDefault="00C65D98" w:rsidP="00C83932">
      <w:pPr>
        <w:pStyle w:val="a4"/>
        <w:numPr>
          <w:ilvl w:val="0"/>
          <w:numId w:val="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ефективності – вимагає відповідності політики суспільним потребам, своєчасності та результативності дій при мінімально можливих затратах;</w:t>
      </w:r>
    </w:p>
    <w:p w14:paraId="2EEE9EC7" w14:textId="4D1DFB77" w:rsidR="00C65D98" w:rsidRPr="00C83932" w:rsidRDefault="00C65D98" w:rsidP="00C83932">
      <w:pPr>
        <w:pStyle w:val="a4"/>
        <w:numPr>
          <w:ilvl w:val="0"/>
          <w:numId w:val="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злагодженості – означає узгодженість різних гілок та підрозділів влади, а також дій влади та неурядових організацій.</w:t>
      </w:r>
    </w:p>
    <w:p w14:paraId="134E034D" w14:textId="07EA7C56"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З точки зору діяльності основними принципами публічного управління є такі:</w:t>
      </w:r>
    </w:p>
    <w:p w14:paraId="32E14DA2" w14:textId="2F6264D2" w:rsidR="00C65D98" w:rsidRPr="00C83932" w:rsidRDefault="00C65D98" w:rsidP="00C83932">
      <w:pPr>
        <w:pStyle w:val="a4"/>
        <w:numPr>
          <w:ilvl w:val="0"/>
          <w:numId w:val="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програмування – реалізація розроблених заходів на основі програм які чітко зв'язані з обсягами фінансування;</w:t>
      </w:r>
    </w:p>
    <w:p w14:paraId="5D956ACF" w14:textId="670C319D" w:rsidR="00C65D98" w:rsidRPr="00C83932" w:rsidRDefault="00C65D98" w:rsidP="00C83932">
      <w:pPr>
        <w:pStyle w:val="a4"/>
        <w:numPr>
          <w:ilvl w:val="0"/>
          <w:numId w:val="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принцип додатковості – </w:t>
      </w:r>
      <w:r w:rsidRPr="00C83932">
        <w:rPr>
          <w:rFonts w:ascii="Times New Roman" w:hAnsi="Times New Roman" w:cs="Times New Roman"/>
          <w:noProof/>
          <w:sz w:val="28"/>
          <w:szCs w:val="28"/>
          <w:lang w:val="uk-UA"/>
        </w:rPr>
        <w:t>державна</w:t>
      </w:r>
      <w:r w:rsidRPr="00C83932">
        <w:rPr>
          <w:rFonts w:ascii="Times New Roman" w:hAnsi="Times New Roman" w:cs="Times New Roman"/>
          <w:noProof/>
          <w:sz w:val="28"/>
          <w:szCs w:val="28"/>
        </w:rPr>
        <w:t xml:space="preserve"> адміністрація повинна мінімально втручатися в життя суспільства, діючи лише в рамках своїх повноважень;</w:t>
      </w:r>
    </w:p>
    <w:p w14:paraId="31DE1E1E" w14:textId="67CAA860" w:rsidR="00C65D98" w:rsidRPr="00C83932" w:rsidRDefault="00C65D98" w:rsidP="00C83932">
      <w:pPr>
        <w:pStyle w:val="a4"/>
        <w:numPr>
          <w:ilvl w:val="0"/>
          <w:numId w:val="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принцип субсидіарності – максимально можлива реалізація заходів місцевими засобами управління, децентралізація функцій </w:t>
      </w:r>
      <w:r w:rsidRPr="00C83932">
        <w:rPr>
          <w:rFonts w:ascii="Times New Roman" w:hAnsi="Times New Roman" w:cs="Times New Roman"/>
          <w:noProof/>
          <w:sz w:val="28"/>
          <w:szCs w:val="28"/>
          <w:lang w:val="uk-UA"/>
        </w:rPr>
        <w:t>державної</w:t>
      </w:r>
      <w:r w:rsidRPr="00C83932">
        <w:rPr>
          <w:rFonts w:ascii="Times New Roman" w:hAnsi="Times New Roman" w:cs="Times New Roman"/>
          <w:noProof/>
          <w:sz w:val="28"/>
          <w:szCs w:val="28"/>
        </w:rPr>
        <w:t xml:space="preserve"> адміністрації;</w:t>
      </w:r>
    </w:p>
    <w:p w14:paraId="31363765" w14:textId="5DE99FF3" w:rsidR="00C65D98" w:rsidRPr="00C83932" w:rsidRDefault="00C65D98" w:rsidP="00C83932">
      <w:pPr>
        <w:pStyle w:val="a4"/>
        <w:numPr>
          <w:ilvl w:val="0"/>
          <w:numId w:val="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принцип концентрації – зосередження зусиль на ключових напрямах розвитку суспільства згідно політичних пріоритетів легітимної влади.</w:t>
      </w:r>
    </w:p>
    <w:p w14:paraId="07F7F702" w14:textId="133A6505"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Велика заслуга в розробці цієї проблематики належить класичній школі, відомими представниками якої були А. Файоль, Л. Урвік, Л. Уайт. А. Файоль у 1916 р. сформулював свою</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теорію адміністрації,</w:t>
      </w:r>
      <w:r w:rsidRPr="00C83932">
        <w:rPr>
          <w:rFonts w:ascii="Times New Roman" w:hAnsi="Times New Roman" w:cs="Times New Roman"/>
          <w:noProof/>
          <w:sz w:val="28"/>
          <w:szCs w:val="28"/>
          <w:lang w:val="uk-UA"/>
        </w:rPr>
        <w:t xml:space="preserve"> він був</w:t>
      </w:r>
      <w:r w:rsidRPr="00C83932">
        <w:rPr>
          <w:rFonts w:ascii="Times New Roman" w:hAnsi="Times New Roman" w:cs="Times New Roman"/>
          <w:noProof/>
          <w:sz w:val="28"/>
          <w:szCs w:val="28"/>
        </w:rPr>
        <w:t xml:space="preserve"> переконаним у тому, що пропоновані ним положення і установки є універсальними і можуть застосовуватися майже у всіх сферах суспільного життя: економіці, системі державного управління, армії і т.д.</w:t>
      </w:r>
    </w:p>
    <w:p w14:paraId="4ECBCEFC" w14:textId="7FA4F556"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Виходячи з цього визначення, він виділив</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14 принципів управління:</w:t>
      </w:r>
    </w:p>
    <w:p w14:paraId="7BD0696B" w14:textId="0BB9C745"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розподіл праці, що</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дозволяє підвищити кількість і якість вироблюваного продукту за однакових витрат і зусиль;</w:t>
      </w:r>
    </w:p>
    <w:p w14:paraId="05691FD7" w14:textId="3C26366E"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право віддавати розпорядження і влада,</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що примушує підкорятися цим розпорядженням;</w:t>
      </w:r>
    </w:p>
    <w:p w14:paraId="2CF73939" w14:textId="734E180A"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дисципліна і підлеглість,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що означає дотримання встановлюйте правил у відносинах між організацією та її працівниками;</w:t>
      </w:r>
    </w:p>
    <w:p w14:paraId="235B0970" w14:textId="5974F180"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єдність розпорядництва,</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згідно якої службовцю може давати накази щодо якої-небудь дії лише один начальник;</w:t>
      </w:r>
    </w:p>
    <w:p w14:paraId="7685DD55" w14:textId="2DD3E84B"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єдність керівництва,</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яка означає, що для реалізації комплексу дій і операцій, переслідуючих яку-небудь єдину мету, є необхідним єдиний керівник і єдина програма;</w:t>
      </w:r>
    </w:p>
    <w:p w14:paraId="0889094F" w14:textId="0F26F2AF"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підпорядкування приватних інтересів</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конкретних працівників інтересам організації, інтересів окремих громадян інтересам держави;</w:t>
      </w:r>
    </w:p>
    <w:p w14:paraId="0C36BFE5" w14:textId="5F95C446"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справедлива винагорода</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персоналу, покликана стимулювати старанність й ініціативу працівників;</w:t>
      </w:r>
    </w:p>
    <w:p w14:paraId="2B6C5D67" w14:textId="457586EA"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централізація,</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ступінь якої визначається в кожному випадку окремо залежно від умов, в яких працюють конкретні організації, установи, підприємства;</w:t>
      </w:r>
    </w:p>
    <w:p w14:paraId="77480E82" w14:textId="526EB846"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жорстка ієрархія</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керівних посад, що передбачає неухильне виконання розпоряджень вищестоящих посадовців нижчестоячими;</w:t>
      </w:r>
    </w:p>
    <w:p w14:paraId="2261861E" w14:textId="340271AE"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чітке визначення місця, повноважень і функцій</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кожного працівника;</w:t>
      </w:r>
    </w:p>
    <w:p w14:paraId="1262EE2A" w14:textId="5CE6E642"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справедливість,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що передбачає органічне поєднання доброзичливості з правосвідомістю;</w:t>
      </w:r>
    </w:p>
    <w:p w14:paraId="78577CBF" w14:textId="5D61ADB9"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постійність складу персоналу,</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що виключає плинність кадрів, яка є показником неблагополучного стану справ на підприємстві або в установі;</w:t>
      </w:r>
    </w:p>
    <w:p w14:paraId="4F59B421" w14:textId="345C9AB7"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ініціативність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працівників;</w:t>
      </w:r>
    </w:p>
    <w:p w14:paraId="3F6042DC" w14:textId="226B0818" w:rsidR="00C65D98" w:rsidRPr="00C83932" w:rsidRDefault="00C65D98" w:rsidP="00C83932">
      <w:pPr>
        <w:pStyle w:val="a4"/>
        <w:numPr>
          <w:ilvl w:val="0"/>
          <w:numId w:val="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єдність персоналу,</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що є однією з умов життєздатності та ефективності підприємства</w:t>
      </w:r>
      <w:r w:rsidR="008549A0" w:rsidRPr="00C83932">
        <w:rPr>
          <w:rFonts w:ascii="Times New Roman" w:hAnsi="Times New Roman" w:cs="Times New Roman"/>
          <w:noProof/>
          <w:sz w:val="28"/>
          <w:szCs w:val="28"/>
          <w:lang w:val="uk-UA"/>
        </w:rPr>
        <w:t xml:space="preserve"> </w:t>
      </w:r>
      <w:r w:rsidR="008549A0" w:rsidRPr="00C83932">
        <w:rPr>
          <w:rFonts w:ascii="Times New Roman" w:hAnsi="Times New Roman" w:cs="Times New Roman"/>
          <w:noProof/>
          <w:sz w:val="28"/>
          <w:szCs w:val="28"/>
        </w:rPr>
        <w:t>[</w:t>
      </w:r>
      <w:r w:rsidR="00895F8F" w:rsidRPr="00C83932">
        <w:rPr>
          <w:rFonts w:ascii="Times New Roman" w:hAnsi="Times New Roman" w:cs="Times New Roman"/>
          <w:noProof/>
          <w:sz w:val="28"/>
          <w:szCs w:val="28"/>
          <w:lang w:val="uk-UA"/>
        </w:rPr>
        <w:t>9, с. 43</w:t>
      </w:r>
      <w:r w:rsidR="008549A0"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6AF1C8D6" w14:textId="77777777"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Розвиваючи ідеї А. Файоля, Л. Урвік сформулював принципи побудови формальної організації, до яких належать:</w:t>
      </w:r>
    </w:p>
    <w:p w14:paraId="58B2AE8E" w14:textId="288E908C"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відповідність людей структурі;</w:t>
      </w:r>
    </w:p>
    <w:p w14:paraId="59DF5E51" w14:textId="7F7A0EA0"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створення спеціального і генерального штабу;</w:t>
      </w:r>
    </w:p>
    <w:p w14:paraId="6932365F" w14:textId="189034EE"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співвіднесення прав і відповідальності;</w:t>
      </w:r>
    </w:p>
    <w:p w14:paraId="465CB866" w14:textId="39B3D1BE"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діапазон контролю;</w:t>
      </w:r>
    </w:p>
    <w:p w14:paraId="6E1AEB62" w14:textId="181E26E0"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спеціалізація працівників;</w:t>
      </w:r>
    </w:p>
    <w:p w14:paraId="19C4EFA3" w14:textId="25BF8DDA" w:rsidR="00C65D98" w:rsidRPr="00C83932" w:rsidRDefault="00C65D98" w:rsidP="00C83932">
      <w:pPr>
        <w:pStyle w:val="a4"/>
        <w:numPr>
          <w:ilvl w:val="0"/>
          <w:numId w:val="1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визначеність прав, обов'язків, відповідальності та взаємостосунків</w:t>
      </w:r>
      <w:r w:rsidR="008549A0" w:rsidRPr="00C83932">
        <w:rPr>
          <w:rFonts w:ascii="Times New Roman" w:hAnsi="Times New Roman" w:cs="Times New Roman"/>
          <w:noProof/>
          <w:sz w:val="28"/>
          <w:szCs w:val="28"/>
          <w:lang w:val="uk-UA"/>
        </w:rPr>
        <w:t xml:space="preserve"> </w:t>
      </w:r>
      <w:r w:rsidR="008549A0" w:rsidRPr="00C83932">
        <w:rPr>
          <w:rFonts w:ascii="Times New Roman" w:hAnsi="Times New Roman" w:cs="Times New Roman"/>
          <w:noProof/>
          <w:sz w:val="28"/>
          <w:szCs w:val="28"/>
          <w:lang w:val="ru-RU"/>
        </w:rPr>
        <w:t>[</w:t>
      </w:r>
      <w:r w:rsidR="00895F8F" w:rsidRPr="00C83932">
        <w:rPr>
          <w:rFonts w:ascii="Times New Roman" w:hAnsi="Times New Roman" w:cs="Times New Roman"/>
          <w:noProof/>
          <w:sz w:val="28"/>
          <w:szCs w:val="28"/>
          <w:lang w:val="ru-RU"/>
        </w:rPr>
        <w:t>11, с. 56</w:t>
      </w:r>
      <w:r w:rsidR="008549A0"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w:t>
      </w:r>
    </w:p>
    <w:p w14:paraId="3329FC62" w14:textId="3126F8E7"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А. Файоль також виділив шість основних груп</w:t>
      </w:r>
      <w:r w:rsidR="008549A0"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функцій управління:</w:t>
      </w:r>
      <w:r w:rsidR="008549A0"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технічні, комерційні, фінансові, страхові, облікові й адміністративні</w:t>
      </w:r>
      <w:r w:rsidR="008549A0" w:rsidRPr="00C83932">
        <w:rPr>
          <w:rFonts w:ascii="Times New Roman" w:hAnsi="Times New Roman" w:cs="Times New Roman"/>
          <w:noProof/>
          <w:sz w:val="28"/>
          <w:szCs w:val="28"/>
          <w:lang w:val="uk-UA"/>
        </w:rPr>
        <w:t xml:space="preserve"> </w:t>
      </w:r>
      <w:r w:rsidR="008549A0" w:rsidRPr="00C83932">
        <w:rPr>
          <w:rFonts w:ascii="Times New Roman" w:hAnsi="Times New Roman" w:cs="Times New Roman"/>
          <w:noProof/>
          <w:sz w:val="28"/>
          <w:szCs w:val="28"/>
        </w:rPr>
        <w:t>[</w:t>
      </w:r>
      <w:r w:rsidR="00895F8F" w:rsidRPr="00C83932">
        <w:rPr>
          <w:rFonts w:ascii="Times New Roman" w:hAnsi="Times New Roman" w:cs="Times New Roman"/>
          <w:noProof/>
          <w:sz w:val="28"/>
          <w:szCs w:val="28"/>
          <w:lang w:val="uk-UA"/>
        </w:rPr>
        <w:t>11, с. 59</w:t>
      </w:r>
      <w:r w:rsidR="008549A0" w:rsidRPr="00C83932">
        <w:rPr>
          <w:rFonts w:ascii="Times New Roman" w:hAnsi="Times New Roman" w:cs="Times New Roman"/>
          <w:noProof/>
          <w:sz w:val="28"/>
          <w:szCs w:val="28"/>
        </w:rPr>
        <w:t>]</w:t>
      </w:r>
      <w:r w:rsidRPr="00C83932">
        <w:rPr>
          <w:rFonts w:ascii="Times New Roman" w:hAnsi="Times New Roman" w:cs="Times New Roman"/>
          <w:noProof/>
          <w:sz w:val="28"/>
          <w:szCs w:val="28"/>
        </w:rPr>
        <w:t>. Причому серед них адміністративним функціям він надавав визначальне значення, вважаючи, що саме вони виконують завдання розробки загальної програми діяльності організації, підбору кадрів, координації зусиль різних підрозділів.</w:t>
      </w:r>
    </w:p>
    <w:p w14:paraId="6CC40FF8" w14:textId="19FA4C06"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Можна стверджувати, що функції публічного управління тісно пов'язані з його принципами, основними з них є:</w:t>
      </w:r>
    </w:p>
    <w:p w14:paraId="38A58B2A" w14:textId="25230E7C"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розпорядчо-регламентаційна – спрямована на встановлення порядку діяльності органів влади, місцевого самоврядування, громадських організацій окремих громадян;</w:t>
      </w:r>
    </w:p>
    <w:p w14:paraId="41D89DA7" w14:textId="1B2E911F"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безпосереднього надання публічних послуг або надання їх через відповідні інституції – забезпечення населення послугами неринкового характеру за бюджетні кошти;</w:t>
      </w:r>
    </w:p>
    <w:p w14:paraId="2E24EFE1" w14:textId="6FAC4115"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господарчо-регулятивна – спрямована на регулювання господарської діяльності з допомогою дозволів, ліцензій тощо, а також участі держави в економічному житті;</w:t>
      </w:r>
    </w:p>
    <w:p w14:paraId="5A1346E8" w14:textId="2C689249"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організаційна – дозволяє координувати і узгоджувати діяльність у всіх сферах публічного життя за виконавцями, термінами і ресурсами;</w:t>
      </w:r>
    </w:p>
    <w:p w14:paraId="309406A7" w14:textId="79101111"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управління публічним майном – здійснюється з метою найефективнішого його використання;</w:t>
      </w:r>
    </w:p>
    <w:p w14:paraId="39CFFC60" w14:textId="573DB55C"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експертна – полягає у проведенні експертизи проектів щодо їх безпечності, екологічності тощо.;</w:t>
      </w:r>
    </w:p>
    <w:p w14:paraId="7B11C231" w14:textId="05657DD6" w:rsidR="00C65D98" w:rsidRPr="00C83932" w:rsidRDefault="00C65D98" w:rsidP="00C83932">
      <w:pPr>
        <w:pStyle w:val="a4"/>
        <w:numPr>
          <w:ilvl w:val="0"/>
          <w:numId w:val="1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контролю – здійснюється з метою нагляду за ходом діяльності.</w:t>
      </w:r>
    </w:p>
    <w:p w14:paraId="7353D167" w14:textId="5B08F630" w:rsidR="00C65D98" w:rsidRPr="00C83932" w:rsidRDefault="00C65D9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Функціональну основу публічного управління складають розпорядчо – регламентацій на та господарчо-регулятивна функції.</w:t>
      </w:r>
    </w:p>
    <w:p w14:paraId="5A380307"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Формування складу та визначення змістовної характеристики функцій публічного управління безпосередньо залежать від функцій держави, тобто основних напрямів її діяльності, спрямованої на досягнення взаємоузгодженості та задоволення різноманітних інтересів окремих громадян, соціальних груп і суспільства в цілому. На різних етапах історичного розвитку держави перед нею постають ті чи інші основні завдання, засобом вирішення яких є функціональна діяльність. Розрізняють внутрішні та зовнішні функції держави.</w:t>
      </w:r>
    </w:p>
    <w:p w14:paraId="31D906F9"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Внутрішні функції – це основні напрями діяльності держави з управління внутрішніми суспільними процесами. До їх складу відносяться наступні функції: економічна, політична, соціальна, правоохоронна, екологічна. Зовнішні функції держави – це основні напрями її діяльності у сфері міжнародних відносин: дипломатична, зовнішньоекономічна, зовнішньополітична, культурно-інформаційна та глобального співробітництва. В цілому держава виконує цілісний комплекс функцій з підтримки життєдіяльності суспільства. Всі вони в тій чи іншій мірі пов’язані з державним управлінням, реалізуються системою органів влади та їх апаратом.</w:t>
      </w:r>
    </w:p>
    <w:p w14:paraId="6DED59B8" w14:textId="4A5001DB"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Функції управління, як відносно відокремлені в процесі розподілу управлінської праці види діяльності, що відрізняються специфічними формами та методами впливу на керовані об’єкти чи процеси, класифікуються на декілька груп: загальні</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і</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спеціальні, які ще розподіляють на головні та допоміжні функції.</w:t>
      </w:r>
    </w:p>
    <w:p w14:paraId="4597CAD3"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Основні функції беруть участь у здійсненні будь-якого управлінського циклу і включають до свого складу: за поширеною класифікацією — прогнозування, планування, організацію, координацію, регулювання, </w:t>
      </w:r>
      <w:r w:rsidRPr="00C83932">
        <w:rPr>
          <w:rFonts w:ascii="Times New Roman" w:hAnsi="Times New Roman" w:cs="Times New Roman"/>
          <w:noProof/>
          <w:sz w:val="28"/>
          <w:szCs w:val="28"/>
        </w:rPr>
        <w:lastRenderedPageBreak/>
        <w:t>мотивацію, облік, аналіз, контроль; за скороченою – планування, організацію, мотивацію, контроль.</w:t>
      </w:r>
    </w:p>
    <w:p w14:paraId="6B4CD88A"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Конкретні функції забезпечують управління суспільними процесами, відповідними сферами, на певному рівні ієрархії або в конкретних умовах. Головні функції охоплюють діяльність у різних сферах публічного управління з розподілом на політико-адміністративні, економічні, соціальні, культурно-освітні. До числа допоміжних відносять функції, що забезпечують в кожній установі нормальне виконання основних і головних функцій. Нижче наведено перелік основних завдань, які характеризують зміст діяльності за кожним видом функцій публічного управління.</w:t>
      </w:r>
    </w:p>
    <w:p w14:paraId="512926BC" w14:textId="3C1083C1" w:rsidR="008549A0" w:rsidRPr="00C83932" w:rsidRDefault="008549A0"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Планування</w:t>
      </w:r>
      <w:r w:rsidRPr="00C83932">
        <w:rPr>
          <w:rFonts w:ascii="Times New Roman" w:hAnsi="Times New Roman" w:cs="Times New Roman"/>
          <w:noProof/>
          <w:sz w:val="28"/>
          <w:szCs w:val="28"/>
          <w:lang w:val="uk-UA"/>
        </w:rPr>
        <w:t>:</w:t>
      </w:r>
    </w:p>
    <w:p w14:paraId="32BFC873" w14:textId="2EF8D857"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збір і опрацювання релевантної інформації;</w:t>
      </w:r>
    </w:p>
    <w:p w14:paraId="0279A891" w14:textId="43709C9B"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комплексна оцінка здійснення соціальних процесів чи стану керованих об’єктів;</w:t>
      </w:r>
    </w:p>
    <w:p w14:paraId="10446C6A" w14:textId="4A9A1C0C"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з’ясування суперечностей;</w:t>
      </w:r>
    </w:p>
    <w:p w14:paraId="2BFFD8A8" w14:textId="5C0125D1"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формулювання проблем;</w:t>
      </w:r>
    </w:p>
    <w:p w14:paraId="11276DB7" w14:textId="393C17F6"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виявлення тенденцій розвитку;</w:t>
      </w:r>
    </w:p>
    <w:p w14:paraId="30A8C04D" w14:textId="52ED5322"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пріоритетів;</w:t>
      </w:r>
    </w:p>
    <w:p w14:paraId="54E61400" w14:textId="5AF6F4E7"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моделювання плину соціальних процесів чи бажаного стану об’єктів управління;</w:t>
      </w:r>
    </w:p>
    <w:p w14:paraId="199A2F86" w14:textId="51553090"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взаємопідтримуючих перспективних цілей;</w:t>
      </w:r>
    </w:p>
    <w:p w14:paraId="4B1DF442" w14:textId="224F9A72"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складання прогнозів;</w:t>
      </w:r>
    </w:p>
    <w:p w14:paraId="573053E1" w14:textId="007759BD"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конкретизація цілей за кількісними та якісними характеристиками;</w:t>
      </w:r>
    </w:p>
    <w:p w14:paraId="740EB8A6" w14:textId="7232D4C8"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стратегічне планування;</w:t>
      </w:r>
    </w:p>
    <w:p w14:paraId="73CEB74E" w14:textId="3409B812"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передбачення можливостей виникнення внутрішніх і зовнішніх небезпек;</w:t>
      </w:r>
    </w:p>
    <w:p w14:paraId="7C6508B8" w14:textId="77777777"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встановлення ймовірності появи додаткових можливостей;</w:t>
      </w:r>
    </w:p>
    <w:p w14:paraId="2FF5A6A4" w14:textId="6A313256"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реалізація багатоваріантного підходу в процесі прогнозування та планування;</w:t>
      </w:r>
    </w:p>
    <w:p w14:paraId="7E06ACA7" w14:textId="3AD33658"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критеріїв оцінки альтернативних варіантів;</w:t>
      </w:r>
    </w:p>
    <w:p w14:paraId="611A8305" w14:textId="3B2E906A"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розроблення проектів програм, планів, комплексу заходів;</w:t>
      </w:r>
    </w:p>
    <w:p w14:paraId="51213680" w14:textId="7D5D8603"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необхідного ресурсного забезпечення;</w:t>
      </w:r>
    </w:p>
    <w:p w14:paraId="0234A49F" w14:textId="63CA9C29"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співставлення альтернативних проектів програм, планів;</w:t>
      </w:r>
    </w:p>
    <w:p w14:paraId="389C0C41" w14:textId="16CFD6CA"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найкращого чи визначення оптимального варіанту;</w:t>
      </w:r>
    </w:p>
    <w:p w14:paraId="558EDEB3" w14:textId="60DD8F8A"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узгодження обраного проекту прогнозу, програми, плану з іншими прогнозними та плановими документами у вертикальному та горизонтальному вимірах;</w:t>
      </w:r>
    </w:p>
    <w:p w14:paraId="650255A3" w14:textId="41FDF39D"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ухвалення програм, планів;</w:t>
      </w:r>
    </w:p>
    <w:p w14:paraId="259C3B8A" w14:textId="74E66B46"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отримання “зворотного зв’язку”;</w:t>
      </w:r>
    </w:p>
    <w:p w14:paraId="75A4D121" w14:textId="25EBB53A" w:rsidR="008549A0" w:rsidRPr="00C83932" w:rsidRDefault="008549A0" w:rsidP="00C83932">
      <w:pPr>
        <w:pStyle w:val="a4"/>
        <w:numPr>
          <w:ilvl w:val="0"/>
          <w:numId w:val="1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оцінка відповідності реально отриманих результатів встановленим цілям.</w:t>
      </w:r>
    </w:p>
    <w:p w14:paraId="4EF7E170"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Організація:</w:t>
      </w:r>
    </w:p>
    <w:p w14:paraId="169068AC" w14:textId="01807D4E"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змісту та напрямів управлінської діяльності, необхідних для досягнення цілей, встановлених у програмах, планах;</w:t>
      </w:r>
    </w:p>
    <w:p w14:paraId="3D0C3FF0" w14:textId="60270AC0"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реалізація принципу доцільного поєднання централізації та децентралізації управління;</w:t>
      </w:r>
    </w:p>
    <w:p w14:paraId="19FDAF89" w14:textId="6F5D9E95"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розподіл повноважень і відповідності між органами публічного управління;</w:t>
      </w:r>
    </w:p>
    <w:p w14:paraId="3443C9FA" w14:textId="2512861D"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упорядкування структури управління з дотриманням вимог доцільної кількості рівнів і діапазону управління;</w:t>
      </w:r>
    </w:p>
    <w:p w14:paraId="27A83FEF" w14:textId="3E00AE6A"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доведення програм, планів до відома конкретних виконавців;</w:t>
      </w:r>
    </w:p>
    <w:p w14:paraId="7CA96B91" w14:textId="3668F4EC"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координація діяльності виконавців прийнятих програм, планів, управлінських рішень;</w:t>
      </w:r>
    </w:p>
    <w:p w14:paraId="0A909F47" w14:textId="6450E897"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вироблення та реалізація організаційного механізму раціоналізації взаємозв’язків між підсистемами та елементами публічного управління;</w:t>
      </w:r>
    </w:p>
    <w:p w14:paraId="693B152C" w14:textId="5461DC67"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концентрація ресурсів і їх доцільний розподіл за пріоритетними напрямками суспільного розвитку;</w:t>
      </w:r>
    </w:p>
    <w:p w14:paraId="1AA82389" w14:textId="4A38C4E0"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регулювання ходу виконання прогнозних і програмних документів;</w:t>
      </w:r>
    </w:p>
    <w:p w14:paraId="3F67FD7C" w14:textId="48FA5F96"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створення ефективної мережі комунікаційних потоків;</w:t>
      </w:r>
    </w:p>
    <w:p w14:paraId="1374592A" w14:textId="3997BB24"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відстеження дотримання встановлених строків реалізації державно - управлінських рішень;</w:t>
      </w:r>
    </w:p>
    <w:p w14:paraId="718D4EEF" w14:textId="65E53CAF"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організація своєчасного та якісного зворотного зв’язку у суб’єктно-об’єктних відносинах;</w:t>
      </w:r>
    </w:p>
    <w:p w14:paraId="551A2D3F" w14:textId="48152F6C"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забезпечення ефективної організації державної служби та процесу її проходження;</w:t>
      </w:r>
    </w:p>
    <w:p w14:paraId="68469EA1" w14:textId="26F15087" w:rsidR="008549A0" w:rsidRPr="00C83932" w:rsidRDefault="008549A0" w:rsidP="00C83932">
      <w:pPr>
        <w:pStyle w:val="a4"/>
        <w:numPr>
          <w:ilvl w:val="0"/>
          <w:numId w:val="1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з</w:t>
      </w:r>
      <w:r w:rsidRPr="00C83932">
        <w:rPr>
          <w:rFonts w:ascii="Times New Roman" w:hAnsi="Times New Roman" w:cs="Times New Roman"/>
          <w:noProof/>
          <w:sz w:val="28"/>
          <w:szCs w:val="28"/>
        </w:rPr>
        <w:t>дійснення постійного моніторингу за ходом організаційних перетворень.</w:t>
      </w:r>
    </w:p>
    <w:p w14:paraId="78407108"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Мотивація:</w:t>
      </w:r>
    </w:p>
    <w:p w14:paraId="5B3D4B59" w14:textId="50DC5DCA"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орієнтація на взаємоузгодження та задоволення особистих, колективних і загальнодержавних інтересів;</w:t>
      </w:r>
    </w:p>
    <w:p w14:paraId="59807085" w14:textId="6F303996"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матеріальних, соціальних і духовних потреб виконавців програм, планів, управлінських рішень тощо;</w:t>
      </w:r>
    </w:p>
    <w:p w14:paraId="2F697A54" w14:textId="26D3EB89"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моніторинг послідовного зростання потреб;</w:t>
      </w:r>
    </w:p>
    <w:p w14:paraId="7C86C473" w14:textId="2FCC5B03"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дієвих методів задоволення потреб;</w:t>
      </w:r>
    </w:p>
    <w:p w14:paraId="592B6B1C" w14:textId="2F40E110"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спрямованість мотиваційних регуляторів на досягнення більш ефективного виконання службових обов’язків;</w:t>
      </w:r>
    </w:p>
    <w:p w14:paraId="71B8EA69" w14:textId="10D852B3"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формування мотиваційних систем з застосуванням змістовних і процесуальних теорій мотивації;</w:t>
      </w:r>
    </w:p>
    <w:p w14:paraId="5E05A4CB" w14:textId="7240DC5A"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додержання принципу справедливості;</w:t>
      </w:r>
    </w:p>
    <w:p w14:paraId="198FFA42" w14:textId="1C897CFF"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досягнення відповідності винагороди реально отриманим результатам діяльності;</w:t>
      </w:r>
    </w:p>
    <w:p w14:paraId="438068C7" w14:textId="6A7F4A45"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застосування конкретних мотиваційних важелів в залежності від ціннісної орієнтації працівників;</w:t>
      </w:r>
    </w:p>
    <w:p w14:paraId="304079FA" w14:textId="32E46DB8"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поширення використання соціально - психологічних методів мотивації з одночасним обмеженням примусового впливу на поведінку людей;</w:t>
      </w:r>
    </w:p>
    <w:p w14:paraId="349443F0" w14:textId="64C806B8"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створення умов отримання посадовими особами та спеціалістами задоволення від своєї роботи;</w:t>
      </w:r>
    </w:p>
    <w:p w14:paraId="36FF190B" w14:textId="444FBDFB"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забезпечення можливостей максимальної реалізації працівниками власного творчого потенціалу;</w:t>
      </w:r>
    </w:p>
    <w:p w14:paraId="73708014" w14:textId="7DDDFB99"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оцінка та врахування рівня вмотивованості державних службовців на підставі аналізу їх сподівань, сприйняття винагороди, відчуття вагомості власного внеску в загальні результати;</w:t>
      </w:r>
    </w:p>
    <w:p w14:paraId="3DEE6B3D" w14:textId="479775D6" w:rsidR="008549A0" w:rsidRPr="00C83932" w:rsidRDefault="008549A0" w:rsidP="00C83932">
      <w:pPr>
        <w:pStyle w:val="a4"/>
        <w:numPr>
          <w:ilvl w:val="0"/>
          <w:numId w:val="1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забезпечення підвищення дієвості мотиваційного впливу за рахунок широкого оприлюднення досягнутих високих результатів роботи окремих працівників чи органів публічного управління та отриманої винагороди.</w:t>
      </w:r>
    </w:p>
    <w:p w14:paraId="7E94D341" w14:textId="77777777" w:rsidR="008549A0" w:rsidRPr="00C83932" w:rsidRDefault="008549A0"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Контроль:</w:t>
      </w:r>
    </w:p>
    <w:p w14:paraId="2E796B7C" w14:textId="6234F19C"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розподіл контрольних повноважень між органами влади;</w:t>
      </w:r>
    </w:p>
    <w:p w14:paraId="031D4C17" w14:textId="7AC20E3E"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завдань надвідомчого, міжвідомчого та відомчого контролю;</w:t>
      </w:r>
    </w:p>
    <w:p w14:paraId="15FCD23E" w14:textId="5A6F0BA0"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розроблення стандартів і визначення критеріїв для проведення контролю;</w:t>
      </w:r>
    </w:p>
    <w:p w14:paraId="1F1A5DBC" w14:textId="22BFAD83"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реалізація принципів ефективного контролю в державному управлінні;</w:t>
      </w:r>
    </w:p>
    <w:p w14:paraId="518AAB2B" w14:textId="22EE7978"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форм контрольної діяльності;</w:t>
      </w:r>
    </w:p>
    <w:p w14:paraId="4FD58176" w14:textId="472E534C"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відповідальності, що виникає за результатами різних видів контролю;</w:t>
      </w:r>
    </w:p>
    <w:p w14:paraId="4CD47AD6" w14:textId="0F1667A9"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стратегічна спрямованість контрольних заходів;</w:t>
      </w:r>
    </w:p>
    <w:p w14:paraId="0E793DF6" w14:textId="5959001D"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орієнтація на конкретні кінцеві результати діяльності підконтрольних об’єктів;</w:t>
      </w:r>
    </w:p>
    <w:p w14:paraId="5C4AAE27" w14:textId="59E0DBF6"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встановлення строків контролю;</w:t>
      </w:r>
    </w:p>
    <w:p w14:paraId="3807F951" w14:textId="549D7B88"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визначення доцільності міри контролю;</w:t>
      </w:r>
    </w:p>
    <w:p w14:paraId="24F46887" w14:textId="5C345202"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забезпечення відповідності контрольних заходів конкретній сфері діяльності установ;</w:t>
      </w:r>
    </w:p>
    <w:p w14:paraId="4F5ABD30" w14:textId="171771BF"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узгодження форм і методів контролю, що реалізуються на різних ієрархічних рівнях публічного управління;</w:t>
      </w:r>
    </w:p>
    <w:p w14:paraId="6718B27A" w14:textId="5B39E70F"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вибір допустимих діапазонів відхилень від встановлених параметрів контролю – норм, нормативів, стандартів, планових завдань;</w:t>
      </w:r>
    </w:p>
    <w:p w14:paraId="3983DC92" w14:textId="66EC554F"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здійснення передбачених контрольних заходів;</w:t>
      </w:r>
    </w:p>
    <w:p w14:paraId="12B1963F" w14:textId="5820AC66"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виявлення масштабів реальних відхилень від встановлених параметрів;</w:t>
      </w:r>
    </w:p>
    <w:p w14:paraId="41DDB41F" w14:textId="48EAE846"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порівняння фактичних відхилень з обраним допустимим їх діапазоном;</w:t>
      </w:r>
    </w:p>
    <w:p w14:paraId="7153DCCE" w14:textId="2EC0F0EA"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вироблення (в разі необхідності) коригуючих дій (усунення причин відхилень чи зміни стандартів);</w:t>
      </w:r>
    </w:p>
    <w:p w14:paraId="394AB8FB" w14:textId="4AE77794"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доведення результатів контролю і прийнятого рішення до відома відповідного адресата, а в необхідних випадках – громадських або правоохоронних органів, інших зацікавлених осіб;</w:t>
      </w:r>
    </w:p>
    <w:p w14:paraId="02A74FA0" w14:textId="26034009" w:rsidR="008549A0" w:rsidRPr="00C83932" w:rsidRDefault="008549A0" w:rsidP="00C83932">
      <w:pPr>
        <w:pStyle w:val="a4"/>
        <w:numPr>
          <w:ilvl w:val="0"/>
          <w:numId w:val="1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перевірка виконання рішень, прийнятих за підсумками контролю.</w:t>
      </w:r>
    </w:p>
    <w:p w14:paraId="15CAEFAF"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Політико-адміністративні:</w:t>
      </w:r>
    </w:p>
    <w:p w14:paraId="2559CC7D" w14:textId="307E3DCF"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забезпечення державного суверенітету;</w:t>
      </w:r>
    </w:p>
    <w:p w14:paraId="0106AEEE" w14:textId="418ACF7E"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здійснення внутрішньої та зовнішньої політики в межах Конституції і законів України;</w:t>
      </w:r>
    </w:p>
    <w:p w14:paraId="787199EE" w14:textId="62618CAA"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забезпечення прав і свобод людини та громадянина;</w:t>
      </w:r>
    </w:p>
    <w:p w14:paraId="392B2584" w14:textId="62F8285A"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здійснення заходів із забезпечення обороноздатності та національної безпеки;</w:t>
      </w:r>
    </w:p>
    <w:p w14:paraId="474B071A" w14:textId="1FE43349"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забезпечення та координація роботи органів влади;</w:t>
      </w:r>
    </w:p>
    <w:p w14:paraId="245C5B98" w14:textId="0AED0F57"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регулювання демографічних та міграційних процесів;</w:t>
      </w:r>
    </w:p>
    <w:p w14:paraId="0632A652" w14:textId="0EB1270C"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створення та діяльність політичних партій;</w:t>
      </w:r>
    </w:p>
    <w:p w14:paraId="602351EF" w14:textId="361D561C"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перегляд територіального устрою країни;</w:t>
      </w:r>
    </w:p>
    <w:p w14:paraId="460B15DD" w14:textId="3D746A43" w:rsidR="00BC21C3" w:rsidRPr="00C83932" w:rsidRDefault="00BC21C3" w:rsidP="00C83932">
      <w:pPr>
        <w:pStyle w:val="a3"/>
        <w:numPr>
          <w:ilvl w:val="0"/>
          <w:numId w:val="16"/>
        </w:numPr>
        <w:shd w:val="clear" w:color="auto" w:fill="FFFFFF"/>
        <w:spacing w:line="360" w:lineRule="auto"/>
        <w:jc w:val="both"/>
        <w:rPr>
          <w:noProof/>
          <w:sz w:val="28"/>
          <w:szCs w:val="28"/>
          <w:lang w:val="uk-UA"/>
        </w:rPr>
      </w:pPr>
      <w:r w:rsidRPr="00C83932">
        <w:rPr>
          <w:noProof/>
          <w:sz w:val="28"/>
          <w:szCs w:val="28"/>
          <w:lang w:val="uk-UA"/>
        </w:rPr>
        <w:t>формування громадсько-правової відповідальності.</w:t>
      </w:r>
    </w:p>
    <w:p w14:paraId="3252A989"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lastRenderedPageBreak/>
        <w:t>Економічні:</w:t>
      </w:r>
    </w:p>
    <w:p w14:paraId="283EB5FA" w14:textId="7397CF0D"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гарантія економічної безпеки та самостійності;</w:t>
      </w:r>
    </w:p>
    <w:p w14:paraId="08D7FD0F" w14:textId="6D60F47F"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координація економічної політики;</w:t>
      </w:r>
    </w:p>
    <w:p w14:paraId="6113D5A1" w14:textId="36110FDF"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реалізація фінансової, цінової, інвестиційної та податкової політики;</w:t>
      </w:r>
    </w:p>
    <w:p w14:paraId="50F76FA2" w14:textId="138F2EC3"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забезпечення рівних умов розвитку для всіх форм власності;</w:t>
      </w:r>
    </w:p>
    <w:p w14:paraId="3F827424" w14:textId="14BFAEF9"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розробка та здійснення державних програм соціально-економічного, науково-технічного розвитку;</w:t>
      </w:r>
    </w:p>
    <w:p w14:paraId="0AAE5E33" w14:textId="0816DF42"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організація та забезпечення зовнішньоекономічної діяльності;</w:t>
      </w:r>
    </w:p>
    <w:p w14:paraId="5E608B30" w14:textId="531F6CF4"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забезпечення виконання бюджету (країни, регіону);</w:t>
      </w:r>
    </w:p>
    <w:p w14:paraId="38C8A746" w14:textId="5EB79CFA"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формування грошової політики та регулювання обігу;</w:t>
      </w:r>
    </w:p>
    <w:p w14:paraId="04C6056B" w14:textId="49657A3B" w:rsidR="00BC21C3" w:rsidRPr="00C83932" w:rsidRDefault="00BC21C3" w:rsidP="00C83932">
      <w:pPr>
        <w:pStyle w:val="a3"/>
        <w:numPr>
          <w:ilvl w:val="0"/>
          <w:numId w:val="17"/>
        </w:numPr>
        <w:shd w:val="clear" w:color="auto" w:fill="FFFFFF"/>
        <w:spacing w:line="360" w:lineRule="auto"/>
        <w:jc w:val="both"/>
        <w:rPr>
          <w:noProof/>
          <w:sz w:val="28"/>
          <w:szCs w:val="28"/>
          <w:lang w:val="uk-UA"/>
        </w:rPr>
      </w:pPr>
      <w:r w:rsidRPr="00C83932">
        <w:rPr>
          <w:noProof/>
          <w:sz w:val="28"/>
          <w:szCs w:val="28"/>
          <w:lang w:val="uk-UA"/>
        </w:rPr>
        <w:t>забезпечення якості товарів та послуг, застосування національних міжнародних стандартів.</w:t>
      </w:r>
    </w:p>
    <w:p w14:paraId="3BCA9D4F"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Соціальні:</w:t>
      </w:r>
    </w:p>
    <w:p w14:paraId="6701A575" w14:textId="76F1014C"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розробка та здійснення державних програм розвитку соціальної сфери;</w:t>
      </w:r>
    </w:p>
    <w:p w14:paraId="45355777" w14:textId="1DF6683F"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формування та реалізація заходів щодо забезпечення охорони здоров’я та гігієни населення;</w:t>
      </w:r>
    </w:p>
    <w:p w14:paraId="2A694188" w14:textId="4988E63C"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регулювання трудових відносин між найманими робітниками та роботодавцями;</w:t>
      </w:r>
    </w:p>
    <w:p w14:paraId="2303B4F5" w14:textId="18F84800"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формування системи соціального захисту та пенсійного забезпечення;</w:t>
      </w:r>
    </w:p>
    <w:p w14:paraId="6041D778" w14:textId="73E7AC26"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забезпечення раціонального використання природних ресурсів;</w:t>
      </w:r>
    </w:p>
    <w:p w14:paraId="58F406D6" w14:textId="1656B234"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регулювання відносин в сім’ї, охорона дитинства, материнства, батьківства;</w:t>
      </w:r>
    </w:p>
    <w:p w14:paraId="24B71D54" w14:textId="56AB0516" w:rsidR="00BC21C3" w:rsidRPr="00C83932" w:rsidRDefault="00BC21C3" w:rsidP="00C83932">
      <w:pPr>
        <w:pStyle w:val="a3"/>
        <w:numPr>
          <w:ilvl w:val="0"/>
          <w:numId w:val="18"/>
        </w:numPr>
        <w:shd w:val="clear" w:color="auto" w:fill="FFFFFF"/>
        <w:spacing w:line="360" w:lineRule="auto"/>
        <w:jc w:val="both"/>
        <w:rPr>
          <w:noProof/>
          <w:sz w:val="28"/>
          <w:szCs w:val="28"/>
          <w:lang w:val="uk-UA"/>
        </w:rPr>
      </w:pPr>
      <w:r w:rsidRPr="00C83932">
        <w:rPr>
          <w:noProof/>
          <w:sz w:val="28"/>
          <w:szCs w:val="28"/>
          <w:lang w:val="uk-UA"/>
        </w:rPr>
        <w:t>забезпечення прав корінних народів та соціальних меншин.</w:t>
      </w:r>
    </w:p>
    <w:p w14:paraId="1FECF456"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Культурно-освітні:</w:t>
      </w:r>
    </w:p>
    <w:p w14:paraId="60665265" w14:textId="2DAB9B0E"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забезпечення розвитку фундаментальних наук;</w:t>
      </w:r>
    </w:p>
    <w:p w14:paraId="5073CDA6" w14:textId="581AE543"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lastRenderedPageBreak/>
        <w:t>розробка та впровадження державних програм розвитку загальної, технічної, гуманітарної освіти;</w:t>
      </w:r>
    </w:p>
    <w:p w14:paraId="05A534CC" w14:textId="3D6DE03C"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здійснення заходів щодо забезпечення спортивного виховання дітей та підлітків;</w:t>
      </w:r>
    </w:p>
    <w:p w14:paraId="2DE72145" w14:textId="2841A9CC"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поширення інформації неполітичної спрямованості;</w:t>
      </w:r>
    </w:p>
    <w:p w14:paraId="16F41F86" w14:textId="139420D9"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створення умов для розвитку мистецтва та культури;</w:t>
      </w:r>
    </w:p>
    <w:p w14:paraId="2E6A07C9" w14:textId="66A44570"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забезпечення можливостей щодо організації відпочинку та проведення спортивних змагань;</w:t>
      </w:r>
    </w:p>
    <w:p w14:paraId="15FE59CB" w14:textId="77777777" w:rsidR="00BC21C3" w:rsidRPr="00C83932" w:rsidRDefault="00BC21C3" w:rsidP="00C83932">
      <w:pPr>
        <w:pStyle w:val="a3"/>
        <w:numPr>
          <w:ilvl w:val="0"/>
          <w:numId w:val="19"/>
        </w:numPr>
        <w:shd w:val="clear" w:color="auto" w:fill="FFFFFF"/>
        <w:spacing w:line="360" w:lineRule="auto"/>
        <w:jc w:val="both"/>
        <w:rPr>
          <w:noProof/>
          <w:sz w:val="28"/>
          <w:szCs w:val="28"/>
          <w:lang w:val="uk-UA"/>
        </w:rPr>
      </w:pPr>
      <w:r w:rsidRPr="00C83932">
        <w:rPr>
          <w:noProof/>
          <w:sz w:val="28"/>
          <w:szCs w:val="28"/>
          <w:lang w:val="uk-UA"/>
        </w:rPr>
        <w:t>формування системи підготовки та перепідготовки кадрів, підвищення.</w:t>
      </w:r>
    </w:p>
    <w:p w14:paraId="23BEA2C9" w14:textId="1E5AA1D0"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Управління персоналом:</w:t>
      </w:r>
    </w:p>
    <w:p w14:paraId="6377B569" w14:textId="1B3FC075"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формування служби управління кадрами;</w:t>
      </w:r>
    </w:p>
    <w:p w14:paraId="0277666C" w14:textId="736D1949"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застосування сучасних методів кадрового менеджменту;</w:t>
      </w:r>
    </w:p>
    <w:p w14:paraId="39A0F894" w14:textId="3B6FFE01"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формування ефективної системи добору та підготовки кадрів;</w:t>
      </w:r>
    </w:p>
    <w:p w14:paraId="6F6D1A36" w14:textId="52704933"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оновлення управлінської еліти;</w:t>
      </w:r>
    </w:p>
    <w:p w14:paraId="47936F4B" w14:textId="38B50564"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запобігання рецидивам непрофесіоналізму та некомпетентності при формуванні кадрового потенціалу;</w:t>
      </w:r>
    </w:p>
    <w:p w14:paraId="7E217CD0" w14:textId="139C9B55"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посилення соціальної та політичної захищеності службовців;</w:t>
      </w:r>
    </w:p>
    <w:p w14:paraId="65BE3F55" w14:textId="79FFC2B9"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утвердження нової культури державної служби;</w:t>
      </w:r>
    </w:p>
    <w:p w14:paraId="4E907ED0" w14:textId="63DE31E9"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розробка та впровадження сучасних методів визначення потреби в кадрах;</w:t>
      </w:r>
    </w:p>
    <w:p w14:paraId="185DD0B9" w14:textId="5E2D977A" w:rsidR="00BC21C3" w:rsidRPr="00C83932" w:rsidRDefault="00BC21C3" w:rsidP="00C83932">
      <w:pPr>
        <w:pStyle w:val="a3"/>
        <w:numPr>
          <w:ilvl w:val="0"/>
          <w:numId w:val="20"/>
        </w:numPr>
        <w:shd w:val="clear" w:color="auto" w:fill="FFFFFF"/>
        <w:spacing w:line="360" w:lineRule="auto"/>
        <w:jc w:val="both"/>
        <w:rPr>
          <w:noProof/>
          <w:sz w:val="28"/>
          <w:szCs w:val="28"/>
          <w:lang w:val="uk-UA"/>
        </w:rPr>
      </w:pPr>
      <w:r w:rsidRPr="00C83932">
        <w:rPr>
          <w:noProof/>
          <w:sz w:val="28"/>
          <w:szCs w:val="28"/>
          <w:lang w:val="uk-UA"/>
        </w:rPr>
        <w:t>запровадження механізмів розвитку персоналу, що забезпечують якісно новий рівень кадрового потенціалу.</w:t>
      </w:r>
    </w:p>
    <w:p w14:paraId="621D16E8"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Організація служб та процедур</w:t>
      </w:r>
      <w:r w:rsidRPr="00C83932">
        <w:rPr>
          <w:rStyle w:val="a9"/>
          <w:b w:val="0"/>
          <w:bCs w:val="0"/>
          <w:noProof/>
          <w:sz w:val="28"/>
          <w:szCs w:val="28"/>
          <w:lang w:val="uk-UA"/>
        </w:rPr>
        <w:t>:</w:t>
      </w:r>
    </w:p>
    <w:p w14:paraId="1104A9FC" w14:textId="16190960" w:rsidR="00BC21C3" w:rsidRPr="00C83932" w:rsidRDefault="00BC21C3" w:rsidP="00C83932">
      <w:pPr>
        <w:pStyle w:val="a3"/>
        <w:numPr>
          <w:ilvl w:val="0"/>
          <w:numId w:val="21"/>
        </w:numPr>
        <w:shd w:val="clear" w:color="auto" w:fill="FFFFFF"/>
        <w:spacing w:line="360" w:lineRule="auto"/>
        <w:jc w:val="both"/>
        <w:rPr>
          <w:noProof/>
          <w:sz w:val="28"/>
          <w:szCs w:val="28"/>
          <w:lang w:val="uk-UA"/>
        </w:rPr>
      </w:pPr>
      <w:r w:rsidRPr="00C83932">
        <w:rPr>
          <w:noProof/>
          <w:sz w:val="28"/>
          <w:szCs w:val="28"/>
          <w:lang w:val="uk-UA"/>
        </w:rPr>
        <w:t>визначення ефективної побудови організаційної структури державного органу;</w:t>
      </w:r>
    </w:p>
    <w:p w14:paraId="7AF9EB01" w14:textId="59896A7C" w:rsidR="00BC21C3" w:rsidRPr="00C83932" w:rsidRDefault="00BC21C3" w:rsidP="00C83932">
      <w:pPr>
        <w:pStyle w:val="a3"/>
        <w:numPr>
          <w:ilvl w:val="0"/>
          <w:numId w:val="21"/>
        </w:numPr>
        <w:shd w:val="clear" w:color="auto" w:fill="FFFFFF"/>
        <w:spacing w:line="360" w:lineRule="auto"/>
        <w:jc w:val="both"/>
        <w:rPr>
          <w:noProof/>
          <w:sz w:val="28"/>
          <w:szCs w:val="28"/>
          <w:lang w:val="uk-UA"/>
        </w:rPr>
      </w:pPr>
      <w:r w:rsidRPr="00C83932">
        <w:rPr>
          <w:noProof/>
          <w:sz w:val="28"/>
          <w:szCs w:val="28"/>
          <w:lang w:val="uk-UA"/>
        </w:rPr>
        <w:t>урахування рівня керованості та факторів ресурсного забезпечення при створенні підрозділів та розмежуванні їх повноважень;</w:t>
      </w:r>
    </w:p>
    <w:p w14:paraId="60B989FC" w14:textId="07C7033F" w:rsidR="00BC21C3" w:rsidRPr="00C83932" w:rsidRDefault="00BC21C3" w:rsidP="00C83932">
      <w:pPr>
        <w:pStyle w:val="a3"/>
        <w:numPr>
          <w:ilvl w:val="0"/>
          <w:numId w:val="21"/>
        </w:numPr>
        <w:shd w:val="clear" w:color="auto" w:fill="FFFFFF"/>
        <w:spacing w:line="360" w:lineRule="auto"/>
        <w:jc w:val="both"/>
        <w:rPr>
          <w:noProof/>
          <w:sz w:val="28"/>
          <w:szCs w:val="28"/>
          <w:lang w:val="uk-UA"/>
        </w:rPr>
      </w:pPr>
      <w:r w:rsidRPr="00C83932">
        <w:rPr>
          <w:noProof/>
          <w:sz w:val="28"/>
          <w:szCs w:val="28"/>
          <w:lang w:val="uk-UA"/>
        </w:rPr>
        <w:lastRenderedPageBreak/>
        <w:t>розробка оптимальних схем делегування повноважень за рівнями ієрархії;</w:t>
      </w:r>
    </w:p>
    <w:p w14:paraId="48EF75DE" w14:textId="78D44673" w:rsidR="00BC21C3" w:rsidRPr="00C83932" w:rsidRDefault="00BC21C3" w:rsidP="00C83932">
      <w:pPr>
        <w:pStyle w:val="a3"/>
        <w:numPr>
          <w:ilvl w:val="0"/>
          <w:numId w:val="21"/>
        </w:numPr>
        <w:shd w:val="clear" w:color="auto" w:fill="FFFFFF"/>
        <w:spacing w:line="360" w:lineRule="auto"/>
        <w:jc w:val="both"/>
        <w:rPr>
          <w:noProof/>
          <w:sz w:val="28"/>
          <w:szCs w:val="28"/>
          <w:lang w:val="uk-UA"/>
        </w:rPr>
      </w:pPr>
      <w:r w:rsidRPr="00C83932">
        <w:rPr>
          <w:noProof/>
          <w:sz w:val="28"/>
          <w:szCs w:val="28"/>
          <w:lang w:val="uk-UA"/>
        </w:rPr>
        <w:t>розмежування збалансованих повноважень і відповідальності органів влади щодо забезпечення державних та громадських послуг;</w:t>
      </w:r>
    </w:p>
    <w:p w14:paraId="2589A004" w14:textId="029F9D52" w:rsidR="00BC21C3" w:rsidRPr="00C83932" w:rsidRDefault="00BC21C3" w:rsidP="00C83932">
      <w:pPr>
        <w:pStyle w:val="a3"/>
        <w:numPr>
          <w:ilvl w:val="0"/>
          <w:numId w:val="21"/>
        </w:numPr>
        <w:shd w:val="clear" w:color="auto" w:fill="FFFFFF"/>
        <w:spacing w:line="360" w:lineRule="auto"/>
        <w:jc w:val="both"/>
        <w:rPr>
          <w:noProof/>
          <w:sz w:val="28"/>
          <w:szCs w:val="28"/>
          <w:lang w:val="uk-UA"/>
        </w:rPr>
      </w:pPr>
      <w:r w:rsidRPr="00C83932">
        <w:rPr>
          <w:noProof/>
          <w:sz w:val="28"/>
          <w:szCs w:val="28"/>
          <w:lang w:val="uk-UA"/>
        </w:rPr>
        <w:t>розробка і впровадження сучасних організаційних регламентів та управлінських процедур.</w:t>
      </w:r>
    </w:p>
    <w:p w14:paraId="2BCC6F2E"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Технічне забезпечення управління:</w:t>
      </w:r>
    </w:p>
    <w:p w14:paraId="5CD1F440" w14:textId="406309DD"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визначення потреб щодо технічного забезпечення управління;</w:t>
      </w:r>
    </w:p>
    <w:p w14:paraId="7D943275" w14:textId="327E2A2C"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формування сучасної технічної бази здійснення управлінського впливу;</w:t>
      </w:r>
    </w:p>
    <w:p w14:paraId="3960B255" w14:textId="2D249E05"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збереження, обслуговування та ремонт управлінської техніки;</w:t>
      </w:r>
    </w:p>
    <w:p w14:paraId="4DA63C39" w14:textId="70CEFCF5"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своєчасне оновлення технічних засобів;</w:t>
      </w:r>
    </w:p>
    <w:p w14:paraId="7D612C46" w14:textId="4FCB265C"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застосування сучасної технології управління;</w:t>
      </w:r>
    </w:p>
    <w:p w14:paraId="13EC63E8" w14:textId="3F8B6BDE" w:rsidR="00BC21C3" w:rsidRPr="00C83932" w:rsidRDefault="00BC21C3" w:rsidP="00C83932">
      <w:pPr>
        <w:pStyle w:val="a3"/>
        <w:numPr>
          <w:ilvl w:val="0"/>
          <w:numId w:val="22"/>
        </w:numPr>
        <w:shd w:val="clear" w:color="auto" w:fill="FFFFFF"/>
        <w:spacing w:line="360" w:lineRule="auto"/>
        <w:jc w:val="both"/>
        <w:rPr>
          <w:noProof/>
          <w:sz w:val="28"/>
          <w:szCs w:val="28"/>
          <w:lang w:val="uk-UA"/>
        </w:rPr>
      </w:pPr>
      <w:r w:rsidRPr="00C83932">
        <w:rPr>
          <w:noProof/>
          <w:sz w:val="28"/>
          <w:szCs w:val="28"/>
          <w:lang w:val="uk-UA"/>
        </w:rPr>
        <w:t>розробка нової технології.</w:t>
      </w:r>
    </w:p>
    <w:p w14:paraId="6EC1731A"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rStyle w:val="a9"/>
          <w:b w:val="0"/>
          <w:bCs w:val="0"/>
          <w:noProof/>
          <w:sz w:val="28"/>
          <w:szCs w:val="28"/>
          <w:lang w:val="uk-UA"/>
        </w:rPr>
        <w:t>Формування бюджету:</w:t>
      </w:r>
    </w:p>
    <w:p w14:paraId="0E6992A7" w14:textId="62B5F252" w:rsidR="00BC21C3" w:rsidRPr="00C83932" w:rsidRDefault="00BC21C3" w:rsidP="00C83932">
      <w:pPr>
        <w:pStyle w:val="a3"/>
        <w:numPr>
          <w:ilvl w:val="0"/>
          <w:numId w:val="23"/>
        </w:numPr>
        <w:shd w:val="clear" w:color="auto" w:fill="FFFFFF"/>
        <w:spacing w:line="360" w:lineRule="auto"/>
        <w:jc w:val="both"/>
        <w:rPr>
          <w:noProof/>
          <w:sz w:val="28"/>
          <w:szCs w:val="28"/>
          <w:lang w:val="uk-UA"/>
        </w:rPr>
      </w:pPr>
      <w:r w:rsidRPr="00C83932">
        <w:rPr>
          <w:noProof/>
          <w:sz w:val="28"/>
          <w:szCs w:val="28"/>
          <w:lang w:val="uk-UA"/>
        </w:rPr>
        <w:t>формування пропозицій щодо доходної та витратної частин бюджету</w:t>
      </w:r>
    </w:p>
    <w:p w14:paraId="032BBADB" w14:textId="791E2959" w:rsidR="00BC21C3" w:rsidRPr="00C83932" w:rsidRDefault="00BC21C3" w:rsidP="00C83932">
      <w:pPr>
        <w:pStyle w:val="a3"/>
        <w:numPr>
          <w:ilvl w:val="0"/>
          <w:numId w:val="23"/>
        </w:numPr>
        <w:shd w:val="clear" w:color="auto" w:fill="FFFFFF"/>
        <w:spacing w:line="360" w:lineRule="auto"/>
        <w:jc w:val="both"/>
        <w:rPr>
          <w:noProof/>
          <w:sz w:val="28"/>
          <w:szCs w:val="28"/>
          <w:lang w:val="uk-UA"/>
        </w:rPr>
      </w:pPr>
      <w:r w:rsidRPr="00C83932">
        <w:rPr>
          <w:noProof/>
          <w:sz w:val="28"/>
          <w:szCs w:val="28"/>
          <w:lang w:val="uk-UA"/>
        </w:rPr>
        <w:t>підготовка бюджетних рішень;</w:t>
      </w:r>
    </w:p>
    <w:p w14:paraId="3FAC2126" w14:textId="15253B50" w:rsidR="00BC21C3" w:rsidRPr="00C83932" w:rsidRDefault="00BC21C3" w:rsidP="00C83932">
      <w:pPr>
        <w:pStyle w:val="a3"/>
        <w:numPr>
          <w:ilvl w:val="0"/>
          <w:numId w:val="23"/>
        </w:numPr>
        <w:shd w:val="clear" w:color="auto" w:fill="FFFFFF"/>
        <w:spacing w:line="360" w:lineRule="auto"/>
        <w:jc w:val="both"/>
        <w:rPr>
          <w:noProof/>
          <w:sz w:val="28"/>
          <w:szCs w:val="28"/>
          <w:lang w:val="uk-UA"/>
        </w:rPr>
      </w:pPr>
      <w:r w:rsidRPr="00C83932">
        <w:rPr>
          <w:noProof/>
          <w:sz w:val="28"/>
          <w:szCs w:val="28"/>
          <w:lang w:val="uk-UA"/>
        </w:rPr>
        <w:t>розробка процедур підвищення якості бюджетного процесу;</w:t>
      </w:r>
    </w:p>
    <w:p w14:paraId="4980947C" w14:textId="506128D4" w:rsidR="00BC21C3" w:rsidRPr="00C83932" w:rsidRDefault="00BC21C3" w:rsidP="00C83932">
      <w:pPr>
        <w:pStyle w:val="a3"/>
        <w:numPr>
          <w:ilvl w:val="0"/>
          <w:numId w:val="23"/>
        </w:numPr>
        <w:shd w:val="clear" w:color="auto" w:fill="FFFFFF"/>
        <w:spacing w:line="360" w:lineRule="auto"/>
        <w:jc w:val="both"/>
        <w:rPr>
          <w:noProof/>
          <w:sz w:val="28"/>
          <w:szCs w:val="28"/>
          <w:lang w:val="uk-UA"/>
        </w:rPr>
      </w:pPr>
      <w:r w:rsidRPr="00C83932">
        <w:rPr>
          <w:noProof/>
          <w:sz w:val="28"/>
          <w:szCs w:val="28"/>
          <w:lang w:val="uk-UA"/>
        </w:rPr>
        <w:t>регулювання бюджетного процесу.</w:t>
      </w:r>
    </w:p>
    <w:p w14:paraId="64CD362E"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Юридичне забезпечення</w:t>
      </w:r>
      <w:r w:rsidRPr="00C83932">
        <w:rPr>
          <w:rStyle w:val="a9"/>
          <w:b w:val="0"/>
          <w:bCs w:val="0"/>
          <w:noProof/>
          <w:sz w:val="28"/>
          <w:szCs w:val="28"/>
          <w:lang w:val="uk-UA"/>
        </w:rPr>
        <w:t>:</w:t>
      </w:r>
    </w:p>
    <w:p w14:paraId="2FA47A73" w14:textId="3A6832C5"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прийняття легітимних законодавчих актів;</w:t>
      </w:r>
    </w:p>
    <w:p w14:paraId="53FA4B4B" w14:textId="4A707CAB"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забезпечення якості правового регулювання;</w:t>
      </w:r>
    </w:p>
    <w:p w14:paraId="44275AF5" w14:textId="586B8270"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запобігання порушенням вимог законності в роботі органів влади;</w:t>
      </w:r>
    </w:p>
    <w:p w14:paraId="34D93342" w14:textId="2F77E61E"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недопущення проявів бюрократизму та корупції в діяльності владних структур;</w:t>
      </w:r>
    </w:p>
    <w:p w14:paraId="0B90450B" w14:textId="25C3E82A"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правове регулювання відносин між гілками влади;</w:t>
      </w:r>
    </w:p>
    <w:p w14:paraId="38B57736" w14:textId="67AE4FDF" w:rsidR="00BC21C3" w:rsidRPr="00C83932" w:rsidRDefault="00BC21C3" w:rsidP="00C83932">
      <w:pPr>
        <w:pStyle w:val="a3"/>
        <w:numPr>
          <w:ilvl w:val="0"/>
          <w:numId w:val="24"/>
        </w:numPr>
        <w:shd w:val="clear" w:color="auto" w:fill="FFFFFF"/>
        <w:spacing w:line="360" w:lineRule="auto"/>
        <w:jc w:val="both"/>
        <w:rPr>
          <w:noProof/>
          <w:sz w:val="28"/>
          <w:szCs w:val="28"/>
          <w:lang w:val="uk-UA"/>
        </w:rPr>
      </w:pPr>
      <w:r w:rsidRPr="00C83932">
        <w:rPr>
          <w:noProof/>
          <w:sz w:val="28"/>
          <w:szCs w:val="28"/>
          <w:lang w:val="uk-UA"/>
        </w:rPr>
        <w:t>здійснення діяльності, пов’язаної із судовими позовами.</w:t>
      </w:r>
    </w:p>
    <w:p w14:paraId="24AB1FA5"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lastRenderedPageBreak/>
        <w:t>Діловодство</w:t>
      </w:r>
      <w:r w:rsidRPr="00C83932">
        <w:rPr>
          <w:rStyle w:val="a9"/>
          <w:b w:val="0"/>
          <w:bCs w:val="0"/>
          <w:noProof/>
          <w:sz w:val="28"/>
          <w:szCs w:val="28"/>
          <w:lang w:val="uk-UA"/>
        </w:rPr>
        <w:t>:</w:t>
      </w:r>
    </w:p>
    <w:p w14:paraId="53E9CC4A" w14:textId="253B1C31"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фіксація управлінських дій, створення документів за встановленими правилами на паперових або магнітних носіях;</w:t>
      </w:r>
    </w:p>
    <w:p w14:paraId="4B4F1A6F" w14:textId="67B55924"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зберігання документації, що стосується основних напрямів і процедур роботи органів публічного управління та прийняття рішень;</w:t>
      </w:r>
    </w:p>
    <w:p w14:paraId="34B5EF37" w14:textId="3329B603"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регламентування порядку роботи з документами від моменту їх створення (надходження) до відправлення (передачі в архів);</w:t>
      </w:r>
    </w:p>
    <w:p w14:paraId="42A6D11F" w14:textId="62385533"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впровадження комп’ютерних технологій опрацювання документальної інформації відповідно до вимог державних стандартів та відповідних інструкцій;</w:t>
      </w:r>
    </w:p>
    <w:p w14:paraId="14B15853" w14:textId="262963A4"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дотримання термінів діловодства та зберігання документів;</w:t>
      </w:r>
    </w:p>
    <w:p w14:paraId="72961542" w14:textId="1CE04373" w:rsidR="00BC21C3" w:rsidRPr="00C83932" w:rsidRDefault="00BC21C3" w:rsidP="00C83932">
      <w:pPr>
        <w:pStyle w:val="a3"/>
        <w:numPr>
          <w:ilvl w:val="0"/>
          <w:numId w:val="25"/>
        </w:numPr>
        <w:shd w:val="clear" w:color="auto" w:fill="FFFFFF"/>
        <w:spacing w:line="360" w:lineRule="auto"/>
        <w:jc w:val="both"/>
        <w:rPr>
          <w:noProof/>
          <w:sz w:val="28"/>
          <w:szCs w:val="28"/>
          <w:lang w:val="uk-UA"/>
        </w:rPr>
      </w:pPr>
      <w:r w:rsidRPr="00C83932">
        <w:rPr>
          <w:noProof/>
          <w:sz w:val="28"/>
          <w:szCs w:val="28"/>
          <w:lang w:val="uk-UA"/>
        </w:rPr>
        <w:t>організаційно-методичне забезпечення роботи з документами у структурних підрозділах.</w:t>
      </w:r>
    </w:p>
    <w:p w14:paraId="02BA6C28"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rStyle w:val="a9"/>
          <w:b w:val="0"/>
          <w:bCs w:val="0"/>
          <w:noProof/>
          <w:sz w:val="28"/>
          <w:szCs w:val="28"/>
          <w:lang w:val="uk-UA"/>
        </w:rPr>
        <w:t>Контроль та аудит:</w:t>
      </w:r>
    </w:p>
    <w:p w14:paraId="44D3F2A7" w14:textId="62886772"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визначення об’єкта та предмета контролю;</w:t>
      </w:r>
    </w:p>
    <w:p w14:paraId="1210CC63" w14:textId="25F563FF"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складання правил та регламентів проведення контролю;</w:t>
      </w:r>
    </w:p>
    <w:p w14:paraId="297DA2AC" w14:textId="5209F079"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одержання та співставлення інформації з різних джерел;</w:t>
      </w:r>
    </w:p>
    <w:p w14:paraId="53D65682" w14:textId="625B2CB2"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прийняття рішень за підсумками контролю;</w:t>
      </w:r>
    </w:p>
    <w:p w14:paraId="60C191A4" w14:textId="5ECE813A"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доведення рішень до адресата, а в разі необхідності – до громадських та правоохоронних органів;</w:t>
      </w:r>
    </w:p>
    <w:p w14:paraId="7CFD274D" w14:textId="334082BC"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надання допомоги підконтрольним структурам у наведенні порядку;</w:t>
      </w:r>
    </w:p>
    <w:p w14:paraId="16D9B64D" w14:textId="4CE43904"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сприяння недопущенню помилок в подальшій роботі;</w:t>
      </w:r>
    </w:p>
    <w:p w14:paraId="39336F3B" w14:textId="6A6C3CAC" w:rsidR="00BC21C3" w:rsidRPr="00C83932" w:rsidRDefault="00BC21C3" w:rsidP="00C83932">
      <w:pPr>
        <w:pStyle w:val="a3"/>
        <w:numPr>
          <w:ilvl w:val="0"/>
          <w:numId w:val="26"/>
        </w:numPr>
        <w:shd w:val="clear" w:color="auto" w:fill="FFFFFF"/>
        <w:spacing w:line="360" w:lineRule="auto"/>
        <w:jc w:val="both"/>
        <w:rPr>
          <w:noProof/>
          <w:sz w:val="28"/>
          <w:szCs w:val="28"/>
          <w:lang w:val="uk-UA"/>
        </w:rPr>
      </w:pPr>
      <w:r w:rsidRPr="00C83932">
        <w:rPr>
          <w:noProof/>
          <w:sz w:val="28"/>
          <w:szCs w:val="28"/>
          <w:lang w:val="uk-UA"/>
        </w:rPr>
        <w:t>запровадження аудиту при встановленні реального становища з проблемних питань.</w:t>
      </w:r>
    </w:p>
    <w:p w14:paraId="053EFA50" w14:textId="77777777" w:rsidR="00BC21C3" w:rsidRPr="00C83932" w:rsidRDefault="00BC21C3" w:rsidP="00C83932">
      <w:pPr>
        <w:pStyle w:val="a3"/>
        <w:shd w:val="clear" w:color="auto" w:fill="FFFFFF"/>
        <w:spacing w:line="360" w:lineRule="auto"/>
        <w:ind w:firstLine="720"/>
        <w:jc w:val="both"/>
        <w:rPr>
          <w:noProof/>
          <w:sz w:val="28"/>
          <w:szCs w:val="28"/>
          <w:lang w:val="uk-UA"/>
        </w:rPr>
      </w:pPr>
      <w:r w:rsidRPr="00C83932">
        <w:rPr>
          <w:noProof/>
          <w:sz w:val="28"/>
          <w:szCs w:val="28"/>
          <w:lang w:val="uk-UA"/>
        </w:rPr>
        <w:t>Інформаційне забезпечення та зв’язки з громадськістю:</w:t>
      </w:r>
    </w:p>
    <w:p w14:paraId="5C15744D" w14:textId="556073BE"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lastRenderedPageBreak/>
        <w:t>формування вертикальної та горизонтальної мережі прийняття та поширення інформації;</w:t>
      </w:r>
    </w:p>
    <w:p w14:paraId="3E1B9261" w14:textId="70451105"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t>забезпечення релевантності інформації при прийнятті рішень;</w:t>
      </w:r>
    </w:p>
    <w:p w14:paraId="42CB5600" w14:textId="24AAD438"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t>спрощення адміністративних процедур одержання інформації щодо діяльності органу управління;</w:t>
      </w:r>
    </w:p>
    <w:p w14:paraId="0DAF11C6" w14:textId="489C354B"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t>забезпечення прозорості у діяльності органу влади;</w:t>
      </w:r>
    </w:p>
    <w:p w14:paraId="10498F42" w14:textId="2BB56CFE"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t>створення каналів постійного обміну інформацією з громадськими організаціями та громадянами.</w:t>
      </w:r>
    </w:p>
    <w:p w14:paraId="34B97506" w14:textId="2F8BAD26" w:rsidR="00BC21C3" w:rsidRPr="00C83932" w:rsidRDefault="00BC21C3" w:rsidP="00C83932">
      <w:pPr>
        <w:pStyle w:val="a3"/>
        <w:numPr>
          <w:ilvl w:val="0"/>
          <w:numId w:val="27"/>
        </w:numPr>
        <w:shd w:val="clear" w:color="auto" w:fill="FFFFFF"/>
        <w:spacing w:line="360" w:lineRule="auto"/>
        <w:jc w:val="both"/>
        <w:rPr>
          <w:noProof/>
          <w:sz w:val="28"/>
          <w:szCs w:val="28"/>
          <w:lang w:val="uk-UA"/>
        </w:rPr>
      </w:pPr>
      <w:r w:rsidRPr="00C83932">
        <w:rPr>
          <w:noProof/>
          <w:sz w:val="28"/>
          <w:szCs w:val="28"/>
          <w:lang w:val="uk-UA"/>
        </w:rPr>
        <w:t>кваліфікації.</w:t>
      </w:r>
    </w:p>
    <w:p w14:paraId="0394C025" w14:textId="59E0BF01" w:rsidR="008B2A24" w:rsidRPr="00C83932" w:rsidRDefault="008B2A24" w:rsidP="00C83932">
      <w:p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br w:type="page"/>
      </w:r>
    </w:p>
    <w:p w14:paraId="15F040D4" w14:textId="77777777" w:rsidR="008B2A24" w:rsidRPr="00C83932" w:rsidRDefault="008B2A24"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Висновки до розділу 1.</w:t>
      </w:r>
    </w:p>
    <w:p w14:paraId="1E0C7FE7" w14:textId="3CF3C947" w:rsidR="00BC21C3" w:rsidRPr="00C83932" w:rsidRDefault="00BC21C3" w:rsidP="00C83932">
      <w:pPr>
        <w:spacing w:line="360" w:lineRule="auto"/>
        <w:jc w:val="both"/>
        <w:rPr>
          <w:rFonts w:ascii="Times New Roman" w:hAnsi="Times New Roman" w:cs="Times New Roman"/>
          <w:noProof/>
          <w:sz w:val="28"/>
          <w:szCs w:val="28"/>
          <w:lang w:val="uk-UA"/>
        </w:rPr>
      </w:pPr>
    </w:p>
    <w:p w14:paraId="69B7E4BC" w14:textId="77777777"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Отже, саме класична модель управління у державному секторі набуває визнання в Україні, де й досі використовується термін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державне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який не є точним відповідником терміна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та за своїм значенням є ближчим до терміна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адміністрування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p>
    <w:p w14:paraId="11257F16" w14:textId="6B4A1C94"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Дуже часто два різних терміни public administration (публічне адміністрування) та public management (публічне управління) перекладаються з англійської мови на українську як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державне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Вважається, що основними рисами державного управління є його владний характер, витоками якого є державна воля та поширеність на все суспільство [</w:t>
      </w:r>
      <w:r w:rsidR="00895F8F" w:rsidRPr="00C83932">
        <w:rPr>
          <w:rFonts w:ascii="Times New Roman" w:hAnsi="Times New Roman" w:cs="Times New Roman"/>
          <w:noProof/>
          <w:sz w:val="28"/>
          <w:szCs w:val="28"/>
          <w:lang w:val="uk-UA"/>
        </w:rPr>
        <w:t>19</w:t>
      </w:r>
      <w:r w:rsidRPr="00C83932">
        <w:rPr>
          <w:rFonts w:ascii="Times New Roman" w:hAnsi="Times New Roman" w:cs="Times New Roman"/>
          <w:noProof/>
          <w:sz w:val="28"/>
          <w:szCs w:val="28"/>
        </w:rPr>
        <w:t xml:space="preserve">, c. 11]. </w:t>
      </w:r>
    </w:p>
    <w:p w14:paraId="61B2492F" w14:textId="77777777"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Трактування державного управління як владного впливу держави на суспільну систему є найкращою ілюстрацією того, як в Україні сприймається та розуміється значення терміна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державне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Ключовим аспектом державного управління є держава, у той час як ключовим аспектом публічного управління є народ. </w:t>
      </w:r>
    </w:p>
    <w:p w14:paraId="38B0F970" w14:textId="04A371F4"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Зважаючи на те, що управління будь-якою організацією (підприємством, неприбутковою організацією чи державною установою) в умовах ринкової економіки та демократії здійснюється інакше, ніж в умовах централізованої командноадміністративної системи, державне управління як вид діяльності також мало б видозмінюватися. Звернемося до визначення державного управління, яке подає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Енциклопедичний словник з державного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що був опублікований у 2010 р.: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Державне управління – діяльність держави (органів державної влади), спрямована на створення умов для якнайповнішої реалізації функцій держави, основних прав і свобод громадян, узгодження різноманітних груп інтересів у суспільстві та між</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державою і суспільством, забезпечення суспільного розвитку відповідними ресурсами</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895F8F" w:rsidRPr="00C83932">
        <w:rPr>
          <w:rFonts w:ascii="Times New Roman" w:hAnsi="Times New Roman" w:cs="Times New Roman"/>
          <w:noProof/>
          <w:sz w:val="28"/>
          <w:szCs w:val="28"/>
          <w:lang w:val="uk-UA"/>
        </w:rPr>
        <w:t>20</w:t>
      </w:r>
      <w:r w:rsidRPr="00C83932">
        <w:rPr>
          <w:rFonts w:ascii="Times New Roman" w:hAnsi="Times New Roman" w:cs="Times New Roman"/>
          <w:noProof/>
          <w:sz w:val="28"/>
          <w:szCs w:val="28"/>
        </w:rPr>
        <w:t xml:space="preserve">, c. 150]. </w:t>
      </w:r>
    </w:p>
    <w:p w14:paraId="42A59AF6" w14:textId="05F86234"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 xml:space="preserve">Сьогоднішнє розуміння сутності державного управління деякими українськими вченими є досить наближеним до розуміння сутності публічного управління. Доктор наук з державного управління В.Д.Бакуменко стверджує, що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розуміння сутності державного управління зазнало еволюції внаслідок розвитку демократії та громадянського суспільства у світі та зокрема в Україні. Відтак сьогодні аспект взаємодії держави і громадянського суспільства в державному управлінні є дуже важливим на відміну від традиційного бачення державного управління як організуючого і регулюючого впливу держави на суспільну життєдіяльність людей з метою її упорядкування, зберігання або перетворення, що спирається на її владну силу</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5C3F4B" w:rsidRPr="00C83932">
        <w:rPr>
          <w:rFonts w:ascii="Times New Roman" w:hAnsi="Times New Roman" w:cs="Times New Roman"/>
          <w:noProof/>
          <w:sz w:val="28"/>
          <w:szCs w:val="28"/>
          <w:lang w:val="uk-UA"/>
        </w:rPr>
        <w:t>25</w:t>
      </w:r>
      <w:r w:rsidRPr="00C83932">
        <w:rPr>
          <w:rFonts w:ascii="Times New Roman" w:hAnsi="Times New Roman" w:cs="Times New Roman"/>
          <w:noProof/>
          <w:sz w:val="28"/>
          <w:szCs w:val="28"/>
        </w:rPr>
        <w:t xml:space="preserve">, c. 150]. </w:t>
      </w:r>
    </w:p>
    <w:p w14:paraId="40D5A9C7" w14:textId="77777777"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Зважаючи на вищезазначене, можемо констатувати, що новий зміст, що вкладається у термін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державне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є наближеним до змісту, що вкладається у такий новий термін, як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управління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Еволюція менеджменту у державному секторі привела до появи таких нових понять, як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належне врядування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(good governance),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глобальне врядування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(global governance),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зайняте врядування</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(engaged governance) тощо. </w:t>
      </w:r>
    </w:p>
    <w:p w14:paraId="6F7D6E79" w14:textId="5FDF0BCF" w:rsidR="008B2A24" w:rsidRPr="00C83932" w:rsidRDefault="008B2A2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Перспективи подальших досліджень. Зазначені терміни потребують докладного вивчення в Україні та систематизації найкращих зарубіжних практик. Важливо, удосконалюючи впроваджені наукові досягнення у сфері державного управління, наслідувати найкращі зарубіжні тенденції та практики і сприяти розвитку науки публічного управління.</w:t>
      </w:r>
    </w:p>
    <w:p w14:paraId="1D747128" w14:textId="77777777" w:rsidR="00177013" w:rsidRPr="00C83932" w:rsidRDefault="0017701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w:t>
      </w:r>
      <w:r w:rsidR="008B2A24" w:rsidRPr="00C83932">
        <w:rPr>
          <w:rFonts w:ascii="Times New Roman" w:hAnsi="Times New Roman" w:cs="Times New Roman"/>
          <w:noProof/>
          <w:sz w:val="28"/>
          <w:szCs w:val="28"/>
        </w:rPr>
        <w:t>ублічн</w:t>
      </w:r>
      <w:r w:rsidRPr="00C83932">
        <w:rPr>
          <w:rFonts w:ascii="Times New Roman" w:hAnsi="Times New Roman" w:cs="Times New Roman"/>
          <w:noProof/>
          <w:sz w:val="28"/>
          <w:szCs w:val="28"/>
          <w:lang w:val="uk-UA"/>
        </w:rPr>
        <w:t xml:space="preserve">е управління </w:t>
      </w:r>
      <w:r w:rsidR="008B2A24" w:rsidRPr="00C83932">
        <w:rPr>
          <w:rFonts w:ascii="Times New Roman" w:hAnsi="Times New Roman" w:cs="Times New Roman"/>
          <w:noProof/>
          <w:sz w:val="28"/>
          <w:szCs w:val="28"/>
        </w:rPr>
        <w:t>виконує такі основні функції:</w:t>
      </w:r>
    </w:p>
    <w:p w14:paraId="1EF61CD7" w14:textId="77777777" w:rsidR="00177013" w:rsidRPr="00C83932" w:rsidRDefault="008B2A24" w:rsidP="00C83932">
      <w:pPr>
        <w:pStyle w:val="a4"/>
        <w:numPr>
          <w:ilvl w:val="0"/>
          <w:numId w:val="2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організаційна;</w:t>
      </w:r>
    </w:p>
    <w:p w14:paraId="6421B103" w14:textId="77777777" w:rsidR="00177013" w:rsidRPr="00C83932" w:rsidRDefault="008B2A24" w:rsidP="00C83932">
      <w:pPr>
        <w:pStyle w:val="a4"/>
        <w:numPr>
          <w:ilvl w:val="0"/>
          <w:numId w:val="2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контрольна; </w:t>
      </w:r>
    </w:p>
    <w:p w14:paraId="4E80F5BA" w14:textId="77777777" w:rsidR="00177013" w:rsidRPr="00C83932" w:rsidRDefault="008B2A24" w:rsidP="00C83932">
      <w:pPr>
        <w:pStyle w:val="a4"/>
        <w:numPr>
          <w:ilvl w:val="0"/>
          <w:numId w:val="2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захисту ринкових основ господарювання; </w:t>
      </w:r>
    </w:p>
    <w:p w14:paraId="0AD50036" w14:textId="6FB784F4" w:rsidR="008B2A24" w:rsidRPr="00C83932" w:rsidRDefault="008B2A24" w:rsidP="00C83932">
      <w:pPr>
        <w:pStyle w:val="a4"/>
        <w:numPr>
          <w:ilvl w:val="0"/>
          <w:numId w:val="28"/>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регулятивна.</w:t>
      </w:r>
    </w:p>
    <w:p w14:paraId="6E747AA6" w14:textId="5BBFD6BB" w:rsidR="00177013" w:rsidRPr="00C83932" w:rsidRDefault="00177013"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Організаційна функція включає нормотворчу діяльність. Контрольна функція включає в себе контроль за дотриманням правових норм і законодавства. Функція захисту спрямована на захист, недопущення та здійснення контролю. Зміст регулятивної функції полягає в тому, що публічна адміністрація для реалізації політики, виконання цільових та інших програм і програм розвитку застосовує різноманітні засоби і механізми регулювання.</w:t>
      </w:r>
    </w:p>
    <w:p w14:paraId="699DA32A" w14:textId="5F897D4A" w:rsidR="00CC35C5" w:rsidRPr="00C83932" w:rsidRDefault="00CC35C5" w:rsidP="00C83932">
      <w:p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br w:type="page"/>
      </w:r>
    </w:p>
    <w:p w14:paraId="492C8F11" w14:textId="77777777" w:rsidR="00CC35C5" w:rsidRPr="00C83932" w:rsidRDefault="00CC35C5"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РОЗДІЛ 2. ПУБЛІЧНЕ УПРАВЛІННЯ СФЕРОЮ ОСВІТИ.</w:t>
      </w:r>
    </w:p>
    <w:p w14:paraId="4D7959EA" w14:textId="77777777" w:rsidR="00CC35C5" w:rsidRPr="00C83932" w:rsidRDefault="00CC35C5"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2.1. Теоретико-методологічні засади державного управління у сфері освіти.</w:t>
      </w:r>
    </w:p>
    <w:p w14:paraId="38986377" w14:textId="437B3E93" w:rsidR="00CC35C5" w:rsidRPr="00C83932" w:rsidRDefault="00CC35C5" w:rsidP="00C83932">
      <w:pPr>
        <w:spacing w:line="360" w:lineRule="auto"/>
        <w:jc w:val="both"/>
        <w:rPr>
          <w:rFonts w:ascii="Times New Roman" w:hAnsi="Times New Roman" w:cs="Times New Roman"/>
          <w:noProof/>
          <w:sz w:val="28"/>
          <w:szCs w:val="28"/>
          <w:lang w:val="uk-UA"/>
        </w:rPr>
      </w:pPr>
    </w:p>
    <w:p w14:paraId="6A96D2D5" w14:textId="27259C99"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Забезпечити сталий розвиток системи освіти в Україні на даний час та у найближчий перспективі, на нашу думку, можливо, за умов застосування методології соціальної адекватності для розробки проблем, пов’язаних з управлінням в зазначеній сфері, що передбачає забезпечення відповідності певної моделі управління провідній меті розвитку управлінської системи. Це іманентна якість процесу управління, яка забезпечує домірність характеристик управлінської системи стану суспільства, рівню й тенденціям його розвитку [</w:t>
      </w:r>
      <w:r w:rsidR="005C3F4B" w:rsidRPr="00C83932">
        <w:rPr>
          <w:rFonts w:ascii="Times New Roman" w:hAnsi="Times New Roman" w:cs="Times New Roman"/>
          <w:noProof/>
          <w:sz w:val="28"/>
          <w:szCs w:val="28"/>
          <w:lang w:val="uk-UA"/>
        </w:rPr>
        <w:t>31, с. 57</w:t>
      </w:r>
      <w:r w:rsidRPr="00C83932">
        <w:rPr>
          <w:rFonts w:ascii="Times New Roman" w:hAnsi="Times New Roman" w:cs="Times New Roman"/>
          <w:noProof/>
          <w:sz w:val="28"/>
          <w:szCs w:val="28"/>
          <w:lang w:val="uk-UA"/>
        </w:rPr>
        <w:t>].</w:t>
      </w:r>
    </w:p>
    <w:p w14:paraId="68DE797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Для розуміння особливостей функціонування соціально-адекватного управління необхідно зосередитися на його основних принципах, дотримання яких дозволяє послідовно зорієнтувати управлінську систему стосовно надання їй ознак соціальної адекватності. Такими принципами виступають наступні. По-перше, принцип футуристичності. Він враховує, що середовище, у якому реалізується управління, змінюється й буде змінюватися. Це довгострокова орієнтація на перспективу, при якій очікуються якісь нові події, до них готуються, а не лише реагують на них після того, як вони сталися.</w:t>
      </w:r>
    </w:p>
    <w:p w14:paraId="771AF59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По-друге, принцип урахування зовнішніх впливів на зміст управління.</w:t>
      </w:r>
      <w:r w:rsidR="00B078B3"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Виходячи з системних уявлень про управління, необхідне врахування факту існування інших систем у зовнішньому середовищі.</w:t>
      </w:r>
    </w:p>
    <w:p w14:paraId="420345D5"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По-третє, принцип оперативності управління, за яким, соціально-адекватне управління за своєю сутністю зосереджується на вчасному забезпеченні щільного зв’язку між середовищем і організацією, прагне передбачити необхідне для ефективного, соціальне виправданого існування останньої.</w:t>
      </w:r>
    </w:p>
    <w:p w14:paraId="264BF3B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lastRenderedPageBreak/>
        <w:t>По-четверте, принцип процесуальності</w:t>
      </w:r>
      <w:r w:rsidRPr="00C83932">
        <w:rPr>
          <w:rFonts w:ascii="Times New Roman" w:hAnsi="Times New Roman" w:cs="Times New Roman"/>
          <w:i/>
          <w:iCs/>
          <w:noProof/>
          <w:sz w:val="28"/>
          <w:szCs w:val="28"/>
          <w:lang w:val="uk-UA"/>
        </w:rPr>
        <w:t>.</w:t>
      </w:r>
      <w:r w:rsidR="00B078B3"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Соціально-адекватне управління має свій процесуальний бік, а тому певну протяжність у часі зайняттям його атрибутами відповідної частини управлінського простору. З урахуванням цього методологія адекватності соціальним змінам передбачає функціонування механізмів моніторингу за різними напрямками діяльності системи з метою відстеження існуючої динаміки розвитку, аналізу, перегляду і поточного коригування. Разом з тим, зорієнтованість системи на досягнення соціальної адекватності не може вважатися короткочасною кампанією.</w:t>
      </w:r>
    </w:p>
    <w:p w14:paraId="139AAF64"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Резюмуючи викладене щодо змісту соціально-адекватного управління, слід вказати на необхідність його розгляду і як способу мислення відносно впровадження змін в стратегії і тактиці освітньої системи. При цьому потрібно акцентувати увагу на тому, що у разі прагнення освітньої організації до довготермінової й ефективної діяльності постійна зорієнтованість на досягнення соціальної адекватності має бути визнана одним із стрижневих моментів управлінської політики.</w:t>
      </w:r>
    </w:p>
    <w:p w14:paraId="643E04FA"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Управління освітою як складною соціальною системою може бути адекватним тільки у випадку органічного урахування притаманної суспільству сукупності норм і цінностей, які виступають у ролі критеріїв адекватності. Виходячи із системних уявлень про управління, зокрема освітньою системою, доцільно розглядати його як рівневе утворення. У такому випадку зміст соціально-адекватного управління може бути реалізований на таких рівнях системи:макросоціальний; мікросоціальний; особистісний. Вказані рівні органічно пов’язані між собою, що зумовлює необхідність окремого розгляду кожного з них.</w:t>
      </w:r>
    </w:p>
    <w:p w14:paraId="129FF704"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Макрорівень у соціально-адекватному управлінні системою освіти передбачає управління її розвитком у масштабах суспільства. Його зміст на даному рівні насамперед повинен бути зумовлений постановкою цілей, що забезпечують захист інтересів суспільства, його розвиток, реалізацію його найважливіших потреб.</w:t>
      </w:r>
    </w:p>
    <w:p w14:paraId="2E4967C7"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lastRenderedPageBreak/>
        <w:t>На даному рівні критерієм соціальної адекватності управління може бути визнана ступінь відкритості соціальної структури. Системи управління відкритих соціальних структур, якщо вони характеризуються як соціально-адекватні, широко застосовують у своїй практиці зв’язки з громадськістю.</w:t>
      </w:r>
    </w:p>
    <w:p w14:paraId="40FA6F6F" w14:textId="3B395815"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Як новий, вельми специфічний феномен сучасного суспільства</w:t>
      </w:r>
      <w:r w:rsidR="00B078B3"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«паблік рилейшнз» створює принципово нові можливості інформаційного контролю й підвищує ефективність інформаційного впливу на перебіг подій в освітянській галузі. РR – «паблік рилейшнз» (від англ. Public relations) - це спеціалізована діяльність відповідних підрозділів державних, корпоративних, політичних, суспільних, економічних та інших структур, спрямована на посилення відкритості, взаємної поінформованості та створення відчуття взаємозалежності між структурами, що здійснюють РR, й суспільством, населенням, групами людей, на яких спрямована ця діяльність [</w:t>
      </w:r>
      <w:r w:rsidR="005C3F4B" w:rsidRPr="00C83932">
        <w:rPr>
          <w:rFonts w:ascii="Times New Roman" w:hAnsi="Times New Roman" w:cs="Times New Roman"/>
          <w:noProof/>
          <w:sz w:val="28"/>
          <w:szCs w:val="28"/>
          <w:lang w:val="uk-UA"/>
        </w:rPr>
        <w:t>36, с. 57</w:t>
      </w:r>
      <w:r w:rsidRPr="00C83932">
        <w:rPr>
          <w:rFonts w:ascii="Times New Roman" w:hAnsi="Times New Roman" w:cs="Times New Roman"/>
          <w:noProof/>
          <w:sz w:val="28"/>
          <w:szCs w:val="28"/>
          <w:lang w:val="uk-UA"/>
        </w:rPr>
        <w:t>].</w:t>
      </w:r>
    </w:p>
    <w:p w14:paraId="7A09348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Для спеціалізованих й цілеспрямованих зусиль у сфері управління освітою, на нашу думку, доцільно створити відповідні структури, які будуть сприяти досягненню взаємопорозуміння між організаціями, установами, громадськістю з питань освіти, підвищенню відкритості й прозорості діяльності освітньої системи для суспільства, що слугуватиме забезпеченню умов для виявлення спільних інтересів, уявлень, проблем й досягнення взаємопорозуміння, заснованого на своєчасній і вичерпній інформації.</w:t>
      </w:r>
    </w:p>
    <w:p w14:paraId="569F9E41"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На мікрорівні соціально-адекватне управління спрямовується на пошук можливостей зняття суперечностей між новим змістом діяльності освітньої системи й старими її організаційними формами, що у свою чергу має забезпечити конкурентоспроможність освітнього закладу, усунення утруднень щодо реалізації особистісних можливостей, фахового потенціалу працівників, а також сприяти їх соціальному захисту.</w:t>
      </w:r>
    </w:p>
    <w:p w14:paraId="1DE52CA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 xml:space="preserve">На особистісному рівні соціальна адекватність виражається, насамперед, його соціально-адекватним мисленням на основі отриманої </w:t>
      </w:r>
      <w:r w:rsidRPr="00C83932">
        <w:rPr>
          <w:rFonts w:ascii="Times New Roman" w:hAnsi="Times New Roman" w:cs="Times New Roman"/>
          <w:noProof/>
          <w:sz w:val="28"/>
          <w:szCs w:val="28"/>
          <w:lang w:val="uk-UA"/>
        </w:rPr>
        <w:lastRenderedPageBreak/>
        <w:t>соціально-адекватної підготовки у вигляді фахових знань, умінь, навичок соціально-адекватної діяльності. Питання адекватності професійної підготовки особливо гостро постало перед керівниками освіти найрізноманітніших рангів. Їх наявні знання і професійні навички не адекватні сучасним вимогам до управлінської діяльності. Особливу увагу слід звернути на дефіцит управлінської культури.</w:t>
      </w:r>
    </w:p>
    <w:p w14:paraId="4F92F73F"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Подолання пов’язаних із ризиком некомпетентності керівників труднощів потрібно визнати однією з принципових основ соціальної адекватності діяльності сучасного спеціаліста-управлінця. На особистісному рівні вона повинна забезпечуватися такими професійно важливими якостями, які б дозволили керівнику реалізувати свій індивідуальний потенціал в управлінні, забезпечити управління конкретною організацією або власне собою, виходячи з наявних уявлень про соціальну адекватність. Для цього керівник будь-якого рівня має ставити перед собою такі завдання, які б вирішувалися лише у випадку збігу з загальними цілям і завданнями розвитку суспільства.</w:t>
      </w:r>
    </w:p>
    <w:p w14:paraId="1D6F3E85"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Слід звернути увагу на існування органічного зв’язку виділених рівнів управління. Це виявляється у тому, що керівник як особистість займається управлінською діяльністю, як на рівні окремо узятого підприємства (мікрорівень), так і на рівні галузі економіки, держави, суспільства у цілому.</w:t>
      </w:r>
    </w:p>
    <w:p w14:paraId="1044015C"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 xml:space="preserve">Соціальна адекватність розглядається також у контексті зв’язку, співвідношення соціальних інтересів людей (особистостей, груп, спільнот). Ці інтереси найчастіше суперечливі. У чомусь вони збігаються, а в чомусь ні, відбувається їх зіткнення, а часто вони носять антагоністичний характер. З урахуванням цих обставин, соціальна адекватність: на особистісному рівні може означати тільки адекватність інтересам окремих груп, спільнот; на мікро і макрорівнях – означати адекватність тому загальному, що поєднує інтереси багатьох людей або тому, що являють собою наслідки досягнутого консенсусу, компромісу, розумної, певної збалансованості цих інтересів. В умовах </w:t>
      </w:r>
      <w:r w:rsidRPr="00C83932">
        <w:rPr>
          <w:rFonts w:ascii="Times New Roman" w:hAnsi="Times New Roman" w:cs="Times New Roman"/>
          <w:noProof/>
          <w:sz w:val="28"/>
          <w:szCs w:val="28"/>
          <w:lang w:val="uk-UA"/>
        </w:rPr>
        <w:lastRenderedPageBreak/>
        <w:t>диференціації соціальних інтересів мистецтво досягнення соціальної адекватності складається з вміння знаходити загальні, об’єднуючі людей алгоритми діяльності і з уміння бачити,</w:t>
      </w:r>
      <w:r w:rsidR="00B078B3"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розуміти, усвідомлювати чіткі межі цього загального.</w:t>
      </w:r>
    </w:p>
    <w:p w14:paraId="34712605"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Важливою вимогою соціально-адекватного управління є відповідність застосовуваних методів основним механізмам реалізації владних відносин, будь-то в окремих організаціях або великих соціальних системах. Саме цілі, що переслідуються владними структурами, становлять важливу частину системи соціального управління й визначають характер отриманих результатів.</w:t>
      </w:r>
    </w:p>
    <w:p w14:paraId="363AFC6D" w14:textId="6A2D7EDB"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З цього приводу слід вказати, що головне змістовне начало влади полягає у можливості, яку має конкретний суб’єкт надавати або не надавати в розпорядження інших засоби та ресурси задоволення їх потреб. Влада – це притаманні суспільству й зумовлені його базисом вольові відносини між людьми, за яких застосування її носієм особливої системи заходів і методів забезпечує виявлення і домінування владної волі з метою управління і забезпечення соціальних норм на основі принципу соціальної відповідальності [</w:t>
      </w:r>
      <w:r w:rsidR="005C3F4B" w:rsidRPr="00C83932">
        <w:rPr>
          <w:rFonts w:ascii="Times New Roman" w:hAnsi="Times New Roman" w:cs="Times New Roman"/>
          <w:noProof/>
          <w:sz w:val="28"/>
          <w:szCs w:val="28"/>
          <w:lang w:val="uk-UA"/>
        </w:rPr>
        <w:t>48, с. 23</w:t>
      </w:r>
      <w:r w:rsidRPr="00C83932">
        <w:rPr>
          <w:rFonts w:ascii="Times New Roman" w:hAnsi="Times New Roman" w:cs="Times New Roman"/>
          <w:noProof/>
          <w:sz w:val="28"/>
          <w:szCs w:val="28"/>
          <w:lang w:val="uk-UA"/>
        </w:rPr>
        <w:t>].</w:t>
      </w:r>
    </w:p>
    <w:p w14:paraId="50E5619E" w14:textId="1596C9FD"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Влада може встановлюватися стихійно – через боротьбу різних сил, а може й свідомо – через побудову системи управлінських відносин. Управління, особливо державне, завжди є реалізацією суспільної влади. Влада виявляє себе як контрольована носіями панівних інтересів залежність між необхідністю і можливістю реалізації інтересів суб’єктів. Структурно вона містить у собі найважливіші елементи і панівний інтерес, що відбиває панівну волю, і засоби забезпечення цього панування. Примус як засіб забезпечення панівного інтересу і його панівної волі – обов’язкова ознака будь-якої влади</w:t>
      </w:r>
      <w:r w:rsidR="005C3F4B"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Форми влади й відповідні їм ресурси або джерела впливу мають адекватно використовуватися у залежності від рівневої специфіки владно-</w:t>
      </w:r>
      <w:r w:rsidRPr="00C83932">
        <w:rPr>
          <w:rFonts w:ascii="Times New Roman" w:hAnsi="Times New Roman" w:cs="Times New Roman"/>
          <w:noProof/>
          <w:sz w:val="28"/>
          <w:szCs w:val="28"/>
          <w:lang w:val="uk-UA"/>
        </w:rPr>
        <w:lastRenderedPageBreak/>
        <w:t>розпоряджувальної діяльності, яка складає основу державного управління освітою.</w:t>
      </w:r>
    </w:p>
    <w:p w14:paraId="6602A3EA" w14:textId="77777777" w:rsidR="00B078B3"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Завершуючи викладення провідних засад соціально-адекватного управління, вважаємо необхідним звернутися до розгляду менеджериальної спрямованості сучасного державного управління як основи становлення пост бюрократичної його системи, що пов’язане с подальшими розгортанням проблеми дослідження. Основні положення концепції соціально-адекватного менеджменту, на наш погляд, можуть стати методологічною базою для реалізації ідеї адміністративної реформації в освіті, спрямованої на глибоке й якісне перетворення існуючої в державі моделі управління зазначеною сферою.</w:t>
      </w:r>
    </w:p>
    <w:p w14:paraId="20B13EB0" w14:textId="55F0990F" w:rsidR="00155202"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Слід вказати, що адміністративні реформи менеджериальної спрямованості сьогодні активно ведуться в Великій Британії, Австралії, Новій Зеландії, Німеччині, Франції, Японії, Швеції, Греції, Іспанії та інших країнах світу. Вони спрямовані на перехід від адміністрування до менеджменту, зокрема створення автономних державних структур (агенцій), які мають більшу організаційну еластичність та орієнтацію на інновації [</w:t>
      </w:r>
      <w:r w:rsidR="005C3F4B" w:rsidRPr="00C83932">
        <w:rPr>
          <w:rFonts w:ascii="Times New Roman" w:hAnsi="Times New Roman" w:cs="Times New Roman"/>
          <w:noProof/>
          <w:sz w:val="28"/>
          <w:szCs w:val="28"/>
          <w:lang w:val="uk-UA"/>
        </w:rPr>
        <w:t>37, с. 113</w:t>
      </w:r>
      <w:r w:rsidRPr="00C83932">
        <w:rPr>
          <w:rFonts w:ascii="Times New Roman" w:hAnsi="Times New Roman" w:cs="Times New Roman"/>
          <w:noProof/>
          <w:sz w:val="28"/>
          <w:szCs w:val="28"/>
          <w:lang w:val="uk-UA"/>
        </w:rPr>
        <w:t>].</w:t>
      </w:r>
    </w:p>
    <w:p w14:paraId="68D0E7E0" w14:textId="77777777" w:rsidR="00155202"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Разом з цим потрібно звернути увагу на те, що менеджмент і державне управління є різними формами соціально-економічного управління, які не можна ототожнювати. Але існує й багато спільного у їх змісті, що вказує на доцільність і раціональність застосування напрацювань менеджменту в державному управлінні. Це ґрунтується на таких міркуваннях: по-перше, і менеджмент і державне управління функціонують у соціальних системах</w:t>
      </w:r>
      <w:r w:rsidR="00155202"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lang w:val="uk-UA"/>
        </w:rPr>
        <w:t xml:space="preserve">в яких людина майже завжди є не лише обов’язковим ресурсом, а й головним елементом, що особливо характерне для освіти; по-друге, функціональне навантаження, тобто управлінські функції, що здійснюються в державному управлінні та менеджменті, є схожими, а не рідко навіть ідентичними; по-третє, виходячи з усвідомлення необхідності інтеграції здобутків у </w:t>
      </w:r>
      <w:r w:rsidRPr="00C83932">
        <w:rPr>
          <w:rFonts w:ascii="Times New Roman" w:hAnsi="Times New Roman" w:cs="Times New Roman"/>
          <w:noProof/>
          <w:sz w:val="28"/>
          <w:szCs w:val="28"/>
          <w:lang w:val="uk-UA"/>
        </w:rPr>
        <w:lastRenderedPageBreak/>
        <w:t>соціальному управлінні в цілому, потрібно визначити, що менеджмент сприяє досягненню ефективності державного управління.</w:t>
      </w:r>
    </w:p>
    <w:p w14:paraId="10BBCB03" w14:textId="77777777" w:rsidR="00155202"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Отже, привнесення ідей концепції соціально-адекватного менеджменту в концептуальний масив державного управління освітою уявляється актуальним, таким, що відповідає трансформаційному контексту постіндустріального суспільства.</w:t>
      </w:r>
    </w:p>
    <w:p w14:paraId="58ED4A28" w14:textId="77777777" w:rsidR="00155202" w:rsidRPr="00C83932" w:rsidRDefault="00CC35C5"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На основі викладеного можна дійти висновку про те, що дотримання адекватності як основної характеристики високоефективної моделі управління освітою дає змогу: </w:t>
      </w:r>
    </w:p>
    <w:p w14:paraId="76CC0AF9" w14:textId="77777777"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кардинальним чином зорієнтувати функціонування системи на такі її цілі, що відповідають перспективам розвитку українського суспільства; </w:t>
      </w:r>
    </w:p>
    <w:p w14:paraId="504578C9" w14:textId="77777777"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перевести управління у режим «реального часу» на основі урахування актуальних потреб суспільної практики, викликів зовнішнього середовища системи; </w:t>
      </w:r>
    </w:p>
    <w:p w14:paraId="315B8981" w14:textId="77777777"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сприяти гармонізації поточних інтересів системи у цілях досягнення довготермінового успіху у перспективі; </w:t>
      </w:r>
    </w:p>
    <w:p w14:paraId="441866F5" w14:textId="77777777"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створювати й доцільно використовувати розмаїття внутрішніх потенціалів системи, зокрема шляхом здійснення ментальної проекції в управлінні; </w:t>
      </w:r>
    </w:p>
    <w:p w14:paraId="6B947B2F" w14:textId="77777777"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оптимізувати адаптацію освітньої системи до європейських вимог, посилити інтеграційну співпрацю на різних рівнях функціонування освіти; </w:t>
      </w:r>
    </w:p>
    <w:p w14:paraId="5A8D1D5D" w14:textId="77329BEB" w:rsidR="00155202" w:rsidRPr="00C83932" w:rsidRDefault="00CC35C5" w:rsidP="00C83932">
      <w:pPr>
        <w:pStyle w:val="a4"/>
        <w:numPr>
          <w:ilvl w:val="0"/>
          <w:numId w:val="2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враховувати рівневу спеціалізацію управління, зокрема регіональну.</w:t>
      </w:r>
    </w:p>
    <w:p w14:paraId="0170C974" w14:textId="4F8FF87B" w:rsidR="00155202" w:rsidRPr="00C83932" w:rsidRDefault="00CC35C5"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Тому методологічною основою дослідження, концептуальною схемою для розробки у цілому адаптаційної моделі державного управління освітою в Україні та, зокрема, гнучких механізмів державного управління, швидко реагуючих на вплив зовнішніх факторів, слугуватиме концепція соціально-адекватного менеджменту, яка достатньою мірою відповідає: </w:t>
      </w:r>
    </w:p>
    <w:p w14:paraId="472907D5" w14:textId="77777777" w:rsidR="00155202" w:rsidRPr="00C83932" w:rsidRDefault="00CC35C5" w:rsidP="00C83932">
      <w:pPr>
        <w:pStyle w:val="a4"/>
        <w:numPr>
          <w:ilvl w:val="0"/>
          <w:numId w:val="30"/>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 xml:space="preserve">по-перше, запитам суспільства на етапі його швидкої трансформації; </w:t>
      </w:r>
    </w:p>
    <w:p w14:paraId="0314D937" w14:textId="77777777" w:rsidR="00155202" w:rsidRPr="00C83932" w:rsidRDefault="00CC35C5" w:rsidP="00C83932">
      <w:pPr>
        <w:pStyle w:val="a4"/>
        <w:numPr>
          <w:ilvl w:val="0"/>
          <w:numId w:val="30"/>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по-друге, запитам освітньої системи як модернізаційного фактору суспільства; </w:t>
      </w:r>
    </w:p>
    <w:p w14:paraId="5FAC6FDB" w14:textId="0C1E57A4" w:rsidR="00155202" w:rsidRPr="00C83932" w:rsidRDefault="00CC35C5" w:rsidP="00C83932">
      <w:pPr>
        <w:pStyle w:val="a4"/>
        <w:numPr>
          <w:ilvl w:val="0"/>
          <w:numId w:val="3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по-третє, інтересам окремої особистості, оскільки зазначене управління створює умови для розвитку її потенціалу.</w:t>
      </w:r>
    </w:p>
    <w:p w14:paraId="74DCA72A" w14:textId="77777777" w:rsidR="00155202"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Проведений аналіз особливостей соціально-адекватного управління, комплексу його рис та факторів, що впливають на управлінську діяльність дозволяє перейти до розгляду його основоположних категорій.</w:t>
      </w:r>
    </w:p>
    <w:p w14:paraId="0A4534F1" w14:textId="2488B174" w:rsidR="00155202" w:rsidRPr="00C83932" w:rsidRDefault="00CC35C5"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Категорії державного управління відображають найбільш суттєві, закономірні зв’язки та відносини й визначають рівень розвитку управлінської думки як логічної складової пізнання системи державного управління в історичному аспекті. З огляду на вказане слід звернути увагу на те, що кожен новий етап державотворення оновлює й категоріальний каркас державного управління відповідно до існуючих надбань у загальній теорії управління, юридичних науках, соціології, психології управління, отримання яких значною мірою зумовлене певними суспільними трансформаціями </w:t>
      </w:r>
      <w:r w:rsidR="005C3F4B"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lang w:val="uk-UA"/>
        </w:rPr>
        <w:t>[</w:t>
      </w:r>
      <w:r w:rsidR="005C3F4B" w:rsidRPr="00C83932">
        <w:rPr>
          <w:rFonts w:ascii="Times New Roman" w:hAnsi="Times New Roman" w:cs="Times New Roman"/>
          <w:noProof/>
          <w:sz w:val="28"/>
          <w:szCs w:val="28"/>
          <w:lang w:val="uk-UA"/>
        </w:rPr>
        <w:t>48, с. 257</w:t>
      </w:r>
      <w:r w:rsidRPr="00C83932">
        <w:rPr>
          <w:rFonts w:ascii="Times New Roman" w:hAnsi="Times New Roman" w:cs="Times New Roman"/>
          <w:noProof/>
          <w:sz w:val="28"/>
          <w:szCs w:val="28"/>
          <w:lang w:val="uk-UA"/>
        </w:rPr>
        <w:t>]. Як вже було вказано, в основу методологічного базису нашого дослідження покладені провідні положення сучасної інноваційної концепції соціально-адекватного управління, евристичний потенціал якої дозволяє плідно застосовувати її у різних сферах управлінської діяльності, зокрема у сфері державного управління освітою.</w:t>
      </w:r>
    </w:p>
    <w:p w14:paraId="4AA5AD97" w14:textId="77777777" w:rsidR="00155202"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Оскільки йде опрацювання саме спеціалізованих аспектів державно-управлінської діяльності – управління освітою, то таке тлумачення державного управління задовольняє наші дослідницькі потреби, дозволяє зосередитися на спрямованості державного управління на виконання специфічних завдань освіти.</w:t>
      </w:r>
    </w:p>
    <w:p w14:paraId="02B9ADA5" w14:textId="19417CB6" w:rsidR="00CC35C5" w:rsidRPr="00C83932" w:rsidRDefault="00CC35C5"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 xml:space="preserve">Як вже зазначалося, поняття «управління» зазвичай представляється як процес, як організація, як система. На нашу думку, як процес державне </w:t>
      </w:r>
      <w:r w:rsidRPr="00C83932">
        <w:rPr>
          <w:rFonts w:ascii="Times New Roman" w:hAnsi="Times New Roman" w:cs="Times New Roman"/>
          <w:noProof/>
          <w:sz w:val="28"/>
          <w:szCs w:val="28"/>
          <w:lang w:val="uk-UA"/>
        </w:rPr>
        <w:lastRenderedPageBreak/>
        <w:t>управління освітою – це взаємопов’язана сукупність владно-розпоряджувальних дій, вироблення та втілення рішень державного масштабу, зорієнтованих на стабільне функціонування та розвиток системи освіти. Як організація – це ієрархічна організаційно-структурна єдність, у якій виділяються організаційна структура регіонального управління, відповідні муніципальні організаційні структури, а також безпосередньо організаційні структури освітніх закладів як відносно самостійні, але спрямовані на досягнення загальної мети. Нарешті, як система – це організаційно оформлена, взаємопов’язана сукупність різнорівневих систем управління, які утворюють загальну систему управління освітою у межах національної освітньої системи.</w:t>
      </w:r>
    </w:p>
    <w:p w14:paraId="6A1C5BB3" w14:textId="005A0D04" w:rsidR="00155202" w:rsidRPr="00C83932" w:rsidRDefault="00155202" w:rsidP="00C83932">
      <w:p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br w:type="page"/>
      </w:r>
    </w:p>
    <w:p w14:paraId="397F481C" w14:textId="77777777" w:rsidR="004F3A54" w:rsidRPr="00C83932" w:rsidRDefault="004F3A54"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2.2. Система управління освітою в Україні.</w:t>
      </w:r>
    </w:p>
    <w:p w14:paraId="19B1FD17" w14:textId="62FE3270" w:rsidR="00CC35C5" w:rsidRPr="00C83932" w:rsidRDefault="00CC35C5" w:rsidP="00C83932">
      <w:pPr>
        <w:spacing w:line="360" w:lineRule="auto"/>
        <w:jc w:val="both"/>
        <w:rPr>
          <w:rFonts w:ascii="Times New Roman" w:hAnsi="Times New Roman" w:cs="Times New Roman"/>
          <w:noProof/>
          <w:sz w:val="28"/>
          <w:szCs w:val="28"/>
          <w:lang w:val="uk-UA"/>
        </w:rPr>
      </w:pPr>
    </w:p>
    <w:p w14:paraId="229FFD56" w14:textId="77777777"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В структурі державного управління освітою виділяються три рівні:</w:t>
      </w:r>
      <w:r w:rsidRPr="00C83932">
        <w:rPr>
          <w:rFonts w:ascii="Times New Roman" w:hAnsi="Times New Roman" w:cs="Times New Roman"/>
          <w:noProof/>
          <w:sz w:val="28"/>
          <w:szCs w:val="28"/>
          <w:lang w:val="uk-UA"/>
        </w:rPr>
        <w:t xml:space="preserve"> вищий </w:t>
      </w:r>
      <w:r w:rsidRPr="00C83932">
        <w:rPr>
          <w:rFonts w:ascii="Times New Roman" w:hAnsi="Times New Roman" w:cs="Times New Roman"/>
          <w:noProof/>
          <w:sz w:val="28"/>
          <w:szCs w:val="28"/>
        </w:rPr>
        <w:t>(парламентсько-президентський),</w:t>
      </w:r>
      <w:r w:rsidRPr="00C83932">
        <w:rPr>
          <w:rFonts w:ascii="Times New Roman" w:hAnsi="Times New Roman" w:cs="Times New Roman"/>
          <w:noProof/>
          <w:sz w:val="28"/>
          <w:szCs w:val="28"/>
          <w:lang w:val="uk-UA"/>
        </w:rPr>
        <w:t xml:space="preserve"> центральний та місцевий.</w:t>
      </w:r>
    </w:p>
    <w:p w14:paraId="4821780F" w14:textId="4912240E"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Вищий рівень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Верховна Рада України, Президент України, Кабінет Міністрів формує засади державної освітньої політики, приймає закони, визначає економічні, соціальні, юридичні гарантії їх реалізації, контролює їх дотримання, затверджує загальнодержавні програми розвитку, обсяг фінансування</w:t>
      </w:r>
      <w:r w:rsidRPr="00C83932">
        <w:rPr>
          <w:rFonts w:ascii="Times New Roman" w:hAnsi="Times New Roman" w:cs="Times New Roman"/>
          <w:noProof/>
          <w:sz w:val="28"/>
          <w:szCs w:val="28"/>
          <w:lang w:val="uk-UA"/>
        </w:rPr>
        <w:t xml:space="preserve"> [</w:t>
      </w:r>
      <w:r w:rsidR="005C3F4B" w:rsidRPr="00C83932">
        <w:rPr>
          <w:rFonts w:ascii="Times New Roman" w:hAnsi="Times New Roman" w:cs="Times New Roman"/>
          <w:noProof/>
          <w:sz w:val="28"/>
          <w:szCs w:val="28"/>
          <w:lang w:val="uk-UA"/>
        </w:rPr>
        <w:t>37, с. 139</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w:t>
      </w:r>
    </w:p>
    <w:p w14:paraId="681D90A2" w14:textId="32A7ED0C"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Кабінет Міністрів України визначає перелік центральних органів виконавчої влади, вносить пропозиції Верховній Раді України щодо призначення їх керівників, реалізує державну освітянську політику тощо</w:t>
      </w:r>
      <w:r w:rsidRPr="00C83932">
        <w:rPr>
          <w:rFonts w:ascii="Times New Roman" w:hAnsi="Times New Roman" w:cs="Times New Roman"/>
          <w:noProof/>
          <w:sz w:val="28"/>
          <w:szCs w:val="28"/>
          <w:lang w:val="uk-UA"/>
        </w:rPr>
        <w:t xml:space="preserve"> [</w:t>
      </w:r>
      <w:r w:rsidR="005C3F4B" w:rsidRPr="00C83932">
        <w:rPr>
          <w:rFonts w:ascii="Times New Roman" w:hAnsi="Times New Roman" w:cs="Times New Roman"/>
          <w:noProof/>
          <w:sz w:val="28"/>
          <w:szCs w:val="28"/>
          <w:lang w:val="uk-UA"/>
        </w:rPr>
        <w:t>28, с. 79</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w:t>
      </w:r>
    </w:p>
    <w:p w14:paraId="1597AB96" w14:textId="71F3EA15"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Центральний рівень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управління освітою забезпечується МОН, іншими органами, які беруть участь у формуванні державної освітньої політики, розробляють концепції, прогнози, проекти цільових державних програм розвитку, пропозицій і доповнень до законодавчих актів, здійснюють контроль за дотриманням законодавства у сфері освіти</w:t>
      </w:r>
      <w:r w:rsidRPr="00C83932">
        <w:rPr>
          <w:rFonts w:ascii="Times New Roman" w:hAnsi="Times New Roman" w:cs="Times New Roman"/>
          <w:noProof/>
          <w:sz w:val="28"/>
          <w:szCs w:val="28"/>
          <w:lang w:val="uk-UA"/>
        </w:rPr>
        <w:t xml:space="preserve"> [</w:t>
      </w:r>
      <w:r w:rsidR="005C3F4B" w:rsidRPr="00C83932">
        <w:rPr>
          <w:rFonts w:ascii="Times New Roman" w:hAnsi="Times New Roman" w:cs="Times New Roman"/>
          <w:noProof/>
          <w:sz w:val="28"/>
          <w:szCs w:val="28"/>
          <w:lang w:val="uk-UA"/>
        </w:rPr>
        <w:t>18, с. 24</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w:t>
      </w:r>
    </w:p>
    <w:p w14:paraId="6856DE01" w14:textId="6AA869D8"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Місцевий рівень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місцеві держадміністрації, виконавчі органи місцевих і районних у містах рад відповідають за реалізацію державної освітньої політики на території певної адміністративної одиниці, готують і вносять на розгляд відповідної ради проекти бюджетних витрат на освіту, здійснюють управління закладами освіти, координують роботу інших структур влади щодо реалізації державних, регіональних програм розвитку освіти</w:t>
      </w:r>
      <w:r w:rsidR="00DF3DB1" w:rsidRPr="00C83932">
        <w:rPr>
          <w:rFonts w:ascii="Times New Roman" w:hAnsi="Times New Roman" w:cs="Times New Roman"/>
          <w:noProof/>
          <w:sz w:val="28"/>
          <w:szCs w:val="28"/>
          <w:lang w:val="uk-UA"/>
        </w:rPr>
        <w:t xml:space="preserve"> [</w:t>
      </w:r>
      <w:r w:rsidR="005C3F4B" w:rsidRPr="00C83932">
        <w:rPr>
          <w:rFonts w:ascii="Times New Roman" w:hAnsi="Times New Roman" w:cs="Times New Roman"/>
          <w:noProof/>
          <w:sz w:val="28"/>
          <w:szCs w:val="28"/>
          <w:lang w:val="uk-UA"/>
        </w:rPr>
        <w:t>47, с. 49</w:t>
      </w:r>
      <w:r w:rsidR="00DF3DB1"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w:t>
      </w:r>
    </w:p>
    <w:p w14:paraId="64787EB4" w14:textId="58EBD16F"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Органами державного управління освітою в Україні є Міністерство освіти і науки; міністерства і відомства України, яким підпорядковані навчально-виховні заклади; Вища атестаційна комісія (ВАК) України; відділи (управління) освіти місцевих державних адміністрацій.</w:t>
      </w:r>
    </w:p>
    <w:p w14:paraId="54A819D1" w14:textId="69CE7047"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lastRenderedPageBreak/>
        <w:t>Центральним органом державного управління освітою в Україні є</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Міністерство освіти і науки. Його повноваження визначено Законом України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Про освіту</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та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Положенням про. Міністерство освіти України</w:t>
      </w:r>
      <w:r w:rsidRPr="00C83932">
        <w:rPr>
          <w:rFonts w:ascii="Times New Roman" w:hAnsi="Times New Roman" w:cs="Times New Roman"/>
          <w:noProof/>
          <w:sz w:val="28"/>
          <w:szCs w:val="28"/>
          <w:lang w:val="uk-UA"/>
        </w:rPr>
        <w:t>»</w:t>
      </w:r>
      <w:r w:rsidR="00DF3DB1" w:rsidRPr="00C83932">
        <w:rPr>
          <w:rFonts w:ascii="Times New Roman" w:hAnsi="Times New Roman" w:cs="Times New Roman"/>
          <w:noProof/>
          <w:sz w:val="28"/>
          <w:szCs w:val="28"/>
        </w:rPr>
        <w:t xml:space="preserve"> [</w:t>
      </w:r>
      <w:r w:rsidR="005C3F4B" w:rsidRPr="00C83932">
        <w:rPr>
          <w:rFonts w:ascii="Times New Roman" w:hAnsi="Times New Roman" w:cs="Times New Roman"/>
          <w:noProof/>
          <w:sz w:val="28"/>
          <w:szCs w:val="28"/>
          <w:lang w:val="uk-UA"/>
        </w:rPr>
        <w:t>2</w:t>
      </w:r>
      <w:r w:rsidR="00DF3DB1" w:rsidRPr="00C83932">
        <w:rPr>
          <w:rFonts w:ascii="Times New Roman" w:hAnsi="Times New Roman" w:cs="Times New Roman"/>
          <w:noProof/>
          <w:sz w:val="28"/>
          <w:szCs w:val="28"/>
        </w:rPr>
        <w:t>]</w:t>
      </w:r>
      <w:r w:rsidRPr="00C83932">
        <w:rPr>
          <w:rFonts w:ascii="Times New Roman" w:hAnsi="Times New Roman" w:cs="Times New Roman"/>
          <w:noProof/>
          <w:sz w:val="28"/>
          <w:szCs w:val="28"/>
        </w:rPr>
        <w:t>. Міністерство бере участь</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у виробленні державної політики в галузі освіти та втіленні її в життя, визначенні основних напрямів розвитку освіти, здійснює координаційні, науково-методичні, контрольні функції та державне інспектування, забезпечує зв'язок з іншими державами, організовує впровадження в практику досягнень науки і передового педагогічного досвіду, проводить атестацію та акредитацію навчально-виховних закладів республіканського значення.</w:t>
      </w:r>
    </w:p>
    <w:p w14:paraId="3771EFB8" w14:textId="77777777"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При Міністерстві освіти та науки функціонує Вища атестаційна комісія, яка здійснює атестацію наукових і науково-педагогічних кадрів. Міністерству підпорядковані вищі навчальні заклади (академії, університети, інститути, консерваторії, коледжі, технікуми (училища), Академія педагогічних наук та її науково-дослідні інститути.</w:t>
      </w:r>
    </w:p>
    <w:p w14:paraId="2B8DCBFC" w14:textId="77777777"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Центральні органи державного управління освіти також беруть участь у виробленні та втіленні в життя державної політики в галузі освіти, професійній підготовці кадрів, у визначенні перспектив та напрямів розвитку освіти, вимог до її змісту, рівня й обсягу, нормативів матеріально-технічного, фінансового забезпечення навчально-виховних закладів.</w:t>
      </w:r>
    </w:p>
    <w:p w14:paraId="114A0D31" w14:textId="1AC939C1"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При обласних, районних державних адміністраціях створюються відповідні структурні підрозділи, які здійснюють управління освітою: при обласній державній адміністрації-управління освітою, при районній – відділ освіти, при сільських і селищних радах народних депутатів – комісії з питань освіти.</w:t>
      </w:r>
    </w:p>
    <w:p w14:paraId="3221478E" w14:textId="553C9C6E" w:rsidR="004F3A54" w:rsidRPr="00C83932" w:rsidRDefault="004F3A54"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Управління освіти і науки обласної державної адміністрації:</w:t>
      </w:r>
    </w:p>
    <w:p w14:paraId="41C2EBAD" w14:textId="5F062F36"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здійснює керівництво, контролює і координує роботу відділів освіти районних (міських) держадміністрацій;</w:t>
      </w:r>
    </w:p>
    <w:p w14:paraId="6DD8248F" w14:textId="298B2F7E"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lastRenderedPageBreak/>
        <w:t>ан</w:t>
      </w:r>
      <w:r w:rsidRPr="00C83932">
        <w:rPr>
          <w:rFonts w:ascii="Times New Roman" w:hAnsi="Times New Roman" w:cs="Times New Roman"/>
          <w:noProof/>
          <w:sz w:val="28"/>
          <w:szCs w:val="28"/>
        </w:rPr>
        <w:t>алізує стан освіти і науки в області, розробляє регіональні програми її розвитку, організовує і контролює виконання цих програм;</w:t>
      </w:r>
    </w:p>
    <w:p w14:paraId="17FF848D" w14:textId="1A34C80F"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визначає потребу регіону у фахівцях різних спеціальностей для системи освіти і науки та здійснює замовлення на їх підготовку;</w:t>
      </w:r>
    </w:p>
    <w:p w14:paraId="408CDFC7" w14:textId="6AE284EC"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організовує і контролює роботу державних і комунальних вищих навчальних закладів, закладів післядипломної освіти, бере участь в укладанні та припиненні дії контрактів з керівниками вищих навчальних закладів I–II рівнів акредитації, професійно-технічних навчальних закладів, що підпорядковані Міністерству освіти і науки України;</w:t>
      </w:r>
    </w:p>
    <w:p w14:paraId="7771A4DD" w14:textId="4AB64EC4"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сприяє впорядкуванню мережі навчальних закладів в області;</w:t>
      </w:r>
    </w:p>
    <w:p w14:paraId="5DCEAEBD" w14:textId="2F669840"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визначає регіональний компонент у змісті освіти;</w:t>
      </w:r>
    </w:p>
    <w:p w14:paraId="5D127D9F" w14:textId="208CB987"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вносить на розгляд Міністерства освіти і науки пропозиції щодо запровадження експериментальних навчальних планів загальноосвітніх навчальних закладів, нових освітніх програм, організовує навчально-методичне забезпечення загальноосвітніх та професійно-технічних навчальних закладів;</w:t>
      </w:r>
    </w:p>
    <w:p w14:paraId="296A2B5C" w14:textId="550D0503"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проводить роботу на підтримку і розвиток обдарованих дітей, захищає права та інтереси неповнолітніх дітей, в тому числі і дітей-сиріт та дітей, позбавлених батьківського піклування;</w:t>
      </w:r>
    </w:p>
    <w:p w14:paraId="690E1FCB" w14:textId="078A6163"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організовує діяльність психологічної служби та педагогічного патронажу в системі освіти;</w:t>
      </w:r>
    </w:p>
    <w:p w14:paraId="5DE69180" w14:textId="7DFFB6FF"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разом з органами охорони здоров'я здійснює загальний контроль за охороною здоров'я дітей, проведенням оздоровчих заходів, створенням безпечних умов для їх навчання і праці;</w:t>
      </w:r>
    </w:p>
    <w:p w14:paraId="7168C4C6" w14:textId="172656E8" w:rsidR="004F3A54" w:rsidRPr="00C83932" w:rsidRDefault="004F3A54" w:rsidP="00C83932">
      <w:pPr>
        <w:pStyle w:val="a4"/>
        <w:numPr>
          <w:ilvl w:val="0"/>
          <w:numId w:val="3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контролює виконання капітальних вкладень, визначає доцільність виконання і фінансування інноваційних проектів, вживає заходів до поліпшення матеріальних та житлових умов студентів, працівників освіти і науки, організації їх медичного та побутового обслуговування, </w:t>
      </w:r>
      <w:r w:rsidRPr="00C83932">
        <w:rPr>
          <w:rFonts w:ascii="Times New Roman" w:hAnsi="Times New Roman" w:cs="Times New Roman"/>
          <w:noProof/>
          <w:sz w:val="28"/>
          <w:szCs w:val="28"/>
        </w:rPr>
        <w:lastRenderedPageBreak/>
        <w:t>використовує різні форми морального та матеріального стимулювання їх праці.</w:t>
      </w:r>
    </w:p>
    <w:p w14:paraId="42AE132B" w14:textId="77777777" w:rsidR="004F3A54" w:rsidRPr="00C83932" w:rsidRDefault="004F3A5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Очолює управління освіти і науки начальник, якого призначає на посаду і звільняє з посади голова обласної держадміністрації за погодженням з Міністерством освіти і науки. Начальник управління освіти і науки повинен мати вищу педагогічну освіту, стаж керівної роботи у навчальних закладах, наукових установах чи місцевих органах управління освіти не менше 5 років. Начальник управління має заступників, яких призначає на посаду і звільняє з посади голова облдержадміністрації за погодженням з Міністерством освіти і науки.</w:t>
      </w:r>
    </w:p>
    <w:p w14:paraId="4160FF07" w14:textId="77777777" w:rsidR="004F3A54" w:rsidRPr="00C83932" w:rsidRDefault="004F3A5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Відділ освіти районної державної адміністрації</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є структурним підрозділом районної державної адміністрації, а з другого – управління освіти і науки обласної державної адміністрації.</w:t>
      </w:r>
    </w:p>
    <w:p w14:paraId="0D024813" w14:textId="5B0A9E1F" w:rsidR="004F3A54" w:rsidRPr="00C83932" w:rsidRDefault="004F3A5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Завдання відділу освіти:</w:t>
      </w:r>
    </w:p>
    <w:p w14:paraId="2B93A9BD" w14:textId="2F9DBE75"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здійснює керівництво навчальними закладами, визначає потребу у їх кількості, подає пропозиції щодо удосконалення їх мережі;</w:t>
      </w:r>
    </w:p>
    <w:p w14:paraId="5AE39146" w14:textId="123FE49A"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контролює виконання вимог щодо залучення всіх дітей шкільного віку до навчання у загальноосвітніх навчальних закладах, створення в них фонду всеобучу;</w:t>
      </w:r>
    </w:p>
    <w:p w14:paraId="67490D8F" w14:textId="60FC3D3A"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організовує навчання обдарованих дітей;</w:t>
      </w:r>
    </w:p>
    <w:p w14:paraId="789A0CB3" w14:textId="06E15FD4"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координує роботу навчальних закладів, сім'ї і громадськості, спрямовану на навчання та виховання дітей, організацію їх відпочинку, запобігання бездоглядності й правопорушень серед неповнолітніх, створює в районі розгалужену службу соціально-педагогічного патронажу;</w:t>
      </w:r>
    </w:p>
    <w:p w14:paraId="48E6227E" w14:textId="3FAF3CA0"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забезпечує утворення психологічної служби в навчальних закладах;</w:t>
      </w:r>
    </w:p>
    <w:p w14:paraId="3FC6122B" w14:textId="13A9AE30"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організовує роботу щодо підвищення кваліфікації педагогічних працівників, проводить їх атестацію;</w:t>
      </w:r>
    </w:p>
    <w:p w14:paraId="2CB3BFA8" w14:textId="6FD41371"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інспектує та проводить атестацію навчальних закладів, контролює дотримання ними державних вимог щодо змісту, рівня і обсягу освітніх послуг;</w:t>
      </w:r>
    </w:p>
    <w:p w14:paraId="06CC672D" w14:textId="6F6DF639"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організовує харчування дітей у загальноосвітніх навчальних закладах, їх безплатне медичне обслуговування;</w:t>
      </w:r>
    </w:p>
    <w:p w14:paraId="6A9EE656" w14:textId="5B1C9CD6" w:rsidR="004F3A54" w:rsidRPr="00C83932" w:rsidRDefault="004F3A54" w:rsidP="00C83932">
      <w:pPr>
        <w:pStyle w:val="a4"/>
        <w:numPr>
          <w:ilvl w:val="0"/>
          <w:numId w:val="3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сприяє зміцненню матеріальної бази навчальних закладів, їх навчально-методичному, фінансовому і кадровому забезпеченню.</w:t>
      </w:r>
    </w:p>
    <w:p w14:paraId="6CF76BE6" w14:textId="35856D8B" w:rsidR="004F3A54" w:rsidRPr="00C83932" w:rsidRDefault="004F3A54"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Очолює відділ освіти районної держадміністрації завідуючий, який призначається на посаду і звільняється з посади головою районної держадміністрації за погодженням з начальником управління освіти і науки обласної держадміністрації</w:t>
      </w:r>
      <w:r w:rsidR="00DF3DB1" w:rsidRPr="00C83932">
        <w:rPr>
          <w:rFonts w:ascii="Times New Roman" w:hAnsi="Times New Roman" w:cs="Times New Roman"/>
          <w:noProof/>
          <w:sz w:val="28"/>
          <w:szCs w:val="28"/>
        </w:rPr>
        <w:t xml:space="preserve"> [</w:t>
      </w:r>
      <w:r w:rsidR="005C3F4B" w:rsidRPr="00C83932">
        <w:rPr>
          <w:rFonts w:ascii="Times New Roman" w:hAnsi="Times New Roman" w:cs="Times New Roman"/>
          <w:noProof/>
          <w:sz w:val="28"/>
          <w:szCs w:val="28"/>
          <w:lang w:val="uk-UA"/>
        </w:rPr>
        <w:t>36, с. 58</w:t>
      </w:r>
      <w:r w:rsidR="00DF3DB1"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4CE1CB7A" w14:textId="42B14C04" w:rsidR="004F3A54" w:rsidRPr="00C83932" w:rsidRDefault="004F3A54"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5C968934" w14:textId="77777777" w:rsidR="00DF3DB1" w:rsidRPr="00C83932" w:rsidRDefault="00DF3DB1"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2.3. Освітня політика.</w:t>
      </w:r>
    </w:p>
    <w:p w14:paraId="26BE1A75" w14:textId="161A792B" w:rsidR="004F3A54" w:rsidRPr="00C83932" w:rsidRDefault="004F3A54" w:rsidP="00C83932">
      <w:pPr>
        <w:spacing w:line="360" w:lineRule="auto"/>
        <w:jc w:val="both"/>
        <w:rPr>
          <w:rFonts w:ascii="Times New Roman" w:hAnsi="Times New Roman" w:cs="Times New Roman"/>
          <w:noProof/>
          <w:sz w:val="28"/>
          <w:szCs w:val="28"/>
        </w:rPr>
      </w:pPr>
    </w:p>
    <w:p w14:paraId="364181E7" w14:textId="77777777"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У всі часи держава приділяла особливу увагу системі освіти, яка в різних соціально-економічних і соціокультурних умовах виконує соціальне замовлення на формування особистості.</w:t>
      </w:r>
    </w:p>
    <w:p w14:paraId="7BF39A4A"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Термін «державна політика в галузі освіти» або «державна освітня політика» почав використовуватися у науковій літературі 60-70–х років ХХ століття, коли в СРСР, США, державах Європи освіту почали розглядати як найважливіший чинник економічного розвитку й соціального прогресу, як сферу, що потребує особливої уваги на загальнодержавному рівні. Цей період характеризується «інформаційним вибухом», тобто бурхливим розвитком природничих і фізико-математичних наук.</w:t>
      </w:r>
    </w:p>
    <w:p w14:paraId="6F57D2AB" w14:textId="233323DD"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У науковій та науково-популярній літературі дається декілька визначень поняття «державна освітня політика». Ось деякі з них:</w:t>
      </w:r>
    </w:p>
    <w:p w14:paraId="1739E289" w14:textId="77777777" w:rsidR="00DF3DB1" w:rsidRPr="00C83932" w:rsidRDefault="00DF3DB1" w:rsidP="00C83932">
      <w:pPr>
        <w:pStyle w:val="a4"/>
        <w:numPr>
          <w:ilvl w:val="0"/>
          <w:numId w:val="3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Освітня політика - це низка дій, спрямованих на досягнення цілей освітніх організацій та / або системи освіти.</w:t>
      </w:r>
    </w:p>
    <w:p w14:paraId="22B4515A" w14:textId="77777777" w:rsidR="00DF3DB1" w:rsidRPr="00C83932" w:rsidRDefault="00DF3DB1" w:rsidP="00C83932">
      <w:pPr>
        <w:pStyle w:val="a4"/>
        <w:numPr>
          <w:ilvl w:val="0"/>
          <w:numId w:val="3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Освітня політика - найважливіша складова політики держави, інструмент забезпечення фундаментальних прав і свобод особи, підвищення темпів соціально-економічного і науково-технічного розвитку, гуманізації суспільства, зростання культури.</w:t>
      </w:r>
    </w:p>
    <w:p w14:paraId="7AA1AA48" w14:textId="77777777" w:rsidR="00DF3DB1" w:rsidRPr="00C83932" w:rsidRDefault="00DF3DB1" w:rsidP="00C83932">
      <w:pPr>
        <w:pStyle w:val="a4"/>
        <w:numPr>
          <w:ilvl w:val="0"/>
          <w:numId w:val="3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Освітня політика - це, передусім, політика, що забезпечує розвиток і функціонування системи освіти. Вона спрямована на забезпечення суспільства знаннями, необхідними для суспільного розвитку.</w:t>
      </w:r>
    </w:p>
    <w:p w14:paraId="270E7C07" w14:textId="4E9DE998" w:rsidR="00DF3DB1" w:rsidRPr="00C83932" w:rsidRDefault="00DF3DB1" w:rsidP="00C83932">
      <w:pPr>
        <w:pStyle w:val="a4"/>
        <w:numPr>
          <w:ilvl w:val="0"/>
          <w:numId w:val="3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Освітня політика - це сфера діяльності, пов’язана відносинами між соціальними групами щодо передачі новим поколінням накопиченого соціального досвіду і культури</w:t>
      </w:r>
      <w:r w:rsidR="00B21865" w:rsidRPr="00C83932">
        <w:rPr>
          <w:rFonts w:ascii="Times New Roman" w:hAnsi="Times New Roman" w:cs="Times New Roman"/>
          <w:noProof/>
          <w:sz w:val="28"/>
          <w:szCs w:val="28"/>
          <w:lang w:val="uk-UA"/>
        </w:rPr>
        <w:t xml:space="preserve"> </w:t>
      </w:r>
      <w:r w:rsidR="00B21865" w:rsidRPr="00C83932">
        <w:rPr>
          <w:rFonts w:ascii="Times New Roman" w:hAnsi="Times New Roman" w:cs="Times New Roman"/>
          <w:noProof/>
          <w:sz w:val="28"/>
          <w:szCs w:val="28"/>
        </w:rPr>
        <w:t>[</w:t>
      </w:r>
      <w:r w:rsidR="005C3F4B" w:rsidRPr="00C83932">
        <w:rPr>
          <w:rFonts w:ascii="Times New Roman" w:hAnsi="Times New Roman" w:cs="Times New Roman"/>
          <w:noProof/>
          <w:sz w:val="28"/>
          <w:szCs w:val="28"/>
          <w:lang w:val="uk-UA"/>
        </w:rPr>
        <w:t>34, с. 69</w:t>
      </w:r>
      <w:r w:rsidR="00B21865"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79007110" w14:textId="77777777" w:rsidR="00DF3DB1" w:rsidRPr="00C83932" w:rsidRDefault="00DF3DB1" w:rsidP="00C83932">
      <w:pPr>
        <w:pStyle w:val="a3"/>
        <w:spacing w:line="360" w:lineRule="auto"/>
        <w:jc w:val="both"/>
        <w:rPr>
          <w:sz w:val="28"/>
          <w:szCs w:val="28"/>
        </w:rPr>
      </w:pPr>
      <w:r w:rsidRPr="00C83932">
        <w:rPr>
          <w:sz w:val="28"/>
          <w:szCs w:val="28"/>
        </w:rPr>
        <w:t xml:space="preserve">До </w:t>
      </w:r>
      <w:proofErr w:type="spellStart"/>
      <w:r w:rsidRPr="00C83932">
        <w:rPr>
          <w:sz w:val="28"/>
          <w:szCs w:val="28"/>
        </w:rPr>
        <w:t>суб’єктів</w:t>
      </w:r>
      <w:proofErr w:type="spellEnd"/>
      <w:r w:rsidRPr="00C83932">
        <w:rPr>
          <w:sz w:val="28"/>
          <w:szCs w:val="28"/>
        </w:rPr>
        <w:t xml:space="preserve"> </w:t>
      </w:r>
      <w:proofErr w:type="spellStart"/>
      <w:r w:rsidRPr="00C83932">
        <w:rPr>
          <w:sz w:val="28"/>
          <w:szCs w:val="28"/>
        </w:rPr>
        <w:t>освітньої</w:t>
      </w:r>
      <w:proofErr w:type="spellEnd"/>
      <w:r w:rsidRPr="00C83932">
        <w:rPr>
          <w:sz w:val="28"/>
          <w:szCs w:val="28"/>
        </w:rPr>
        <w:t xml:space="preserve"> </w:t>
      </w:r>
      <w:proofErr w:type="spellStart"/>
      <w:r w:rsidRPr="00C83932">
        <w:rPr>
          <w:sz w:val="28"/>
          <w:szCs w:val="28"/>
        </w:rPr>
        <w:t>політики</w:t>
      </w:r>
      <w:proofErr w:type="spellEnd"/>
      <w:r w:rsidRPr="00C83932">
        <w:rPr>
          <w:sz w:val="28"/>
          <w:szCs w:val="28"/>
        </w:rPr>
        <w:t xml:space="preserve"> в </w:t>
      </w:r>
      <w:proofErr w:type="spellStart"/>
      <w:r w:rsidRPr="00C83932">
        <w:rPr>
          <w:sz w:val="28"/>
          <w:szCs w:val="28"/>
        </w:rPr>
        <w:t>Україні</w:t>
      </w:r>
      <w:proofErr w:type="spellEnd"/>
      <w:r w:rsidRPr="00C83932">
        <w:rPr>
          <w:sz w:val="28"/>
          <w:szCs w:val="28"/>
        </w:rPr>
        <w:t xml:space="preserve"> належать:</w:t>
      </w:r>
    </w:p>
    <w:p w14:paraId="20FE647B" w14:textId="16C1AF81"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lastRenderedPageBreak/>
        <w:t>Верховна</w:t>
      </w:r>
      <w:proofErr w:type="spellEnd"/>
      <w:r w:rsidRPr="00C83932">
        <w:rPr>
          <w:sz w:val="28"/>
          <w:szCs w:val="28"/>
        </w:rPr>
        <w:t xml:space="preserve"> Рада </w:t>
      </w:r>
      <w:proofErr w:type="spellStart"/>
      <w:r w:rsidRPr="00C83932">
        <w:rPr>
          <w:sz w:val="28"/>
          <w:szCs w:val="28"/>
        </w:rPr>
        <w:t>України</w:t>
      </w:r>
      <w:proofErr w:type="spellEnd"/>
      <w:r w:rsidRPr="00C83932">
        <w:rPr>
          <w:sz w:val="28"/>
          <w:szCs w:val="28"/>
        </w:rPr>
        <w:t>;</w:t>
      </w:r>
    </w:p>
    <w:p w14:paraId="5A618B4A" w14:textId="72EE35EA" w:rsidR="00DF3DB1" w:rsidRPr="00C83932" w:rsidRDefault="00DF3DB1" w:rsidP="00C83932">
      <w:pPr>
        <w:pStyle w:val="a3"/>
        <w:numPr>
          <w:ilvl w:val="1"/>
          <w:numId w:val="9"/>
        </w:numPr>
        <w:spacing w:line="360" w:lineRule="auto"/>
        <w:jc w:val="both"/>
        <w:rPr>
          <w:sz w:val="28"/>
          <w:szCs w:val="28"/>
        </w:rPr>
      </w:pPr>
      <w:r w:rsidRPr="00C83932">
        <w:rPr>
          <w:sz w:val="28"/>
          <w:szCs w:val="28"/>
        </w:rPr>
        <w:t xml:space="preserve">Президент </w:t>
      </w:r>
      <w:proofErr w:type="spellStart"/>
      <w:r w:rsidRPr="00C83932">
        <w:rPr>
          <w:sz w:val="28"/>
          <w:szCs w:val="28"/>
        </w:rPr>
        <w:t>України</w:t>
      </w:r>
      <w:proofErr w:type="spellEnd"/>
      <w:r w:rsidRPr="00C83932">
        <w:rPr>
          <w:sz w:val="28"/>
          <w:szCs w:val="28"/>
        </w:rPr>
        <w:t>;</w:t>
      </w:r>
    </w:p>
    <w:p w14:paraId="6B297018" w14:textId="37974B8B"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Кабінет</w:t>
      </w:r>
      <w:proofErr w:type="spellEnd"/>
      <w:r w:rsidRPr="00C83932">
        <w:rPr>
          <w:sz w:val="28"/>
          <w:szCs w:val="28"/>
        </w:rPr>
        <w:t xml:space="preserve"> </w:t>
      </w:r>
      <w:proofErr w:type="spellStart"/>
      <w:r w:rsidRPr="00C83932">
        <w:rPr>
          <w:sz w:val="28"/>
          <w:szCs w:val="28"/>
        </w:rPr>
        <w:t>Міністрів</w:t>
      </w:r>
      <w:proofErr w:type="spellEnd"/>
      <w:r w:rsidRPr="00C83932">
        <w:rPr>
          <w:sz w:val="28"/>
          <w:szCs w:val="28"/>
        </w:rPr>
        <w:t xml:space="preserve"> </w:t>
      </w:r>
      <w:proofErr w:type="spellStart"/>
      <w:r w:rsidRPr="00C83932">
        <w:rPr>
          <w:sz w:val="28"/>
          <w:szCs w:val="28"/>
        </w:rPr>
        <w:t>України</w:t>
      </w:r>
      <w:proofErr w:type="spellEnd"/>
      <w:r w:rsidRPr="00C83932">
        <w:rPr>
          <w:sz w:val="28"/>
          <w:szCs w:val="28"/>
        </w:rPr>
        <w:t>;</w:t>
      </w:r>
    </w:p>
    <w:p w14:paraId="2FBE3D3C" w14:textId="4239DEF3"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Міністерство</w:t>
      </w:r>
      <w:proofErr w:type="spellEnd"/>
      <w:r w:rsidRPr="00C83932">
        <w:rPr>
          <w:sz w:val="28"/>
          <w:szCs w:val="28"/>
        </w:rPr>
        <w:t xml:space="preserve"> </w:t>
      </w:r>
      <w:proofErr w:type="spellStart"/>
      <w:r w:rsidRPr="00C83932">
        <w:rPr>
          <w:sz w:val="28"/>
          <w:szCs w:val="28"/>
        </w:rPr>
        <w:t>освіти</w:t>
      </w:r>
      <w:proofErr w:type="spellEnd"/>
      <w:r w:rsidRPr="00C83932">
        <w:rPr>
          <w:sz w:val="28"/>
          <w:szCs w:val="28"/>
        </w:rPr>
        <w:t xml:space="preserve"> і науки </w:t>
      </w:r>
      <w:proofErr w:type="spellStart"/>
      <w:r w:rsidRPr="00C83932">
        <w:rPr>
          <w:sz w:val="28"/>
          <w:szCs w:val="28"/>
        </w:rPr>
        <w:t>України</w:t>
      </w:r>
      <w:proofErr w:type="spellEnd"/>
      <w:r w:rsidRPr="00C83932">
        <w:rPr>
          <w:sz w:val="28"/>
          <w:szCs w:val="28"/>
        </w:rPr>
        <w:t>;</w:t>
      </w:r>
    </w:p>
    <w:p w14:paraId="303FEBA8" w14:textId="412AE6BF"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інші</w:t>
      </w:r>
      <w:proofErr w:type="spellEnd"/>
      <w:r w:rsidRPr="00C83932">
        <w:rPr>
          <w:sz w:val="28"/>
          <w:szCs w:val="28"/>
        </w:rPr>
        <w:t xml:space="preserve"> </w:t>
      </w:r>
      <w:proofErr w:type="spellStart"/>
      <w:r w:rsidRPr="00C83932">
        <w:rPr>
          <w:sz w:val="28"/>
          <w:szCs w:val="28"/>
        </w:rPr>
        <w:t>центральні</w:t>
      </w:r>
      <w:proofErr w:type="spellEnd"/>
      <w:r w:rsidRPr="00C83932">
        <w:rPr>
          <w:sz w:val="28"/>
          <w:szCs w:val="28"/>
        </w:rPr>
        <w:t xml:space="preserve"> </w:t>
      </w:r>
      <w:proofErr w:type="spellStart"/>
      <w:r w:rsidRPr="00C83932">
        <w:rPr>
          <w:sz w:val="28"/>
          <w:szCs w:val="28"/>
        </w:rPr>
        <w:t>органи</w:t>
      </w:r>
      <w:proofErr w:type="spellEnd"/>
      <w:r w:rsidRPr="00C83932">
        <w:rPr>
          <w:sz w:val="28"/>
          <w:szCs w:val="28"/>
        </w:rPr>
        <w:t xml:space="preserve"> </w:t>
      </w:r>
      <w:proofErr w:type="spellStart"/>
      <w:r w:rsidRPr="00C83932">
        <w:rPr>
          <w:sz w:val="28"/>
          <w:szCs w:val="28"/>
        </w:rPr>
        <w:t>виконавчої</w:t>
      </w:r>
      <w:proofErr w:type="spellEnd"/>
      <w:r w:rsidRPr="00C83932">
        <w:rPr>
          <w:sz w:val="28"/>
          <w:szCs w:val="28"/>
        </w:rPr>
        <w:t xml:space="preserve"> </w:t>
      </w:r>
      <w:proofErr w:type="spellStart"/>
      <w:r w:rsidRPr="00C83932">
        <w:rPr>
          <w:sz w:val="28"/>
          <w:szCs w:val="28"/>
        </w:rPr>
        <w:t>влади</w:t>
      </w:r>
      <w:proofErr w:type="spellEnd"/>
      <w:r w:rsidRPr="00C83932">
        <w:rPr>
          <w:sz w:val="28"/>
          <w:szCs w:val="28"/>
        </w:rPr>
        <w:t>;</w:t>
      </w:r>
    </w:p>
    <w:p w14:paraId="1F40631A" w14:textId="25E2F864"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Державна</w:t>
      </w:r>
      <w:proofErr w:type="spellEnd"/>
      <w:r w:rsidRPr="00C83932">
        <w:rPr>
          <w:sz w:val="28"/>
          <w:szCs w:val="28"/>
        </w:rPr>
        <w:t xml:space="preserve"> </w:t>
      </w:r>
      <w:proofErr w:type="spellStart"/>
      <w:r w:rsidRPr="00C83932">
        <w:rPr>
          <w:sz w:val="28"/>
          <w:szCs w:val="28"/>
        </w:rPr>
        <w:t>інспекція</w:t>
      </w:r>
      <w:proofErr w:type="spellEnd"/>
      <w:r w:rsidRPr="00C83932">
        <w:rPr>
          <w:sz w:val="28"/>
          <w:szCs w:val="28"/>
        </w:rPr>
        <w:t xml:space="preserve"> </w:t>
      </w:r>
      <w:proofErr w:type="spellStart"/>
      <w:r w:rsidRPr="00C83932">
        <w:rPr>
          <w:sz w:val="28"/>
          <w:szCs w:val="28"/>
        </w:rPr>
        <w:t>навчальних</w:t>
      </w:r>
      <w:proofErr w:type="spellEnd"/>
      <w:r w:rsidRPr="00C83932">
        <w:rPr>
          <w:sz w:val="28"/>
          <w:szCs w:val="28"/>
        </w:rPr>
        <w:t xml:space="preserve"> </w:t>
      </w:r>
      <w:proofErr w:type="spellStart"/>
      <w:r w:rsidRPr="00C83932">
        <w:rPr>
          <w:sz w:val="28"/>
          <w:szCs w:val="28"/>
        </w:rPr>
        <w:t>закладів</w:t>
      </w:r>
      <w:proofErr w:type="spellEnd"/>
      <w:r w:rsidRPr="00C83932">
        <w:rPr>
          <w:sz w:val="28"/>
          <w:szCs w:val="28"/>
        </w:rPr>
        <w:t xml:space="preserve"> </w:t>
      </w:r>
      <w:proofErr w:type="spellStart"/>
      <w:r w:rsidRPr="00C83932">
        <w:rPr>
          <w:sz w:val="28"/>
          <w:szCs w:val="28"/>
        </w:rPr>
        <w:t>України</w:t>
      </w:r>
      <w:proofErr w:type="spellEnd"/>
      <w:r w:rsidRPr="00C83932">
        <w:rPr>
          <w:sz w:val="28"/>
          <w:szCs w:val="28"/>
        </w:rPr>
        <w:t>;</w:t>
      </w:r>
    </w:p>
    <w:p w14:paraId="04269279" w14:textId="0F5FE75A"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Міністерство</w:t>
      </w:r>
      <w:proofErr w:type="spellEnd"/>
      <w:r w:rsidRPr="00C83932">
        <w:rPr>
          <w:sz w:val="28"/>
          <w:szCs w:val="28"/>
        </w:rPr>
        <w:t xml:space="preserve"> </w:t>
      </w:r>
      <w:proofErr w:type="spellStart"/>
      <w:r w:rsidRPr="00C83932">
        <w:rPr>
          <w:sz w:val="28"/>
          <w:szCs w:val="28"/>
        </w:rPr>
        <w:t>освіти</w:t>
      </w:r>
      <w:proofErr w:type="spellEnd"/>
      <w:r w:rsidRPr="00C83932">
        <w:rPr>
          <w:sz w:val="28"/>
          <w:szCs w:val="28"/>
        </w:rPr>
        <w:t xml:space="preserve"> і науки </w:t>
      </w:r>
      <w:proofErr w:type="spellStart"/>
      <w:r w:rsidRPr="00C83932">
        <w:rPr>
          <w:sz w:val="28"/>
          <w:szCs w:val="28"/>
        </w:rPr>
        <w:t>Автономної</w:t>
      </w:r>
      <w:proofErr w:type="spellEnd"/>
      <w:r w:rsidRPr="00C83932">
        <w:rPr>
          <w:sz w:val="28"/>
          <w:szCs w:val="28"/>
        </w:rPr>
        <w:t xml:space="preserve"> </w:t>
      </w:r>
      <w:proofErr w:type="spellStart"/>
      <w:r w:rsidRPr="00C83932">
        <w:rPr>
          <w:sz w:val="28"/>
          <w:szCs w:val="28"/>
        </w:rPr>
        <w:t>Республіки</w:t>
      </w:r>
      <w:proofErr w:type="spellEnd"/>
      <w:r w:rsidRPr="00C83932">
        <w:rPr>
          <w:sz w:val="28"/>
          <w:szCs w:val="28"/>
        </w:rPr>
        <w:t xml:space="preserve"> </w:t>
      </w:r>
      <w:proofErr w:type="spellStart"/>
      <w:r w:rsidRPr="00C83932">
        <w:rPr>
          <w:sz w:val="28"/>
          <w:szCs w:val="28"/>
        </w:rPr>
        <w:t>Крим</w:t>
      </w:r>
      <w:proofErr w:type="spellEnd"/>
      <w:r w:rsidRPr="00C83932">
        <w:rPr>
          <w:sz w:val="28"/>
          <w:szCs w:val="28"/>
        </w:rPr>
        <w:t>;</w:t>
      </w:r>
    </w:p>
    <w:p w14:paraId="56CDDE02" w14:textId="6D3B250F"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місцеві</w:t>
      </w:r>
      <w:proofErr w:type="spellEnd"/>
      <w:r w:rsidRPr="00C83932">
        <w:rPr>
          <w:sz w:val="28"/>
          <w:szCs w:val="28"/>
        </w:rPr>
        <w:t xml:space="preserve"> </w:t>
      </w:r>
      <w:proofErr w:type="spellStart"/>
      <w:r w:rsidRPr="00C83932">
        <w:rPr>
          <w:sz w:val="28"/>
          <w:szCs w:val="28"/>
        </w:rPr>
        <w:t>органи</w:t>
      </w:r>
      <w:proofErr w:type="spellEnd"/>
      <w:r w:rsidRPr="00C83932">
        <w:rPr>
          <w:sz w:val="28"/>
          <w:szCs w:val="28"/>
        </w:rPr>
        <w:t xml:space="preserve"> </w:t>
      </w:r>
      <w:proofErr w:type="spellStart"/>
      <w:r w:rsidRPr="00C83932">
        <w:rPr>
          <w:sz w:val="28"/>
          <w:szCs w:val="28"/>
        </w:rPr>
        <w:t>виконавчої</w:t>
      </w:r>
      <w:proofErr w:type="spellEnd"/>
      <w:r w:rsidRPr="00C83932">
        <w:rPr>
          <w:sz w:val="28"/>
          <w:szCs w:val="28"/>
        </w:rPr>
        <w:t xml:space="preserve"> </w:t>
      </w:r>
      <w:proofErr w:type="spellStart"/>
      <w:r w:rsidRPr="00C83932">
        <w:rPr>
          <w:sz w:val="28"/>
          <w:szCs w:val="28"/>
        </w:rPr>
        <w:t>влади</w:t>
      </w:r>
      <w:proofErr w:type="spellEnd"/>
      <w:r w:rsidRPr="00C83932">
        <w:rPr>
          <w:sz w:val="28"/>
          <w:szCs w:val="28"/>
        </w:rPr>
        <w:t>;</w:t>
      </w:r>
    </w:p>
    <w:p w14:paraId="32CAD974" w14:textId="37AFA1A2" w:rsidR="00DF3DB1" w:rsidRPr="00C83932" w:rsidRDefault="00DF3DB1" w:rsidP="00C83932">
      <w:pPr>
        <w:pStyle w:val="a3"/>
        <w:numPr>
          <w:ilvl w:val="1"/>
          <w:numId w:val="9"/>
        </w:numPr>
        <w:spacing w:line="360" w:lineRule="auto"/>
        <w:jc w:val="both"/>
        <w:rPr>
          <w:sz w:val="28"/>
          <w:szCs w:val="28"/>
        </w:rPr>
      </w:pPr>
      <w:proofErr w:type="spellStart"/>
      <w:r w:rsidRPr="00C83932">
        <w:rPr>
          <w:sz w:val="28"/>
          <w:szCs w:val="28"/>
        </w:rPr>
        <w:t>органи</w:t>
      </w:r>
      <w:proofErr w:type="spellEnd"/>
      <w:r w:rsidRPr="00C83932">
        <w:rPr>
          <w:sz w:val="28"/>
          <w:szCs w:val="28"/>
        </w:rPr>
        <w:t xml:space="preserve"> </w:t>
      </w:r>
      <w:proofErr w:type="spellStart"/>
      <w:r w:rsidRPr="00C83932">
        <w:rPr>
          <w:sz w:val="28"/>
          <w:szCs w:val="28"/>
        </w:rPr>
        <w:t>місцевого</w:t>
      </w:r>
      <w:proofErr w:type="spellEnd"/>
      <w:r w:rsidRPr="00C83932">
        <w:rPr>
          <w:sz w:val="28"/>
          <w:szCs w:val="28"/>
        </w:rPr>
        <w:t xml:space="preserve"> </w:t>
      </w:r>
      <w:proofErr w:type="spellStart"/>
      <w:r w:rsidRPr="00C83932">
        <w:rPr>
          <w:sz w:val="28"/>
          <w:szCs w:val="28"/>
        </w:rPr>
        <w:t>самоврядування</w:t>
      </w:r>
      <w:proofErr w:type="spellEnd"/>
      <w:r w:rsidRPr="00C83932">
        <w:rPr>
          <w:sz w:val="28"/>
          <w:szCs w:val="28"/>
        </w:rPr>
        <w:t xml:space="preserve"> та </w:t>
      </w:r>
      <w:proofErr w:type="spellStart"/>
      <w:r w:rsidRPr="00C83932">
        <w:rPr>
          <w:sz w:val="28"/>
          <w:szCs w:val="28"/>
        </w:rPr>
        <w:t>підпорядковані</w:t>
      </w:r>
      <w:proofErr w:type="spellEnd"/>
      <w:r w:rsidRPr="00C83932">
        <w:rPr>
          <w:sz w:val="28"/>
          <w:szCs w:val="28"/>
        </w:rPr>
        <w:t xml:space="preserve"> </w:t>
      </w:r>
      <w:proofErr w:type="spellStart"/>
      <w:r w:rsidRPr="00C83932">
        <w:rPr>
          <w:sz w:val="28"/>
          <w:szCs w:val="28"/>
        </w:rPr>
        <w:t>їм</w:t>
      </w:r>
      <w:proofErr w:type="spellEnd"/>
      <w:r w:rsidRPr="00C83932">
        <w:rPr>
          <w:sz w:val="28"/>
          <w:szCs w:val="28"/>
        </w:rPr>
        <w:t xml:space="preserve"> </w:t>
      </w:r>
      <w:proofErr w:type="spellStart"/>
      <w:r w:rsidRPr="00C83932">
        <w:rPr>
          <w:sz w:val="28"/>
          <w:szCs w:val="28"/>
        </w:rPr>
        <w:t>органи</w:t>
      </w:r>
      <w:proofErr w:type="spellEnd"/>
      <w:r w:rsidRPr="00C83932">
        <w:rPr>
          <w:sz w:val="28"/>
          <w:szCs w:val="28"/>
        </w:rPr>
        <w:t xml:space="preserve"> </w:t>
      </w:r>
      <w:proofErr w:type="spellStart"/>
      <w:r w:rsidRPr="00C83932">
        <w:rPr>
          <w:sz w:val="28"/>
          <w:szCs w:val="28"/>
        </w:rPr>
        <w:t>управління</w:t>
      </w:r>
      <w:proofErr w:type="spellEnd"/>
      <w:r w:rsidRPr="00C83932">
        <w:rPr>
          <w:sz w:val="28"/>
          <w:szCs w:val="28"/>
        </w:rPr>
        <w:t xml:space="preserve"> </w:t>
      </w:r>
      <w:proofErr w:type="spellStart"/>
      <w:r w:rsidRPr="00C83932">
        <w:rPr>
          <w:sz w:val="28"/>
          <w:szCs w:val="28"/>
        </w:rPr>
        <w:t>освітою</w:t>
      </w:r>
      <w:proofErr w:type="spellEnd"/>
      <w:r w:rsidR="00B21865" w:rsidRPr="00C83932">
        <w:rPr>
          <w:sz w:val="28"/>
          <w:szCs w:val="28"/>
          <w:lang w:val="ru-RU"/>
        </w:rPr>
        <w:t xml:space="preserve"> </w:t>
      </w:r>
      <w:r w:rsidR="00B21865" w:rsidRPr="00C83932">
        <w:rPr>
          <w:sz w:val="28"/>
          <w:szCs w:val="28"/>
          <w:lang w:val="en-US"/>
        </w:rPr>
        <w:t>[</w:t>
      </w:r>
      <w:r w:rsidR="005C3F4B" w:rsidRPr="00C83932">
        <w:rPr>
          <w:sz w:val="28"/>
          <w:szCs w:val="28"/>
          <w:lang w:val="uk-UA"/>
        </w:rPr>
        <w:t>2</w:t>
      </w:r>
      <w:r w:rsidR="00B21865" w:rsidRPr="00C83932">
        <w:rPr>
          <w:sz w:val="28"/>
          <w:szCs w:val="28"/>
          <w:lang w:val="en-US"/>
        </w:rPr>
        <w:t>]</w:t>
      </w:r>
      <w:r w:rsidRPr="00C83932">
        <w:rPr>
          <w:sz w:val="28"/>
          <w:szCs w:val="28"/>
        </w:rPr>
        <w:t>.</w:t>
      </w:r>
    </w:p>
    <w:p w14:paraId="42B0044C"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До інших центральних органів виконавчої влади, у сфері управління яких перебувають навчальні заклади, слід віднести: Міністерство культури; Міністерство охорони здоров’я; Міністерство юстиції; Міністерство внутрішніх справ тощо.</w:t>
      </w:r>
    </w:p>
    <w:p w14:paraId="4F7D8995"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 умовах демократизації суспільства важливого значення як прояв народовладдя в гуманітарній сфері, зокрема у сфері освіти, набувають органи місцевого самоврядування.</w:t>
      </w:r>
    </w:p>
    <w:p w14:paraId="657D4CC3" w14:textId="54A816BF"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Об’єкти освітньої політики:</w:t>
      </w:r>
    </w:p>
    <w:p w14:paraId="12F6AF22" w14:textId="57CB7BD1" w:rsidR="00DF3DB1" w:rsidRPr="00C83932" w:rsidRDefault="00DF3DB1" w:rsidP="00C83932">
      <w:pPr>
        <w:numPr>
          <w:ilvl w:val="0"/>
          <w:numId w:val="3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Національні системи освіти, що офіційно закріплені в кожній державі</w:t>
      </w:r>
      <w:r w:rsidR="00B21865" w:rsidRPr="00C83932">
        <w:rPr>
          <w:rFonts w:ascii="Times New Roman" w:hAnsi="Times New Roman" w:cs="Times New Roman"/>
          <w:noProof/>
          <w:sz w:val="28"/>
          <w:szCs w:val="28"/>
          <w:lang w:val="uk-UA"/>
        </w:rPr>
        <w:t>.</w:t>
      </w:r>
    </w:p>
    <w:p w14:paraId="1CA95A1C" w14:textId="77777777" w:rsidR="00DF3DB1" w:rsidRPr="00C83932" w:rsidRDefault="00DF3DB1" w:rsidP="00C83932">
      <w:pPr>
        <w:numPr>
          <w:ilvl w:val="0"/>
          <w:numId w:val="3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Структурні елементи освіти.</w:t>
      </w:r>
    </w:p>
    <w:p w14:paraId="27F2A4D6" w14:textId="67D89273" w:rsidR="00DF3DB1" w:rsidRPr="00C83932" w:rsidRDefault="00DF3DB1" w:rsidP="00C83932">
      <w:pPr>
        <w:numPr>
          <w:ilvl w:val="0"/>
          <w:numId w:val="34"/>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Міжнародні зв’язки національних систем освіти</w:t>
      </w:r>
      <w:r w:rsidR="00B21865" w:rsidRPr="00C83932">
        <w:rPr>
          <w:rFonts w:ascii="Times New Roman" w:hAnsi="Times New Roman" w:cs="Times New Roman"/>
          <w:noProof/>
          <w:sz w:val="28"/>
          <w:szCs w:val="28"/>
          <w:lang w:val="ru-RU"/>
        </w:rPr>
        <w:t xml:space="preserve"> [</w:t>
      </w:r>
      <w:r w:rsidR="005C3F4B" w:rsidRPr="00C83932">
        <w:rPr>
          <w:rFonts w:ascii="Times New Roman" w:hAnsi="Times New Roman" w:cs="Times New Roman"/>
          <w:noProof/>
          <w:sz w:val="28"/>
          <w:szCs w:val="28"/>
          <w:lang w:val="ru-RU"/>
        </w:rPr>
        <w:t>2</w:t>
      </w:r>
      <w:r w:rsidR="00B21865" w:rsidRPr="00C83932">
        <w:rPr>
          <w:rFonts w:ascii="Times New Roman" w:hAnsi="Times New Roman" w:cs="Times New Roman"/>
          <w:noProof/>
          <w:sz w:val="28"/>
          <w:szCs w:val="28"/>
          <w:lang w:val="ru-RU"/>
        </w:rPr>
        <w:t>]</w:t>
      </w:r>
      <w:r w:rsidR="00B21865" w:rsidRPr="00C83932">
        <w:rPr>
          <w:rFonts w:ascii="Times New Roman" w:hAnsi="Times New Roman" w:cs="Times New Roman"/>
          <w:noProof/>
          <w:sz w:val="28"/>
          <w:szCs w:val="28"/>
          <w:lang w:val="uk-UA"/>
        </w:rPr>
        <w:t>.</w:t>
      </w:r>
    </w:p>
    <w:p w14:paraId="73D74144" w14:textId="7A77345E"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Система освіти складається з структурних елементів. Так, у ст. 29 Закону України «Про освіту» зазначено, що структурними елементами освіти є: дошкільна освіта; загальна середня освіта; позашкільна освіта; професійно-технічна освіта; вища освіта; післядипломна освіта; аспірантура; докторантура; самоосвіта</w:t>
      </w:r>
      <w:r w:rsidR="00B21865" w:rsidRPr="00C83932">
        <w:rPr>
          <w:rFonts w:ascii="Times New Roman" w:hAnsi="Times New Roman" w:cs="Times New Roman"/>
          <w:noProof/>
          <w:sz w:val="28"/>
          <w:szCs w:val="28"/>
        </w:rPr>
        <w:t xml:space="preserve"> [</w:t>
      </w:r>
      <w:r w:rsidR="005C3F4B" w:rsidRPr="00C83932">
        <w:rPr>
          <w:rFonts w:ascii="Times New Roman" w:hAnsi="Times New Roman" w:cs="Times New Roman"/>
          <w:noProof/>
          <w:sz w:val="28"/>
          <w:szCs w:val="28"/>
          <w:lang w:val="uk-UA"/>
        </w:rPr>
        <w:t>2</w:t>
      </w:r>
      <w:r w:rsidR="00B21865"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0332F33D"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Зазначені структурні елементи утворюють систему освіти. Отже, система освіти - це єдність взаємопов’язаних підсистем, яка складається з взаємопов’язаних складових: дошкільної освіти; загально середньої освіти; позашкільної освіти; професійно-технічної освіти; вищої освіти; післядипломної освіти; аспірантури; докторантури; самоосвіти.</w:t>
      </w:r>
    </w:p>
    <w:p w14:paraId="6DEB37CA"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Розглянемо коротко зміст підсистемних елементів освіти.</w:t>
      </w:r>
      <w:r w:rsidR="00B21865"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Дошкільна освіта є обов’язковою первинною складовою частиною системи безперервної освіти в Україні. Це цілісний процес, спрямований на забезпечення різнобічного розвитку дитини дошкільного віку відповідно до її задатків, нахилів, здібностей, індивідуальних, психічних та фізичних особливостей, культурних потреб; формування у дитини дошкільного віку моральних норм, набуття нею життєвого соціального досвіду.</w:t>
      </w:r>
    </w:p>
    <w:p w14:paraId="7AEBB07A"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Дошкільна освіта і виховання починають здійснюватися з народження і тривають приблизно до 7 років. На сьогоднішній день законодавець передбачив чотири періоди дошкільного віку: немовлята; молодший дошкільний вік; середній дошкільний вік; старший дошкільний вік.</w:t>
      </w:r>
    </w:p>
    <w:p w14:paraId="54F5F56F"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Дошкільний навчальний заклад - навчальний заклад, що забезпечує 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14:paraId="484C93D1"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Загальна середня освіта - цілеспрямований процес оволодіння систематизованими знаннями про природу, людину, суспільство, культуру та виробництво засобами пізнавальної і практичної діяльності, результатом якого є інтелектуальний, соціальний і фізичний розвиток особистості, що є основою для подальшої освіти і трудової діяльності.</w:t>
      </w:r>
    </w:p>
    <w:p w14:paraId="4FE4AB53"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Основним видом середніх закладів освіти є середня загальноосвітня школа трьох ступенів: перший - початкова школа, що забезпечує початкову загальну освіту, другий - основна школа, що забезпечує базову загальну </w:t>
      </w:r>
      <w:r w:rsidRPr="00C83932">
        <w:rPr>
          <w:rFonts w:ascii="Times New Roman" w:hAnsi="Times New Roman" w:cs="Times New Roman"/>
          <w:noProof/>
          <w:sz w:val="28"/>
          <w:szCs w:val="28"/>
        </w:rPr>
        <w:lastRenderedPageBreak/>
        <w:t>середню освіту, третій - старша школа, що забезпечує повну загальну середню освіту.</w:t>
      </w:r>
    </w:p>
    <w:p w14:paraId="2846E249"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Школи першого ступеня у сільській місцевості створюються незалежно від наявної кількості учнів. Відкриття таких шкіл, а також самостійних класів у них здійснюється за рішенням місцевих органів державної виконавчої влади та органів місцевого самоврядування.</w:t>
      </w:r>
    </w:p>
    <w:p w14:paraId="52EA4D47"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Позашкільна освіта - це сукупність знань, умінь та навичок, що отримують вихованці, учні і слухачі в позашкільних навчальних закладах у час, вільний від навчання в загальноосвітніх та інших навчальних закладах.</w:t>
      </w:r>
    </w:p>
    <w:p w14:paraId="74EB9FE0"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До позашкільних закладів освіти належать: палаци, будинки, центри, станції дитячої, юнацької творчості, учнівські та студентські клуби, дитячо-юнацькі спортивні школи, школи мистецтв, студії, початкові спеціалізовані мистецькі навчальні заклади, бібліотеки, оздоровчі та інші заклади. Для здійснення навчально-виховної роботи позашкільним закладам освіти надаються спортивні об'єкти, культурні, оздоровчі та інші заклади безоплатно та на пільгових умовах. Порядок їх надання визначається місцевими органами державної виконавчої влади та органами місцевого самоврядування.</w:t>
      </w:r>
    </w:p>
    <w:p w14:paraId="4194CF30" w14:textId="6EC699B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Треба зазначити, що Розпорядженням Кабінету Міністрів України, була схвалена Концепція Державної цільової програми розвитку позашкільної освіти на період до 2014 р. Головною метою даної Концепції є модернізація системи позашкільної освіти шляхом її удосконалення, підтримки та розвитку, створення додаткових можливостей для духовного, інтелектуального і фізичного розвитку осіб, що бажають здобути позашкільну освіту.</w:t>
      </w:r>
    </w:p>
    <w:p w14:paraId="664A8E7E"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Професійно-технічна освіта є комплексом педагогічних та організаційно-управлінських заходів, спрямованих на забезпечення оволодіння громадянами знаннями, уміннями і навичками в обраній ними галузі професійної діяльності, розвиток компетентності та професіоналізму, виховання загальної і професійної культури. Професійно-технічне навчання </w:t>
      </w:r>
      <w:r w:rsidRPr="00C83932">
        <w:rPr>
          <w:rFonts w:ascii="Times New Roman" w:hAnsi="Times New Roman" w:cs="Times New Roman"/>
          <w:noProof/>
          <w:sz w:val="28"/>
          <w:szCs w:val="28"/>
        </w:rPr>
        <w:lastRenderedPageBreak/>
        <w:t>передбачає формування у громадян професійних умінь і навичок, необхідних для виконання певної роботи чи групи робіт, і може здійснюватися у професійно-технічних навчальних закладах, а також шляхом індивідуального чи курсового навчання на виробництві, у сфері послуг.</w:t>
      </w:r>
    </w:p>
    <w:p w14:paraId="6FFAA97B"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Професійно-технічна освіта громадян здійснюється на базі повної загальної середньої освіти або базової загальної середньої освіти з наданням можливості здобувати повну загальну середню освіту.</w:t>
      </w:r>
    </w:p>
    <w:p w14:paraId="03125C6D"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Професійно-технічними закладами освіти є: професійно-технічне училище, професійно-художнє училище, професійне училище соціальної реабілітації, училище-агрофірма, училище-завод, вище професійне училище, навчально-виробничий центр, центр підготовки та перепідготовки робітничих кадрів, навчально-курсовий комбінат, інші типи закладів, що надають робітничої професії. Вони можуть мати денні, вечірні відділення, створювати і входити в різні комплекси, об’єднання.</w:t>
      </w:r>
    </w:p>
    <w:p w14:paraId="378176CC" w14:textId="6D495C0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Слід зазначити, що на сьогоднішній день, за умов впровадження Болонської системи навчання, держава сприяє активному розвитку даного виду освіти. Так, постановою Кабінету Міністрів України від 13 квітня 2011 р. № 495 «Про затвердження Державної цільової програми розвитку професійно-технічної освіти на 2011-2015 роки»</w:t>
      </w:r>
      <w:r w:rsidR="00B21865" w:rsidRPr="00C83932">
        <w:rPr>
          <w:rFonts w:ascii="Times New Roman" w:hAnsi="Times New Roman" w:cs="Times New Roman"/>
          <w:noProof/>
          <w:sz w:val="28"/>
          <w:szCs w:val="28"/>
        </w:rPr>
        <w:t xml:space="preserve"> [</w:t>
      </w:r>
      <w:r w:rsidR="005C3F4B" w:rsidRPr="00C83932">
        <w:rPr>
          <w:rFonts w:ascii="Times New Roman" w:hAnsi="Times New Roman" w:cs="Times New Roman"/>
          <w:noProof/>
          <w:sz w:val="28"/>
          <w:szCs w:val="28"/>
          <w:lang w:val="uk-UA"/>
        </w:rPr>
        <w:t>29</w:t>
      </w:r>
      <w:r w:rsidR="00B21865"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передбачено, що впровадження даної Програми дасть змогу забезпечити комплексну модернізацію професійно-технічної освіти, що підвищить професійно-кваліфікаційний рівень робітників та сприятиме їх соціальному захисту</w:t>
      </w:r>
      <w:r w:rsidR="00B21865"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rPr>
        <w:t>. Адже її головною метою є створення сприятливих умов для якісної підготовки робітничих кадрів згідно з пріоритетами державної соціально-економічної політики, орієнтованої на задоволення потреб особистості, суспільства і держави, а також забезпечення рівного доступу до професійно-технічної освіти.</w:t>
      </w:r>
    </w:p>
    <w:p w14:paraId="4BD999E8" w14:textId="77777777" w:rsidR="00B21865"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Вища освіта - це рівень освіти, який здобувається особою у вищому навчальному закладі в результаті послідовного, системного та </w:t>
      </w:r>
      <w:r w:rsidRPr="00C83932">
        <w:rPr>
          <w:rFonts w:ascii="Times New Roman" w:hAnsi="Times New Roman" w:cs="Times New Roman"/>
          <w:noProof/>
          <w:sz w:val="28"/>
          <w:szCs w:val="28"/>
        </w:rPr>
        <w:lastRenderedPageBreak/>
        <w:t>цілеспрямованого процесу засвоєння змісту навчання, який ґрунтується на повній загальній середній освіті й завершується здобуттям певної кваліфікації за підсумками державної атестації. Під вищим навчальним закладом слід розуміти освітній, освітньо-науковий заклад, який заснований і діє відповідно до законодавства про освіту, реалізує відповідно до наданої ліцензії освітньо-професійні програми вищої освіти за певними освітніми та освітньо-кваліфікаційними рівнями, забезпечує навчання, виховання та професійну підготовку осіб відповідно до їх покликання, інтересів, здібностей та нормативних вимог у галузі вищої освіти, а також здійснює наукову та науково-технічну діяльність. Існують вищі навчальні заклади державної форми власності, вищий навчальний заклад, що перебуває у власності Автономної Республіки Крим, вищі навчальні заклади комунальної форми власності, вищі навчальні заклади приватної форми власності.</w:t>
      </w:r>
    </w:p>
    <w:p w14:paraId="63652865" w14:textId="1C217D88"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До структури вищої освіти входять освітні й освітньо-кваліфікаційні рівні:</w:t>
      </w:r>
    </w:p>
    <w:p w14:paraId="3ACBA606" w14:textId="736FA021" w:rsidR="00DF3DB1" w:rsidRPr="00C83932" w:rsidRDefault="00DF3DB1" w:rsidP="00C83932">
      <w:pPr>
        <w:pStyle w:val="a4"/>
        <w:numPr>
          <w:ilvl w:val="0"/>
          <w:numId w:val="3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освітні рівні:</w:t>
      </w:r>
    </w:p>
    <w:p w14:paraId="31AD0D45" w14:textId="30D4074F" w:rsidR="00DF3DB1" w:rsidRPr="00C83932" w:rsidRDefault="00DF3DB1" w:rsidP="00C83932">
      <w:pPr>
        <w:pStyle w:val="a4"/>
        <w:numPr>
          <w:ilvl w:val="1"/>
          <w:numId w:val="3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Неповна вища освіта - 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молодшого спеціаліста.</w:t>
      </w:r>
    </w:p>
    <w:p w14:paraId="56E2E8C8" w14:textId="34E48DC6" w:rsidR="00DF3DB1" w:rsidRPr="00C83932" w:rsidRDefault="00DF3DB1" w:rsidP="00C83932">
      <w:pPr>
        <w:pStyle w:val="a4"/>
        <w:numPr>
          <w:ilvl w:val="1"/>
          <w:numId w:val="3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Базова вища освіта - 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кваліфікацій за освітньо-кваліфікаційним рівнем бакалавра.</w:t>
      </w:r>
    </w:p>
    <w:p w14:paraId="56D12060" w14:textId="77777777" w:rsidR="00B21865" w:rsidRPr="00C83932" w:rsidRDefault="00DF3DB1" w:rsidP="00C83932">
      <w:pPr>
        <w:pStyle w:val="a4"/>
        <w:numPr>
          <w:ilvl w:val="1"/>
          <w:numId w:val="36"/>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Повна вища освіта - освітній рівень вищої освіти особи, який характеризує сформованість її інтелектуальних якостей, що визначають розвиток особи як особистості і є достатніми для здобуття нею </w:t>
      </w:r>
      <w:r w:rsidRPr="00C83932">
        <w:rPr>
          <w:rFonts w:ascii="Times New Roman" w:hAnsi="Times New Roman" w:cs="Times New Roman"/>
          <w:noProof/>
          <w:sz w:val="28"/>
          <w:szCs w:val="28"/>
        </w:rPr>
        <w:lastRenderedPageBreak/>
        <w:t xml:space="preserve">кваліфікацій за освітньо-кваліфікаційним рівнем спеціаліста або магістра. </w:t>
      </w:r>
    </w:p>
    <w:p w14:paraId="5A091CE4" w14:textId="4EDB86D9" w:rsidR="00DF3DB1" w:rsidRPr="00C83932" w:rsidRDefault="00DF3DB1" w:rsidP="00C83932">
      <w:pPr>
        <w:pStyle w:val="a4"/>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2) Освітньо-кваліфікаційні рівні:</w:t>
      </w:r>
    </w:p>
    <w:p w14:paraId="2AA647AC" w14:textId="697A66D8" w:rsidR="00DF3DB1" w:rsidRPr="00C83932" w:rsidRDefault="00DF3DB1" w:rsidP="00C83932">
      <w:pPr>
        <w:pStyle w:val="a4"/>
        <w:numPr>
          <w:ilvl w:val="1"/>
          <w:numId w:val="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Молодший спеціаліст - освітньо-кваліфікаційний рівень вищої освіти особи, яка на основі повної загальної середньої освіти здобула неповну вищу освіту, спеціальні уміння та знання, достатні для здійснення виробничих функцій певного рівня професійної діяльності, що передбачені для первинних посад у певному виді економічної діяльності.</w:t>
      </w:r>
    </w:p>
    <w:p w14:paraId="48185A17" w14:textId="0FBCF803" w:rsidR="00DF3DB1" w:rsidRPr="00C83932" w:rsidRDefault="00DF3DB1" w:rsidP="00C83932">
      <w:pPr>
        <w:pStyle w:val="a4"/>
        <w:numPr>
          <w:ilvl w:val="1"/>
          <w:numId w:val="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Бакалавр - освітньо-кваліфікаційний рівень вищої освіти особи, яка на основі повної загальної середньої освіти здобула базову вищу освіту, фундаментальні і спеціальні уміння та знання щодо узагальненого об'єкта праці (діяльності), достатні для виконання завдань та обов'язків (робіт) певного рівня професійної діяльності, що передбачені для первинних посад у певному виді економічної діяльності.</w:t>
      </w:r>
    </w:p>
    <w:p w14:paraId="6944FE91" w14:textId="676C9D88" w:rsidR="00DF3DB1" w:rsidRPr="00C83932" w:rsidRDefault="00DF3DB1" w:rsidP="00C83932">
      <w:pPr>
        <w:pStyle w:val="a4"/>
        <w:numPr>
          <w:ilvl w:val="1"/>
          <w:numId w:val="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Спеціаліст - освітньо-кваліфікаційний рівень вищої освіти особи, яка на основі освітньо-кваліфікаційного рівня бакалавра здобула повну вишу освіту, спеціальні уміння та знання, достатні для виконання завдань та обов'язків (робіт) певного рівня професійної діяльності, що передбачені для первинних посад у певному виді економічної діяльності.</w:t>
      </w:r>
    </w:p>
    <w:p w14:paraId="16E6F531" w14:textId="25128A4D" w:rsidR="00DF3DB1" w:rsidRPr="00C83932" w:rsidRDefault="00DF3DB1" w:rsidP="00C83932">
      <w:pPr>
        <w:pStyle w:val="a4"/>
        <w:numPr>
          <w:ilvl w:val="1"/>
          <w:numId w:val="5"/>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Магістр - освітньо-кваліфікаційний рівень вищої освіти особи, яка на основі освітньо-кваліфікаційного рівня бакалавра здобула повну вищу освіту, спеціальні уміння та знання, достатні для виконання професійних завдань та обов'язків (робіт) інноваційного характеру певного рівня професійної діяльності, що передбачені для первинних посад у певному виді економічної діяльності.</w:t>
      </w:r>
    </w:p>
    <w:p w14:paraId="35591D96" w14:textId="77777777"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Для вищих навчальних закладів встановлюються такі рівні акредитації:</w:t>
      </w:r>
    </w:p>
    <w:p w14:paraId="36D0D397" w14:textId="33508226" w:rsidR="00DF3DB1" w:rsidRPr="00C83932" w:rsidRDefault="00DF3DB1" w:rsidP="00C83932">
      <w:pPr>
        <w:pStyle w:val="a4"/>
        <w:numPr>
          <w:ilvl w:val="0"/>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вищий навчальний заклад першого рівня акредитації - вищий навчальний заклад, у якому здійснюється підготовка фахівців за спеціальностями освітньо-кваліфікаційного рівня молодшого спеціаліста;</w:t>
      </w:r>
    </w:p>
    <w:p w14:paraId="0452285E" w14:textId="0C99CC71" w:rsidR="00DF3DB1" w:rsidRPr="00C83932" w:rsidRDefault="00DF3DB1" w:rsidP="00C83932">
      <w:pPr>
        <w:pStyle w:val="a4"/>
        <w:numPr>
          <w:ilvl w:val="0"/>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вищий навчальний заклад другого рівня акредитації - вищий навчальний заклад, у якому здійснюється підготовка фахівців за спеціальностями освітньо-кваліфікаційного рівня молодшого спеціаліста та за напрямами підготовки освітньо-кваліфікаційного рівня бакалавра;</w:t>
      </w:r>
    </w:p>
    <w:p w14:paraId="5EE34FD3" w14:textId="43BEBAE8" w:rsidR="00DF3DB1" w:rsidRPr="00C83932" w:rsidRDefault="00DF3DB1" w:rsidP="00C83932">
      <w:pPr>
        <w:pStyle w:val="a4"/>
        <w:numPr>
          <w:ilvl w:val="0"/>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вищий навчальний заклад третього рівня акредитації - вищий навчальний заклад, у якому здійснюється підготовка фахівців за напрямами освітньо-кваліфікаційного рівня бакалавра, спеціальностями освітньо-кваліфікаційного рівня спеціаліста, а також за окремими спеціальностями освітньо-кваліфікаційного рівня магістра;</w:t>
      </w:r>
    </w:p>
    <w:p w14:paraId="517A3BE6" w14:textId="0DB06507" w:rsidR="00DF3DB1" w:rsidRPr="00C83932" w:rsidRDefault="00DF3DB1" w:rsidP="00C83932">
      <w:pPr>
        <w:pStyle w:val="a4"/>
        <w:numPr>
          <w:ilvl w:val="0"/>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вищий навчальний заклад четвертого рівня акредитації - вищий навчальний заклад, у якому здійснюється підготовка фахівців за напрямами освітньо-кваліфікаційного рівня бакалавра, спеціальностями освітньо-кваліфікаційних рівнів спеціаліста, магістра.</w:t>
      </w:r>
    </w:p>
    <w:p w14:paraId="401B4EDC" w14:textId="77777777"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Відповідно до існуючих напрямів освітньої діяльності в Україні діють вищі навчальні заклади таких типів:</w:t>
      </w:r>
    </w:p>
    <w:p w14:paraId="72AD2177" w14:textId="16B71138"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університет - багатопрофільний вищий навчальний заклад четвертого рівня акредитації, який провадить освітню діяльність, пов'язану із здобуттям певної вищої освіти та кваліфікації широкого спектра природничих, гуманітарних, технічних, економічних та інших напрямів науки, техніки, культури і мистецтв, проводить фундаментальні та прикладні наукові дослідження, є провідним науково-методичним центром, має розвинуту інфраструктуру навчальних, наукових і науково-виробничих підрозділів, відповідний рівень кадрового і </w:t>
      </w:r>
      <w:r w:rsidRPr="00C83932">
        <w:rPr>
          <w:rFonts w:ascii="Times New Roman" w:hAnsi="Times New Roman" w:cs="Times New Roman"/>
          <w:noProof/>
          <w:sz w:val="28"/>
          <w:szCs w:val="28"/>
        </w:rPr>
        <w:lastRenderedPageBreak/>
        <w:t>матеріально-технічного забезпечення, сприяє поширенню наукових знань та здійснює культурно-просвітницьку діяльність;</w:t>
      </w:r>
    </w:p>
    <w:p w14:paraId="76E9C05F" w14:textId="3B5C7C1F"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академія - вищий навчальний заклад четвертого рівня акредитації, який провадить освітню діяльність, пов'язану із здобуттям певної вищої освіти та кваліфікації у певній галузі науки, виробництва, освіти, культури і мистецтва, проводить фундаментальні та прикладні наукові дослідження, є провідним науково-методичним центром у сфері своєї діяльності і має відповідний рівень кадрового та матеріально-технічного забезпечення;</w:t>
      </w:r>
    </w:p>
    <w:p w14:paraId="0085FD51" w14:textId="3ACDFEFE"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інститут - вищий навчальний заклад третього або четвертого рівня акредитації або структурний підрозділ університету, академії, який провадить освітню діяльність, пов'язану із здобуттям певної вищої освіти та кваліфікації у певній галузі науки, виробництва, освіти, культури і мистецтва, провадить наукову, науково-методичну та науково-виробничу діяльність і має відповідний рівень кадрового та матеріально-технічного забезпечення;</w:t>
      </w:r>
    </w:p>
    <w:p w14:paraId="2F53C932" w14:textId="64C74FAA"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консерваторія (музична академія) - вищий навчальний заклад третього або четвертого рівня акредитації, який провадить освітню діяльність, пов'язану із здобуттям певної вищої освіти та кваліфікації у галузі культури і мистецтва - музичних виконавців, композиторів, музикознавців, викладачів музичних дисциплін, провадить наукові дослідження, є провідним центром у сфері своєї діяльності і має відповідний рівень кадрового матеріально-технічного забезпечення.</w:t>
      </w:r>
    </w:p>
    <w:p w14:paraId="3C5A428E" w14:textId="7BE6D76D"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коледж - вищий навчальний заклад другого рівня акредитації або структурний підрозділ вищого навчального закладу третього або четвертого рівня акредитації, який провадить освітню діяльність, пов'язану із здобуттям певної вищої освіти та кваліфікації у споріднених напрямах підготовки (якщо є структурним </w:t>
      </w:r>
      <w:r w:rsidRPr="00C83932">
        <w:rPr>
          <w:rFonts w:ascii="Times New Roman" w:hAnsi="Times New Roman" w:cs="Times New Roman"/>
          <w:noProof/>
          <w:sz w:val="28"/>
          <w:szCs w:val="28"/>
        </w:rPr>
        <w:lastRenderedPageBreak/>
        <w:t>підрозділом вищого навчального закладу третього або четвертого рівня акредитації або входить до навчального чи навчально-науково-виробничого комплексу) або за кількома спорідненими спеціальностями і має відповідний рівень кадрового та матеріально-технічного забезпечення;</w:t>
      </w:r>
    </w:p>
    <w:p w14:paraId="6DB81A30" w14:textId="1774BFBA" w:rsidR="00DF3DB1" w:rsidRPr="00C83932" w:rsidRDefault="00DF3DB1" w:rsidP="00C83932">
      <w:pPr>
        <w:pStyle w:val="a4"/>
        <w:numPr>
          <w:ilvl w:val="1"/>
          <w:numId w:val="37"/>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технікум (училище) - вищий навчальний заклад першого рівня акредитації або структурний підрозділ вищого навчального закладу третього або четвертого рівня акредитації, який провадить освітню діяльність, пов’язану із здобуттям певної вищої освіти та кваліфікації за кількома спорідненими спеціальностями і має відповідний рівень кадрового та матеріально-технічного забезпечення.</w:t>
      </w:r>
    </w:p>
    <w:p w14:paraId="6B6D623E"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Структурними підрозділами вищого навчального закладу третього і четвертого рівнів акредитації є кафедри, факультети, інститути, філії, бібліотека тощо. Структурними підрозділами вищого навчального закладу четвертого рівня акредитації можуть бути наукові, навчально-наукові, науково-дослідні та науково-виробничі інститути. Керівництво інститутом здійснює директор, який обирається на посаду за конкурсом строком на п'ять років.</w:t>
      </w:r>
    </w:p>
    <w:p w14:paraId="6A2FB521"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Структурними підрозділами вищого навчального закладу першого та другого рівнів акредитації є відділення і предметні комісії.</w:t>
      </w:r>
    </w:p>
    <w:p w14:paraId="15913A80"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Післядипломна освіта - спеціалізоване вдосконалення освіти та професійної підготовки особи шляхом поглиблення, розширення й оновлення її професійних знань, умінь та навичок або отримання іншої професії, спеціальності на основі здобутого раніше освітньо-кваліфікаційного рівня та практичного досвіду.</w:t>
      </w:r>
    </w:p>
    <w:p w14:paraId="7713D432" w14:textId="3C75FDAA"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Післядипломна освіта створює умови для безперервності та наступності освіти і включає:</w:t>
      </w:r>
    </w:p>
    <w:p w14:paraId="4EC080A4" w14:textId="6FAEB428" w:rsidR="00DF3DB1" w:rsidRPr="00C83932" w:rsidRDefault="00DF3DB1" w:rsidP="00C83932">
      <w:pPr>
        <w:pStyle w:val="a4"/>
        <w:numPr>
          <w:ilvl w:val="0"/>
          <w:numId w:val="3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перепідготовку - отримання іншої спеціальності на основі здобутого раніше освітньо-кваліфікаційного рівня та практичного досвіду,</w:t>
      </w:r>
    </w:p>
    <w:p w14:paraId="4A1404CB" w14:textId="7E28468C" w:rsidR="00DF3DB1" w:rsidRPr="00C83932" w:rsidRDefault="00DF3DB1" w:rsidP="00C83932">
      <w:pPr>
        <w:pStyle w:val="a4"/>
        <w:numPr>
          <w:ilvl w:val="0"/>
          <w:numId w:val="3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спеціалізацію - набуття особою здатностей виконувати окремі завдання та обов’язки, які мають особливості, в межах спеціальності;</w:t>
      </w:r>
    </w:p>
    <w:p w14:paraId="7D08CB31" w14:textId="2C624DA2" w:rsidR="00DF3DB1" w:rsidRPr="00C83932" w:rsidRDefault="00DF3DB1" w:rsidP="00C83932">
      <w:pPr>
        <w:pStyle w:val="a4"/>
        <w:numPr>
          <w:ilvl w:val="0"/>
          <w:numId w:val="3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розширення профілю (підвищення кваліфікації) - набуття особою здатностей виконувати додаткові завдання та обов’язки в межах спеціальності;</w:t>
      </w:r>
    </w:p>
    <w:p w14:paraId="556802C5" w14:textId="58FAD4E6" w:rsidR="00DF3DB1" w:rsidRPr="00C83932" w:rsidRDefault="00DF3DB1" w:rsidP="00C83932">
      <w:pPr>
        <w:pStyle w:val="a4"/>
        <w:numPr>
          <w:ilvl w:val="0"/>
          <w:numId w:val="38"/>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стажування - набуття особою досвіду виконання завдань та обов'язків певної спеціальності.</w:t>
      </w:r>
    </w:p>
    <w:p w14:paraId="284481C2"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Післядипломна освіта здійснюється вищими навчальними закладами післядипломної освіти або структурними підрозділами вищих навчальних закладів відповідного рівня акредитації, в тому числі на підставі укладених договорів.</w:t>
      </w:r>
    </w:p>
    <w:p w14:paraId="3A06775A"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Аспірантура (докторантура) - спеціалізований підрозділ вищого навчального закладу чи науково-дослідницької установи з підготовки викладацьких та наукових кадрів високої кваліфікації - кандидатів наук (докторів наук).</w:t>
      </w:r>
    </w:p>
    <w:p w14:paraId="1D93CB60"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Самоосвіта - освіта, яку отримують у процесі самостійної роботи без проходження систематичного курсу навчання в стаціонарному навчальному закладі. Крім того, самоосвіта є невід’ємною частиною систематичного навчання в стаціонарних закладах, сприяє поглибленню, розширенню та більш міцному засвоєнню знань.</w:t>
      </w:r>
    </w:p>
    <w:p w14:paraId="5624DFC7"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Предметом освітньої політики</w:t>
      </w:r>
      <w:r w:rsidR="00905C43" w:rsidRPr="00C83932">
        <w:rPr>
          <w:rFonts w:ascii="Times New Roman" w:hAnsi="Times New Roman" w:cs="Times New Roman"/>
          <w:b/>
          <w:bCs/>
          <w:i/>
          <w:iCs/>
          <w:noProof/>
          <w:sz w:val="28"/>
          <w:szCs w:val="28"/>
        </w:rPr>
        <w:t xml:space="preserve"> </w:t>
      </w:r>
      <w:r w:rsidRPr="00C83932">
        <w:rPr>
          <w:rFonts w:ascii="Times New Roman" w:hAnsi="Times New Roman" w:cs="Times New Roman"/>
          <w:noProof/>
          <w:sz w:val="28"/>
          <w:szCs w:val="28"/>
        </w:rPr>
        <w:t>є відносини або система відносин, що виникають в процесі діяльності її суб’єктів.</w:t>
      </w:r>
    </w:p>
    <w:p w14:paraId="37E70227"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Відносини у галузі освіти- це врегульовані джерелами різних галузей законодавства правовідносини, покликані забезпечити функціонування системи освіти.</w:t>
      </w:r>
    </w:p>
    <w:p w14:paraId="7BEE2F46" w14:textId="77777777" w:rsidR="00905C43"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Юридичним змістом відносин у галузі освіти постають конкретні права та обов’язки учасників цих правовідносин.</w:t>
      </w:r>
    </w:p>
    <w:p w14:paraId="28A74908" w14:textId="22F3BEDF"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Класифікація суспільних відносин у сфері освіти:</w:t>
      </w:r>
    </w:p>
    <w:p w14:paraId="34A96FCE"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конституційно-правові відносини – щодо визначення та здійснення державної освітньої політики та/або встановлення компетенції вищих державних органів у галузі освіти;</w:t>
      </w:r>
    </w:p>
    <w:p w14:paraId="6332F8A4"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адміністративні відносини, які виникають між суб’єктами управління та підпорядкування у галузі освіти;</w:t>
      </w:r>
    </w:p>
    <w:p w14:paraId="35799E5F"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відносини соціального забезпечення учасників освітніх правовідносин;</w:t>
      </w:r>
    </w:p>
    <w:p w14:paraId="15BD607B"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трудові відносини, у які вступають освітяни;</w:t>
      </w:r>
    </w:p>
    <w:p w14:paraId="1D2B0A7B"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цивільно-правові відносини щодо надання освітніх послуг;</w:t>
      </w:r>
    </w:p>
    <w:p w14:paraId="173DC237"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відносини з приводу авторських та суміжних прав;</w:t>
      </w:r>
    </w:p>
    <w:p w14:paraId="37506DEE"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відносини, врегульовані сімейним правом, у тому числі в частині надання освіти у сім’ї;</w:t>
      </w:r>
    </w:p>
    <w:p w14:paraId="239614E9"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фінансові відносини, у які вступають навчальні заклади, їх структурні підрозділи, органи управління освітою, їх працівники;</w:t>
      </w:r>
    </w:p>
    <w:p w14:paraId="4FACF321"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господарські відносини, у які вступають навчальні заклади, їх структурні підрозділи, органи управління освітою тощо;</w:t>
      </w:r>
    </w:p>
    <w:p w14:paraId="38F81394"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податкові відносини, у які вступають навчальні заклади, їх структурні підрозділи, органи управління освітою тощо;</w:t>
      </w:r>
    </w:p>
    <w:p w14:paraId="2013DF65"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бюджетні правовідносини, у які вступають навчальні заклади, їх структурні підрозділи, органи управління освітою тощо;</w:t>
      </w:r>
    </w:p>
    <w:p w14:paraId="356DFC3C" w14:textId="77777777"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земельні відносини, у які вступають навчальні заклади, їх структурні підрозділи, органи управління освітою тощо;</w:t>
      </w:r>
    </w:p>
    <w:p w14:paraId="57725BC4" w14:textId="1A2A51DF" w:rsidR="00DF3DB1" w:rsidRPr="00C83932" w:rsidRDefault="00DF3DB1" w:rsidP="00C83932">
      <w:pPr>
        <w:numPr>
          <w:ilvl w:val="0"/>
          <w:numId w:val="39"/>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безпосередньо освітні правовідносини (педагогічні відносини як їх складову частину або тотожній феномен)</w:t>
      </w:r>
      <w:r w:rsidR="00905C43" w:rsidRPr="00C83932">
        <w:rPr>
          <w:rFonts w:ascii="Times New Roman" w:hAnsi="Times New Roman" w:cs="Times New Roman"/>
          <w:noProof/>
          <w:sz w:val="28"/>
          <w:szCs w:val="28"/>
        </w:rPr>
        <w:t xml:space="preserve"> [</w:t>
      </w:r>
      <w:r w:rsidR="00C83932" w:rsidRPr="00C83932">
        <w:rPr>
          <w:rFonts w:ascii="Times New Roman" w:hAnsi="Times New Roman" w:cs="Times New Roman"/>
          <w:noProof/>
          <w:sz w:val="28"/>
          <w:szCs w:val="28"/>
          <w:lang w:val="uk-UA"/>
        </w:rPr>
        <w:t>27, с. 58</w:t>
      </w:r>
      <w:r w:rsidR="00905C43"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3CEFB056" w14:textId="64939048" w:rsidR="00DF3DB1" w:rsidRPr="00C83932" w:rsidRDefault="00DF3DB1"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Згідно статті 6 Закону України </w:t>
      </w:r>
      <w:r w:rsidR="00905C43"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Про освіту</w:t>
      </w:r>
      <w:r w:rsidR="00905C43"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освітня політика України ґрунтується на принципах, орієнтованих на досягнення національною системою вищої освіти сучасного світового рівня, відродження її самобутнього національного характеру, докорінне покращення змісту, форм і методів навчання у ВНЗ, збільшення інтелектуального потенціалу країни</w:t>
      </w:r>
      <w:r w:rsidR="00905C43" w:rsidRPr="00C83932">
        <w:rPr>
          <w:rFonts w:ascii="Times New Roman" w:hAnsi="Times New Roman" w:cs="Times New Roman"/>
          <w:noProof/>
          <w:sz w:val="28"/>
          <w:szCs w:val="28"/>
          <w:lang w:val="uk-UA"/>
        </w:rPr>
        <w:t xml:space="preserve"> </w:t>
      </w:r>
      <w:r w:rsidR="00905C43"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2</w:t>
      </w:r>
      <w:r w:rsidR="00905C43" w:rsidRPr="00C83932">
        <w:rPr>
          <w:rFonts w:ascii="Times New Roman" w:hAnsi="Times New Roman" w:cs="Times New Roman"/>
          <w:noProof/>
          <w:sz w:val="28"/>
          <w:szCs w:val="28"/>
        </w:rPr>
        <w:t>]</w:t>
      </w:r>
      <w:r w:rsidRPr="00C83932">
        <w:rPr>
          <w:rFonts w:ascii="Times New Roman" w:hAnsi="Times New Roman" w:cs="Times New Roman"/>
          <w:noProof/>
          <w:sz w:val="28"/>
          <w:szCs w:val="28"/>
        </w:rPr>
        <w:t>.</w:t>
      </w:r>
    </w:p>
    <w:p w14:paraId="10A721F8" w14:textId="2057FC60" w:rsidR="00905C43" w:rsidRPr="00C83932" w:rsidRDefault="00905C43"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30757C1D" w14:textId="77777777" w:rsidR="00905C43" w:rsidRPr="00C83932" w:rsidRDefault="00905C43"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Висновки до розділу 2.</w:t>
      </w:r>
    </w:p>
    <w:p w14:paraId="6A79BAA0" w14:textId="2627390E" w:rsidR="00DF3DB1" w:rsidRPr="00C83932" w:rsidRDefault="00DF3DB1" w:rsidP="00C83932">
      <w:pPr>
        <w:spacing w:line="360" w:lineRule="auto"/>
        <w:jc w:val="both"/>
        <w:rPr>
          <w:rFonts w:ascii="Times New Roman" w:hAnsi="Times New Roman" w:cs="Times New Roman"/>
          <w:noProof/>
          <w:sz w:val="28"/>
          <w:szCs w:val="28"/>
        </w:rPr>
      </w:pPr>
    </w:p>
    <w:p w14:paraId="49C4A3BB" w14:textId="2AC587B1" w:rsidR="00905C43" w:rsidRPr="00C83932" w:rsidRDefault="00905C4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Виходячи з засад соціально-адекватного менеджменту представляється можливим розробити комплексне визначення поняття державного управління освітою, що являє собою владно-розпорядна діяльність щодо реалізації державної політики у сфері післядипломної освіти та забезпечення адекватності її функціонування стрижневим цілям розвитку суспільства, здійснювану на законодавчих засадах.</w:t>
      </w:r>
    </w:p>
    <w:p w14:paraId="43F6C46F" w14:textId="77777777" w:rsidR="00E61D69" w:rsidRPr="00C83932" w:rsidRDefault="00905C4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Аналіз розвитку освітньої політики дає можливість визначити кілька її важливих закономірностей. По-перше, структура системи освіти має стійку тенденцію до ускладнення, що обумовлюється поступовим розвитком соціальної структури суспільства, зростанням його економічних, соціальних, духовних потреб і, як наслідок, урізноманітненням взаємодії багатьох процесів і явищ. Звичайно, це не відбувається по прямій, висхідній лінії, але домінуючим підсумком є зростання значущості освіти в розвитку суспільства. Цей процес охоплює всі етапи формування й розвитку системи освіти: від зародження простих форм навчання і виховання в первісному суспільстві до перетворення її на визначальний чинник сучасного інформаційного суспільства. </w:t>
      </w:r>
    </w:p>
    <w:p w14:paraId="75CAC2CF" w14:textId="77777777" w:rsidR="00E61D69" w:rsidRPr="00C83932" w:rsidRDefault="00905C43"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По-друге, для освітньої політки завжди була характерною множинність суб’єктів її здійснення. Без сумніву, співвідношення ролі тих чи інших суб’єктів у формуванні та реалізації освітньої політики не було сталим, постійно змінювалось. Але з моменту свого утворення держава перетворюється на провідного суб’єкта освітньої політики. Властивими їй методами (правовими, адміністративними, економічними) вона активно включається в процес освіти нових людських генерацій. Державна освітня функція</w:t>
      </w:r>
      <w:r w:rsidR="00E61D69"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rPr>
        <w:t xml:space="preserve">простежується протягом усього періоду існування держави, більше того, вплив держави на освітні процеси постійно посилюється. Це обумовлюється серйозним ускладненням життя суспільства й підвищенням </w:t>
      </w:r>
      <w:r w:rsidRPr="00C83932">
        <w:rPr>
          <w:rFonts w:ascii="Times New Roman" w:hAnsi="Times New Roman" w:cs="Times New Roman"/>
          <w:noProof/>
          <w:sz w:val="28"/>
          <w:szCs w:val="28"/>
        </w:rPr>
        <w:lastRenderedPageBreak/>
        <w:t>унаслідок цього питомої ваги державної влади в механізмах суспільної регуляції. Саме держава в ході реалізації освітньої функції пов’язує між собою інтереси різних груп і спонукає їх до прояву активності з метою досягнення єдиних визначених цілей</w:t>
      </w:r>
      <w:r w:rsidR="00E61D69" w:rsidRPr="00C83932">
        <w:rPr>
          <w:rFonts w:ascii="Times New Roman" w:hAnsi="Times New Roman" w:cs="Times New Roman"/>
          <w:noProof/>
          <w:sz w:val="28"/>
          <w:szCs w:val="28"/>
          <w:lang w:val="uk-UA"/>
        </w:rPr>
        <w:t>.</w:t>
      </w:r>
    </w:p>
    <w:p w14:paraId="1DCB30C7" w14:textId="77777777" w:rsidR="00E61D69" w:rsidRPr="00C83932" w:rsidRDefault="00905C43"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По-третє, будь-яка держава</w:t>
      </w:r>
      <w:r w:rsidR="00E61D69"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функціонує в певному соціальному оточенні, залежить від економіки та культури суспільства, його структури, психології та матеріальних і духовних цінностей громадян, їх менталітету, історичної пам’яті поколінь тощо. У зв’язку з цим процеси формування і здійснення освітньої політики на кожному етапі розвитку суспільства мають певні особливості, які детермінуються співвідношенням соціально-економічних умов та суспільно-політичних відносин, яке, власне, і впливає на визначення змісту, пріоритетних цілей освітньої політики, вибір методів і засобів їх досягнення. Сукупність цілей та завдань держави, що практично реалізуються нею в освітній сфері, відображають сутність держави та її соціальне призначення</w:t>
      </w:r>
      <w:r w:rsidR="00E61D69" w:rsidRPr="00C83932">
        <w:rPr>
          <w:rFonts w:ascii="Times New Roman" w:hAnsi="Times New Roman" w:cs="Times New Roman"/>
          <w:noProof/>
          <w:sz w:val="28"/>
          <w:szCs w:val="28"/>
          <w:lang w:val="uk-UA"/>
        </w:rPr>
        <w:t>.</w:t>
      </w:r>
    </w:p>
    <w:p w14:paraId="76F360B9" w14:textId="760A21B7" w:rsidR="00905C43" w:rsidRPr="00C83932" w:rsidRDefault="00905C4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Отже, державну освітню політику можна визначити як складову політики держави, що відображає сукупність її цілей і завдань у сфері освіти, які формуються політичною системою залежно від сутності держави та її соціального призначення і реалізуються нею за допомогою відповідних інструментів. Таким чином, поняття «державна освітня політика» передбачає, що вона формується, визначається державою і здійснюється від її імені в особі державних органів та установ, які уособлюють усі гілки державної влади, з метою упорядкування освітніх процесів, здійснення на них впливу або безпосереднього визначення їх перебігу.</w:t>
      </w:r>
    </w:p>
    <w:p w14:paraId="7DBC548D" w14:textId="3D0494CB" w:rsidR="00BC6E72" w:rsidRPr="00C83932" w:rsidRDefault="00BC6E72"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18E1F49A" w14:textId="6ED1ACDF" w:rsidR="00BC6E72" w:rsidRPr="00C83932" w:rsidRDefault="00BC6E72"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РОЗДІЛ 3</w:t>
      </w:r>
      <w:r w:rsidR="004D013C" w:rsidRPr="00C83932">
        <w:rPr>
          <w:b/>
          <w:bCs/>
          <w:noProof/>
          <w:sz w:val="28"/>
          <w:szCs w:val="28"/>
          <w:lang w:val="uk-UA"/>
        </w:rPr>
        <w:t>.</w:t>
      </w:r>
      <w:r w:rsidRPr="00C83932">
        <w:rPr>
          <w:b/>
          <w:bCs/>
          <w:noProof/>
          <w:sz w:val="28"/>
          <w:szCs w:val="28"/>
          <w:lang w:val="uk-UA"/>
        </w:rPr>
        <w:t xml:space="preserve"> УПРАВЛІННЯ ОСВІТОЮ В ЄС.</w:t>
      </w:r>
    </w:p>
    <w:p w14:paraId="2F717B9B" w14:textId="50A18E5D" w:rsidR="00BC6E72" w:rsidRPr="00C83932" w:rsidRDefault="00BC6E72" w:rsidP="00C83932">
      <w:pPr>
        <w:pStyle w:val="a3"/>
        <w:numPr>
          <w:ilvl w:val="1"/>
          <w:numId w:val="4"/>
        </w:numPr>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t>Система управління освітою в ЄС.</w:t>
      </w:r>
    </w:p>
    <w:p w14:paraId="2E21E1D8" w14:textId="77777777" w:rsidR="004D013C" w:rsidRPr="00C83932" w:rsidRDefault="004D013C" w:rsidP="00C83932">
      <w:pPr>
        <w:pStyle w:val="a3"/>
        <w:shd w:val="clear" w:color="auto" w:fill="FFFFFF"/>
        <w:spacing w:before="0" w:beforeAutospacing="0" w:after="0" w:afterAutospacing="0" w:line="360" w:lineRule="auto"/>
        <w:jc w:val="both"/>
        <w:rPr>
          <w:b/>
          <w:bCs/>
          <w:noProof/>
          <w:sz w:val="28"/>
          <w:szCs w:val="28"/>
          <w:lang w:val="uk-UA"/>
        </w:rPr>
      </w:pPr>
    </w:p>
    <w:p w14:paraId="7D3FCB0A"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В європейських країнах історично сформувалася відносна спільність систем освіти, яка виражена в наступному: визнання і забезпечення загальних основ філософських принципів освіти (принцип рівності і свободи), ліберальної ідеології, в основі якої загальні цінності - свобода совісті й свобода освіти; визнання прав людини, в тому числі права на освіту для всіх, яке передбачає зв’язок рівності, обов'язковості і безоплатності освіти як компонентів демократичного устрою суспільства; визнання освіти як цінності для суспільного розвитку, введення обов’язкової освіти для всіх і продовження термінів обов'язкової освіти. </w:t>
      </w:r>
    </w:p>
    <w:p w14:paraId="6FB15121"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Державна політика в галузі освіти може визначатися урядом або Міністерством освіти країни, консультативним чи дорадчим органом при урядові, Міністерстві, іншими установами і організаціями. Державну політику в галузі освіти у більшості європейських країн (Німеччина, Норвегія, Швеція) формує федеральне відомство, відповідальне за освіту, до повноважень якого належить розробка освітньої політики, завдань і положень щодо організації навчання (регіональна політика, навчальні плани і програми). </w:t>
      </w:r>
    </w:p>
    <w:p w14:paraId="3A1DE54B"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Здійснення контролю і фінансування освітніх установ належать регіонам. Як правило, на державному рівні приймаються рамкові закони про загальну (середньому) освіту і про вищу освіту, що визначають базові ознаки системи освіти, на основі яких розробляються і приймаються більш конкретні і розгорнуті регіональні закони, або ж основні принципи і політика освіти задаються Конституцією країни</w:t>
      </w:r>
      <w:r w:rsidR="004D013C" w:rsidRPr="00C83932">
        <w:rPr>
          <w:noProof/>
          <w:sz w:val="28"/>
          <w:szCs w:val="28"/>
          <w:lang w:val="uk-UA"/>
        </w:rPr>
        <w:t xml:space="preserve">. </w:t>
      </w:r>
      <w:r w:rsidRPr="00C83932">
        <w:rPr>
          <w:noProof/>
          <w:sz w:val="28"/>
          <w:szCs w:val="28"/>
        </w:rPr>
        <w:t xml:space="preserve">Як показує проведений аналіз, однією з функцій центральної влади стає функція гармонізації внутрішнього національного права з загальноєвропейським правом в освіті. Це і є основою для поширення і реалізації загальноєвропейської освітньої політики в багатьох країнах Європи. Однак, на рівні регіональної політики може проявлятися протилежна тенденція, оскільки в функції місцевої влади входить збереження </w:t>
      </w:r>
      <w:r w:rsidRPr="00C83932">
        <w:rPr>
          <w:noProof/>
          <w:sz w:val="28"/>
          <w:szCs w:val="28"/>
        </w:rPr>
        <w:lastRenderedPageBreak/>
        <w:t xml:space="preserve">культурної регіональної ідентичності, що ускладнює поширення загальноєвропейської освітньої політики. </w:t>
      </w:r>
    </w:p>
    <w:p w14:paraId="11D8E74B"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Ключове питання освітньої політики - питання про цілі освіти. Актуальними проблемами сучасної освітньої політики є: оптимізація функцій управління і розподілу повноважень; ресурси управління і розвитку освіти; моніторинг освіти і його громадська підзвітність; роль освіти у вирішенні міжнаціональних і міжконфесійних конфліктів, забезпеченні ринкових механізмів у наданні освітніх послуг, ефективності використання фінансових і матеріальних ресурсів в реалізації цілей освіти, рівності освітніх можливостей і справедливості доступу; формування освітніх стандартів. </w:t>
      </w:r>
    </w:p>
    <w:p w14:paraId="7EDA5F4F"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Проведений аналіз правових актів і наукових джерел, які формують основи для координації політики в галузі освіти європейських країн, дозволяє виділити три основні групи стратегічних цілей: </w:t>
      </w:r>
    </w:p>
    <w:p w14:paraId="52B0E5C5" w14:textId="77777777" w:rsidR="004D013C" w:rsidRPr="00C83932" w:rsidRDefault="007D3915" w:rsidP="00BA5B5C">
      <w:pPr>
        <w:pStyle w:val="a3"/>
        <w:numPr>
          <w:ilvl w:val="0"/>
          <w:numId w:val="44"/>
        </w:numPr>
        <w:shd w:val="clear" w:color="auto" w:fill="FFFFFF"/>
        <w:spacing w:before="0" w:beforeAutospacing="0" w:after="0" w:afterAutospacing="0" w:line="360" w:lineRule="auto"/>
        <w:jc w:val="both"/>
        <w:rPr>
          <w:noProof/>
          <w:sz w:val="28"/>
          <w:szCs w:val="28"/>
        </w:rPr>
      </w:pPr>
      <w:r w:rsidRPr="00C83932">
        <w:rPr>
          <w:noProof/>
          <w:sz w:val="28"/>
          <w:szCs w:val="28"/>
        </w:rPr>
        <w:t>цілі якості / ефективності: «підвищення якості та ефективності систем освіти і підготовки»;</w:t>
      </w:r>
    </w:p>
    <w:p w14:paraId="38BF9B3F" w14:textId="77777777" w:rsidR="004D013C" w:rsidRPr="00C83932" w:rsidRDefault="007D3915" w:rsidP="00BA5B5C">
      <w:pPr>
        <w:pStyle w:val="a3"/>
        <w:numPr>
          <w:ilvl w:val="0"/>
          <w:numId w:val="44"/>
        </w:numPr>
        <w:shd w:val="clear" w:color="auto" w:fill="FFFFFF"/>
        <w:spacing w:before="0" w:beforeAutospacing="0" w:after="0" w:afterAutospacing="0" w:line="360" w:lineRule="auto"/>
        <w:jc w:val="both"/>
        <w:rPr>
          <w:noProof/>
          <w:sz w:val="28"/>
          <w:szCs w:val="28"/>
        </w:rPr>
      </w:pPr>
      <w:r w:rsidRPr="00C83932">
        <w:rPr>
          <w:noProof/>
          <w:sz w:val="28"/>
          <w:szCs w:val="28"/>
        </w:rPr>
        <w:t xml:space="preserve">цілі справедливості: «забезпечення загального доступу до освіти і підготовки»; </w:t>
      </w:r>
    </w:p>
    <w:p w14:paraId="67C48145" w14:textId="77777777" w:rsidR="004D013C" w:rsidRPr="00C83932" w:rsidRDefault="007D3915" w:rsidP="00BA5B5C">
      <w:pPr>
        <w:pStyle w:val="a3"/>
        <w:numPr>
          <w:ilvl w:val="0"/>
          <w:numId w:val="44"/>
        </w:numPr>
        <w:shd w:val="clear" w:color="auto" w:fill="FFFFFF"/>
        <w:spacing w:before="0" w:beforeAutospacing="0" w:after="0" w:afterAutospacing="0" w:line="360" w:lineRule="auto"/>
        <w:jc w:val="both"/>
        <w:rPr>
          <w:noProof/>
          <w:sz w:val="28"/>
          <w:szCs w:val="28"/>
        </w:rPr>
      </w:pPr>
      <w:r w:rsidRPr="00C83932">
        <w:rPr>
          <w:noProof/>
          <w:sz w:val="28"/>
          <w:szCs w:val="28"/>
        </w:rPr>
        <w:t xml:space="preserve">цілі управління: «відкриття систем освіти і навчання для більш широкого світу» [11]. </w:t>
      </w:r>
    </w:p>
    <w:p w14:paraId="5D26A98A" w14:textId="77777777" w:rsidR="004D013C"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Дані цілі розглядаються нами як пріоритетні напрями підготовки менеджерів освітньої галузі, які визначають в свою чергу основні напрями побудови змісту програм підготовки. Підвищення якості стало найважливішою метою політики багатьох країн. Якісна освіта означає, перш за все, те, що учні отримують основні знання і навички, необхідні для роботи і повсякденного життя, а також їм прищеплюються бажання і мотивація вчитися. Для інституційного середовища це означає, що школи мають високі можливості з організації безперервного розвитку своєї діяльності й забезпечення різноманітних освітніх послуг. </w:t>
      </w:r>
    </w:p>
    <w:p w14:paraId="0953DFAD"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Сучасна модель європейської школи здатна мотивувати учнів до праці, пов'язаних з навчанням, а також пропонувати їм хороші перспективи </w:t>
      </w:r>
      <w:r w:rsidRPr="00C83932">
        <w:rPr>
          <w:noProof/>
          <w:sz w:val="28"/>
          <w:szCs w:val="28"/>
        </w:rPr>
        <w:lastRenderedPageBreak/>
        <w:t xml:space="preserve">працевлаштування, що стає більш високоякісною, ніж та, яка просто готує більшу частину своїх учнів на вступ до університету. Ще одна мета державної політики, справедливість, також отримала нове звучання. </w:t>
      </w:r>
    </w:p>
    <w:p w14:paraId="56721563"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Справедливість більше не інтерпретується як вимога абсолютної однаковості освітніх послуг. З іншого боку, розвиток гнучких освітніх маршрутів для учнів є ключовим елементом нової європейської політики в сфері справедливості. Такий індивідуальний підхід вимагає відповідної гнучкості в моделюванні навчальних планів і програм, а також у розвитку додаткових навичок, в тому числі, наприклад, отриманих в житті, роботі та інших умовах, що виходять за рамки формального навчання. </w:t>
      </w:r>
    </w:p>
    <w:p w14:paraId="57781BC7" w14:textId="4C5F9F1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Якість і справедливість не є взаємовиключними цілями державної політики. Навпаки, передбачається, що ці цілі взаємно підкріплюються. Європейськими країнами визначено ряд проблемних аспектів щодо освітньої політики, зокрема в напрямі менеджменту освіти на загальноєвропейському, національному та регіональному рівнях. В аналітичній доповіді Світового банку [8</w:t>
      </w:r>
      <w:r w:rsidR="00C83932" w:rsidRPr="00C83932">
        <w:rPr>
          <w:noProof/>
          <w:sz w:val="28"/>
          <w:szCs w:val="28"/>
          <w:lang w:val="uk-UA"/>
        </w:rPr>
        <w:t>, с. 19</w:t>
      </w:r>
      <w:r w:rsidRPr="00C83932">
        <w:rPr>
          <w:noProof/>
          <w:sz w:val="28"/>
          <w:szCs w:val="28"/>
        </w:rPr>
        <w:t xml:space="preserve">] фахівці з людського розвитку виділили ряд проблемних сфер. </w:t>
      </w:r>
    </w:p>
    <w:p w14:paraId="328226F8"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Перша сфера − переорієнтування систем освіти на потреби ринкової економіки і плюралістичної демократії, безперечно, є не тільки наймасштабнішою, а й найскладнішою проблемою, з якою системи освіти деяких європейських країн стикаються досі [8, с.20 -22]. Адаптація освіти до нинішньої ринкової економіки вимагає особливих зусиль. Для цього потрібно не тільки впоратися із завданням переходу від властивих адміністративній економіці способу мислення і знань до тих, які потрібні в умовах ринкової економіки, а й адаптувати систему до нової глобальної економіки</w:t>
      </w:r>
      <w:r w:rsidR="00DF130E" w:rsidRPr="00C83932">
        <w:rPr>
          <w:noProof/>
          <w:sz w:val="28"/>
          <w:szCs w:val="28"/>
          <w:lang w:val="uk-UA"/>
        </w:rPr>
        <w:t xml:space="preserve">. </w:t>
      </w:r>
      <w:r w:rsidRPr="00C83932">
        <w:rPr>
          <w:noProof/>
          <w:sz w:val="28"/>
          <w:szCs w:val="28"/>
        </w:rPr>
        <w:t xml:space="preserve">Виникнення нової глобальної економіки знань та інформаційного суспільства висунули освіту і професійну підготовку на перший план економічного розвитку, але усвідомлення цього контенту в навчальних аудиторіях поки ще не проявляється [14]. </w:t>
      </w:r>
    </w:p>
    <w:p w14:paraId="7DCFB4BD"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Як зазначається в рекомендаціях, реформування процесу передачі знань не означає те ж саме, що і реформування національних навчальних планів, яке </w:t>
      </w:r>
      <w:r w:rsidRPr="00C83932">
        <w:rPr>
          <w:noProof/>
          <w:sz w:val="28"/>
          <w:szCs w:val="28"/>
        </w:rPr>
        <w:lastRenderedPageBreak/>
        <w:t xml:space="preserve">за своєю суттю є конструюванням нових документів. Необхідно змінити повсякденну професійну поведінку викладачів, що є більш складним завданням, ніж створення нових навчальних планів або підручників. </w:t>
      </w:r>
    </w:p>
    <w:p w14:paraId="06E7D2F3" w14:textId="343500B4"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Другою проблемною сферою, виділеною фахівцями, є бідність і нерівність [8, c.29]. Коріння цих тенденцій знаходяться за межами системи освіти. Хоча дитяча бідність і безробіття серед молоді сильно проявляються в ряді східноєвропейських країн, тільки деякі з них виробили цілісну політику в цій галузі [17</w:t>
      </w:r>
      <w:r w:rsidR="00C83932" w:rsidRPr="00C83932">
        <w:rPr>
          <w:noProof/>
          <w:sz w:val="28"/>
          <w:szCs w:val="28"/>
          <w:lang w:val="uk-UA"/>
        </w:rPr>
        <w:t>, с. 79</w:t>
      </w:r>
      <w:r w:rsidRPr="00C83932">
        <w:rPr>
          <w:noProof/>
          <w:sz w:val="28"/>
          <w:szCs w:val="28"/>
        </w:rPr>
        <w:t xml:space="preserve">]. У цій проблемній сфері немає шляху до рішень минулого, коли рівність досягалася шляхом уніфікації освітніх послуг. Політика соціальної справедливості сьогодні базується на застосуванні різних фінансових моделей, що формуються з урахуванням конкретних умов, необхідності цільової допомоги. Це вимагає перегляду інституційних цілей, реалізації нових адміністративних підходів і змін в політиці щодо забезпечення соціальної справедливості. </w:t>
      </w:r>
    </w:p>
    <w:p w14:paraId="07CFF81B"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Третя проблемна сфера державної політики, стосується фінансування освітньої галузі. Досягнення загальних цілей державної політики, таких, як якість освітніх послуг або справедливість, в нових умовах фінансування є сьогодні більш складним завданням, ніж при командно-адміністративній системі управління. Уряду повинні використовувати фінансування в якості нового регулюючого інструменту, що доповнює або навіть замінює інші інструменти регулювання, що часто є не популярними діями для представників окремих груп [8, c.45]. </w:t>
      </w:r>
    </w:p>
    <w:p w14:paraId="21A97487"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Четвертою проблемною сферою є ефективність роботи системи. Звертається увага на те, що є дві причини для звернення до цієї теми. Перша причина полягає в тому, що часто про ефективність системи практично нічого не відомо, і дане питання важко виділити в державній освітній політиці як окрему проблемну область. Друга причина полягає в тому, що вироблення і застосування правильних політичних рішень є не лише складною задачею, але ще і має великий політичний ризик. </w:t>
      </w:r>
    </w:p>
    <w:p w14:paraId="72A7759C"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lastRenderedPageBreak/>
        <w:t xml:space="preserve">Вирішення проблеми ефективності на макрорівні є однією з найчутливіших завдань політики щодо освіти. Тут, по-перше, необхідно отримати нові знання: зібрати інформацію про різні конкретні причини неефективності та зрозуміти їх; по-друге, необхідно виробити життєздатну політику реформ у сфері підвищення ефективності [8, c.62]. </w:t>
      </w:r>
    </w:p>
    <w:p w14:paraId="4C8A4243" w14:textId="77777777" w:rsidR="00DF130E" w:rsidRPr="00C83932" w:rsidRDefault="007D391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П'ята проблема стосується управління системою. У більшості європейських країн децентралізація стала однією з основних цілей освітньої політики, оскільки досягнення таких основних цілей державної політики, як якість, справедливість і ефектив</w:t>
      </w:r>
      <w:r w:rsidR="00A77755" w:rsidRPr="00C83932">
        <w:rPr>
          <w:noProof/>
          <w:sz w:val="28"/>
          <w:szCs w:val="28"/>
        </w:rPr>
        <w:t xml:space="preserve">ність стає складнішим завданням. При цьому підкреслюється, що надзвичайно важливим завданням є підвищення відповідальності, обліку і контролю у сфері забезпечення якості наданих освітніх послуг [8, c.77]. </w:t>
      </w:r>
    </w:p>
    <w:p w14:paraId="3997FD39" w14:textId="77777777" w:rsidR="00DF130E"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Моделі систем освіти, що переважає в європейських країнах, базуються на принципах: рівності освітніх можливостей, тобто надання державної гарантії розвитку загальної освіти, доступної всім; масова школа розглядається як державний освітній заклад. Ця політика спрямована на цивілізовану конкуренцію, забезпечення права особистості на освіту, відповідальності держави щодо фінансування, організації та контролю освітніх послуг. Особливості управління системою освіти в різних країнах визначаються специфікою соціальнополітичних умов: політичні федеральні системи визначають мінімальну роль національної держави в освіті; унітарні держави прагнуть до децентралізації системи освіти; політичний регіоналізм сприяє тому, що держава є посередником у розвитку освіти. </w:t>
      </w:r>
    </w:p>
    <w:p w14:paraId="4C572E24" w14:textId="77777777" w:rsidR="00DF130E"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Існують різні варіанти рівнів менеджменту освіти в Європі: </w:t>
      </w:r>
    </w:p>
    <w:p w14:paraId="43CFBFAA" w14:textId="77777777" w:rsidR="00DF130E" w:rsidRPr="00C83932" w:rsidRDefault="00A77755" w:rsidP="00BA5B5C">
      <w:pPr>
        <w:pStyle w:val="a3"/>
        <w:numPr>
          <w:ilvl w:val="0"/>
          <w:numId w:val="45"/>
        </w:numPr>
        <w:shd w:val="clear" w:color="auto" w:fill="FFFFFF"/>
        <w:spacing w:before="0" w:beforeAutospacing="0" w:after="0" w:afterAutospacing="0" w:line="360" w:lineRule="auto"/>
        <w:jc w:val="both"/>
        <w:rPr>
          <w:noProof/>
          <w:sz w:val="28"/>
          <w:szCs w:val="28"/>
        </w:rPr>
      </w:pPr>
      <w:r w:rsidRPr="00C83932">
        <w:rPr>
          <w:noProof/>
          <w:sz w:val="28"/>
          <w:szCs w:val="28"/>
        </w:rPr>
        <w:t xml:space="preserve">поєднання централізованого і місцевого управління (Великобританія, Італія, Люксембург, Греція, Швейцарія); </w:t>
      </w:r>
    </w:p>
    <w:p w14:paraId="4A227EFE" w14:textId="77777777" w:rsidR="00DF130E" w:rsidRPr="00C83932" w:rsidRDefault="00A77755" w:rsidP="00BA5B5C">
      <w:pPr>
        <w:pStyle w:val="a3"/>
        <w:numPr>
          <w:ilvl w:val="0"/>
          <w:numId w:val="45"/>
        </w:numPr>
        <w:shd w:val="clear" w:color="auto" w:fill="FFFFFF"/>
        <w:spacing w:before="0" w:beforeAutospacing="0" w:after="0" w:afterAutospacing="0" w:line="360" w:lineRule="auto"/>
        <w:jc w:val="both"/>
        <w:rPr>
          <w:noProof/>
          <w:sz w:val="28"/>
          <w:szCs w:val="28"/>
        </w:rPr>
      </w:pPr>
      <w:r w:rsidRPr="00C83932">
        <w:rPr>
          <w:noProof/>
          <w:sz w:val="28"/>
          <w:szCs w:val="28"/>
        </w:rPr>
        <w:t xml:space="preserve">поєднання центрального, регіонального та місцевого управління (Нідерланди, Бельгія, Данія, Іспанія, Португалія, Австрія, Швеція, Росія); </w:t>
      </w:r>
    </w:p>
    <w:p w14:paraId="388CA409" w14:textId="77777777" w:rsidR="00DF130E" w:rsidRPr="00C83932" w:rsidRDefault="00A77755" w:rsidP="00BA5B5C">
      <w:pPr>
        <w:pStyle w:val="a3"/>
        <w:numPr>
          <w:ilvl w:val="0"/>
          <w:numId w:val="45"/>
        </w:numPr>
        <w:shd w:val="clear" w:color="auto" w:fill="FFFFFF"/>
        <w:spacing w:before="0" w:beforeAutospacing="0" w:after="0" w:afterAutospacing="0" w:line="360" w:lineRule="auto"/>
        <w:jc w:val="both"/>
        <w:rPr>
          <w:noProof/>
          <w:sz w:val="28"/>
          <w:szCs w:val="28"/>
        </w:rPr>
      </w:pPr>
      <w:r w:rsidRPr="00C83932">
        <w:rPr>
          <w:noProof/>
          <w:sz w:val="28"/>
          <w:szCs w:val="28"/>
        </w:rPr>
        <w:lastRenderedPageBreak/>
        <w:t xml:space="preserve">поєднання федерального управління, самоврядування в кожній землі і регіонального управління (ФРН); </w:t>
      </w:r>
    </w:p>
    <w:p w14:paraId="232C84C2" w14:textId="77777777" w:rsidR="00DF130E" w:rsidRPr="00C83932" w:rsidRDefault="00A77755" w:rsidP="00BA5B5C">
      <w:pPr>
        <w:pStyle w:val="a3"/>
        <w:numPr>
          <w:ilvl w:val="0"/>
          <w:numId w:val="45"/>
        </w:numPr>
        <w:shd w:val="clear" w:color="auto" w:fill="FFFFFF"/>
        <w:spacing w:before="0" w:beforeAutospacing="0" w:after="0" w:afterAutospacing="0" w:line="360" w:lineRule="auto"/>
        <w:jc w:val="both"/>
        <w:rPr>
          <w:noProof/>
          <w:sz w:val="28"/>
          <w:szCs w:val="28"/>
        </w:rPr>
      </w:pPr>
      <w:r w:rsidRPr="00C83932">
        <w:rPr>
          <w:noProof/>
          <w:sz w:val="28"/>
          <w:szCs w:val="28"/>
        </w:rPr>
        <w:t xml:space="preserve">поєднання центрального, регіонального, провінційного і місцевого окружного управління (Італія); </w:t>
      </w:r>
    </w:p>
    <w:p w14:paraId="27846EF7" w14:textId="77777777" w:rsidR="00DF130E" w:rsidRPr="00C83932" w:rsidRDefault="00A77755" w:rsidP="00BA5B5C">
      <w:pPr>
        <w:pStyle w:val="a3"/>
        <w:numPr>
          <w:ilvl w:val="0"/>
          <w:numId w:val="45"/>
        </w:numPr>
        <w:shd w:val="clear" w:color="auto" w:fill="FFFFFF"/>
        <w:spacing w:before="0" w:beforeAutospacing="0" w:after="0" w:afterAutospacing="0" w:line="360" w:lineRule="auto"/>
        <w:jc w:val="both"/>
        <w:rPr>
          <w:noProof/>
          <w:sz w:val="28"/>
          <w:szCs w:val="28"/>
        </w:rPr>
      </w:pPr>
      <w:r w:rsidRPr="00C83932">
        <w:rPr>
          <w:noProof/>
          <w:sz w:val="28"/>
          <w:szCs w:val="28"/>
        </w:rPr>
        <w:t xml:space="preserve">поєднання центрального, регіонального, департаментського, комунального управління у Франції та ін. </w:t>
      </w:r>
    </w:p>
    <w:p w14:paraId="6397B3AA"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lang w:val="uk-UA"/>
        </w:rPr>
      </w:pPr>
      <w:r w:rsidRPr="00C83932">
        <w:rPr>
          <w:noProof/>
          <w:sz w:val="28"/>
          <w:szCs w:val="28"/>
        </w:rPr>
        <w:t>Європейські країни представляють собою різноманіття систем управління освітою: централізовані системи; децентралізовані системи</w:t>
      </w:r>
      <w:r w:rsidR="00A57224" w:rsidRPr="00C83932">
        <w:rPr>
          <w:noProof/>
          <w:sz w:val="28"/>
          <w:szCs w:val="28"/>
          <w:lang w:val="uk-UA"/>
        </w:rPr>
        <w:t>;</w:t>
      </w:r>
      <w:r w:rsidRPr="00C83932">
        <w:rPr>
          <w:noProof/>
          <w:sz w:val="28"/>
          <w:szCs w:val="28"/>
        </w:rPr>
        <w:t xml:space="preserve"> системи освіти на шляху децентралізації</w:t>
      </w:r>
      <w:r w:rsidR="00A57224" w:rsidRPr="00C83932">
        <w:rPr>
          <w:noProof/>
          <w:sz w:val="28"/>
          <w:szCs w:val="28"/>
          <w:lang w:val="uk-UA"/>
        </w:rPr>
        <w:t>.</w:t>
      </w:r>
    </w:p>
    <w:p w14:paraId="67D5238B"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У централізованих системах освіти держава (Міністерство освіти) зберігає компетенції адміністративного та фінансового порядку: розподіл ресурсів, підготовка і підбір кадрів, розробка навчального плану, організація іспитів, видача дипломів, фінансовий контроль. </w:t>
      </w:r>
    </w:p>
    <w:p w14:paraId="77CEBE14"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Основною проблемою є відповідність традиційної моделі державної школи завданням, які висуває складний світ сучасної цивілізації: з перспективи школи − зміна ситуації життя дитини в сучасному світі; підвищені вимоги батьків і суспільства до школи; в аспекті змін умов і, відповідно, запитів «споживачів освітніх послуг», так званого «світу праці» та вищої школи; з точки зору змін в розумінні політичного устрою найсучаснішого суспільства і держави і т.п. </w:t>
      </w:r>
    </w:p>
    <w:p w14:paraId="44D7A48C"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Є дві основні обставини, що визначають розуміння освіти і школи, як соціального інституту суспільства в кожній конкретній країні. Перше - це загальна (загальносвітова) тенденція, що знаходить своє вираження в ідеях «громадянської школи» або «більш самостійної», «відповідальної», «самокерованої», «автономної» і т.п. З іншого боку - діючі в кожній з країн освітні традиції, звичний уклад життя, сформовані структури визначає ситуацію в кожній конкретній країні, причому не тільки в сенсі розуміння того, «наскільки держава потрібна школі», а й в сенсі того, що конкретно означає вільна, самостійна або автономна школа. Розуміння призначення школи розрізняються за багатьма істотними пунктами і коливаються від </w:t>
      </w:r>
      <w:r w:rsidRPr="00C83932">
        <w:rPr>
          <w:noProof/>
          <w:sz w:val="28"/>
          <w:szCs w:val="28"/>
        </w:rPr>
        <w:lastRenderedPageBreak/>
        <w:t xml:space="preserve">крайнього політичного лібералізму до принципу індивідуальної свободи. У різних державах панують дуже різні уявлення про те, наскільки названі принципи громадянського суспільства повинні ставати дієвими [17, с.124]. </w:t>
      </w:r>
    </w:p>
    <w:p w14:paraId="1B2D771B"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Не можна стверджувати, що освітня політика в європейських країнах є прямим відображенням державної, їх взаємозв’язки привертають особливу увагу, оскільки відображають не просто поділ відповідальності, але і тому що на рівні регіону, муніципалітетів відбувається зіткнення політичних рішень з реальністю. </w:t>
      </w:r>
    </w:p>
    <w:p w14:paraId="1D5C70F6"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Узгодженість політик всередині однієї країни багато в чому визначаються історично складеними взаєминами між центральними органами влади та регіонами, а також переважаючими традиціями демократизму або централізації в управлінні освітою, оскільки саме вони визначають участь освітньої установи як суб’єкта в розробці шляхів розвитку освіти, визначення актуальних проблем і способів їх вирішення, освітньої політики регіону, держави в цілому. Більшість європейських авторів (і, перш за все, один з провідних європейських політиків в сфері освіти Ф.-Р.Йах [16, c.123-125] відзначають, що відмінності, зумовлені історичною традицією і культурними особливостями між країнами великі, і конкретне положення, наприклад, стаття закону, яка в текстах різних країн формально тотожна, насправді часто означає не одне і теж. У змістовному відношенні традиції європейської освіти відрізняються один від одного. </w:t>
      </w:r>
    </w:p>
    <w:p w14:paraId="358FFC19"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Ф.Р.Йах виділяє три освітніх традиції: модель раціонального енциклопедизму; гуманітарна модель, спрямована переважно на індивідуалізацію і практичну дію; дитиноцентристська або ж людиноцентристська (В.Кремень), що ставить в центр освітньої діяльності дитину і її орієнтацію в колективі та її емоційний і соціальний розвиток. </w:t>
      </w:r>
    </w:p>
    <w:p w14:paraId="4214AF1E" w14:textId="77777777" w:rsidR="00A57224"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Ці три основні традиції спираються на фундаментальні ціннісні орієнтири і установки, які неможливо поєднати в єдиному для всіх європейських держав навчальному плані і стандарті. У той же час можна відзначити, що загальна тенденція у розвитку освітніх систем в Європі </w:t>
      </w:r>
      <w:r w:rsidRPr="00C83932">
        <w:rPr>
          <w:noProof/>
          <w:sz w:val="28"/>
          <w:szCs w:val="28"/>
        </w:rPr>
        <w:lastRenderedPageBreak/>
        <w:t xml:space="preserve">очевидна − майбутнє бачиться в громадській школі, якій надається значна міра автономії. </w:t>
      </w:r>
    </w:p>
    <w:p w14:paraId="2BF5E224"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Обґрунтування легітимності цього напрямку відбувається за трьома основними лініями: правовій, економічній та педагогічній. </w:t>
      </w:r>
    </w:p>
    <w:p w14:paraId="4DE79852"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Правова пов’язана з ідеєю громадянського суспільства і демократії, ґрунтується на традиційних правах і свободах. </w:t>
      </w:r>
    </w:p>
    <w:p w14:paraId="3E642BB1"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Економічна розглядає школу, як підприємство сфери послуг і очікує від автономної школи посилення орієнтації на реальні потреби громадян (споживачів), хоча більшість авторів відхиляють ідею забезпечення школи тільки за рахунок «продажу товару під назвою освіту». </w:t>
      </w:r>
    </w:p>
    <w:p w14:paraId="56EACF67"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Педагогічна стратегія бачить у роздержавленні освітніх установ і надання свободи умову для відповідальної роботи вчителів, координації зусиль між школою і сім’єю. </w:t>
      </w:r>
    </w:p>
    <w:p w14:paraId="33A76787" w14:textId="0037533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Аналіз наукової літератури дозволяє визначити ті об’єктивні і суб’єктивні труднощі, що перешкоджають розвитку гармонізації систем освіти і відкритого європейського освітнього простору. </w:t>
      </w:r>
    </w:p>
    <w:p w14:paraId="598F81D9"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1.Різноманіття культур і як їх відображення багатозначність систем освіти, завданням яких є розвиток та збереження національно-культурної ідентичності.</w:t>
      </w:r>
      <w:r w:rsidRPr="00C83932">
        <w:rPr>
          <w:noProof/>
          <w:sz w:val="28"/>
          <w:szCs w:val="28"/>
          <w:lang w:val="uk-UA"/>
        </w:rPr>
        <w:t xml:space="preserve"> </w:t>
      </w:r>
      <w:r w:rsidRPr="00C83932">
        <w:rPr>
          <w:noProof/>
          <w:sz w:val="28"/>
          <w:szCs w:val="28"/>
        </w:rPr>
        <w:t>Цим визначається і ступінь інтеграційних процесів в</w:t>
      </w:r>
      <w:r w:rsidRPr="00C83932">
        <w:rPr>
          <w:noProof/>
          <w:sz w:val="28"/>
          <w:szCs w:val="28"/>
          <w:lang w:val="uk-UA"/>
        </w:rPr>
        <w:t xml:space="preserve"> </w:t>
      </w:r>
      <w:r w:rsidRPr="00C83932">
        <w:rPr>
          <w:noProof/>
          <w:sz w:val="28"/>
          <w:szCs w:val="28"/>
        </w:rPr>
        <w:t xml:space="preserve">освіті: можливі тільки ті інтеграційні процеси, які не тягнуть зміни функції освіти, спрямованої на збереження національно-культурної ідентичності. </w:t>
      </w:r>
    </w:p>
    <w:p w14:paraId="3A034135"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2. У сучасній європейській освіті розвивається неоліберальне мислення, яке полягає в наступному: функції школи і освітніх послуг - «ефективне задоволення клієнтів», тому що потреби «клієнтів» повинні визначати тип і зміст освіти. Однак «інтереси клієнтів» відображаються в інтересах різних соціальних груп (політиків, партій, батьків, учнів, представників економіки та т. д.). Виникає залежність інтеграційних процесів в освіті від «потреб клієнтів». </w:t>
      </w:r>
    </w:p>
    <w:p w14:paraId="7A902F49"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lastRenderedPageBreak/>
        <w:t xml:space="preserve">3. Національна нормативна база в освіті і стратегія національної освітньої політики можуть сприяти або перешкоджати розвитку інтеграційних процесів. </w:t>
      </w:r>
    </w:p>
    <w:p w14:paraId="3BFE8903"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4. Особливості управління системою освіти (централізоване / децентралізоване). Децентралізація управління системами освіти і висока автономність навчальних закладів у багатьох країнах можуть перешкоджати поширенню «європейського виміру освіти» там, де сильна регіональна політика підтримки національно-культурних традицій. Проте, можна констатувати, що з огляду на зазначені ризики, освітня політика європейських країн стимулює міжкультурну взаємодію в сфері освіти, в яку залучені різні дійові особи - державні діячі, чиновники, вчителі, викладачі вузів, адміністратори навчальних закладів, дослідники, учні, батьки, офіційні особи і широка громадськість, розширюючи таким чином громадянам європейських країн доступ до якісної освіти, що відповідає викликам постіндустріального суспільства. При цьому основним механізмом формування освітньої європейської політики стає механізм узгодження. </w:t>
      </w:r>
    </w:p>
    <w:p w14:paraId="230FA2DF"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У демократичному суспільстві основним механізмом реалізації освітньої політики є громадська дискусія, яка орієнтована на досягнення наступних цілей: </w:t>
      </w:r>
    </w:p>
    <w:p w14:paraId="454E2CE6" w14:textId="77777777" w:rsidR="007F138B" w:rsidRPr="00C83932" w:rsidRDefault="00A77755" w:rsidP="00BA5B5C">
      <w:pPr>
        <w:pStyle w:val="a3"/>
        <w:numPr>
          <w:ilvl w:val="0"/>
          <w:numId w:val="46"/>
        </w:numPr>
        <w:shd w:val="clear" w:color="auto" w:fill="FFFFFF"/>
        <w:spacing w:before="0" w:beforeAutospacing="0" w:after="0" w:afterAutospacing="0" w:line="360" w:lineRule="auto"/>
        <w:jc w:val="both"/>
        <w:rPr>
          <w:noProof/>
          <w:sz w:val="28"/>
          <w:szCs w:val="28"/>
        </w:rPr>
      </w:pPr>
      <w:r w:rsidRPr="00C83932">
        <w:rPr>
          <w:noProof/>
          <w:sz w:val="28"/>
          <w:szCs w:val="28"/>
        </w:rPr>
        <w:t xml:space="preserve">забезпечення високої якості політичних документів через максимальне залучення максимальної різноманітності думок і глибини дискусій; </w:t>
      </w:r>
    </w:p>
    <w:p w14:paraId="759C53F5" w14:textId="77777777" w:rsidR="007F138B" w:rsidRPr="00C83932" w:rsidRDefault="00A77755" w:rsidP="00BA5B5C">
      <w:pPr>
        <w:pStyle w:val="a3"/>
        <w:numPr>
          <w:ilvl w:val="0"/>
          <w:numId w:val="46"/>
        </w:numPr>
        <w:shd w:val="clear" w:color="auto" w:fill="FFFFFF"/>
        <w:spacing w:before="0" w:beforeAutospacing="0" w:after="0" w:afterAutospacing="0" w:line="360" w:lineRule="auto"/>
        <w:jc w:val="both"/>
        <w:rPr>
          <w:noProof/>
          <w:sz w:val="28"/>
          <w:szCs w:val="28"/>
        </w:rPr>
      </w:pPr>
      <w:r w:rsidRPr="00C83932">
        <w:rPr>
          <w:noProof/>
          <w:sz w:val="28"/>
          <w:szCs w:val="28"/>
        </w:rPr>
        <w:t xml:space="preserve">забезпечення змістовної суспільної підтримки пропонованих змін; </w:t>
      </w:r>
    </w:p>
    <w:p w14:paraId="0841AC63" w14:textId="77777777" w:rsidR="007F138B" w:rsidRPr="00C83932" w:rsidRDefault="00A77755" w:rsidP="00BA5B5C">
      <w:pPr>
        <w:pStyle w:val="a3"/>
        <w:numPr>
          <w:ilvl w:val="0"/>
          <w:numId w:val="46"/>
        </w:numPr>
        <w:shd w:val="clear" w:color="auto" w:fill="FFFFFF"/>
        <w:spacing w:before="0" w:beforeAutospacing="0" w:after="0" w:afterAutospacing="0" w:line="360" w:lineRule="auto"/>
        <w:jc w:val="both"/>
        <w:rPr>
          <w:noProof/>
          <w:sz w:val="28"/>
          <w:szCs w:val="28"/>
        </w:rPr>
      </w:pPr>
      <w:r w:rsidRPr="00C83932">
        <w:rPr>
          <w:noProof/>
          <w:sz w:val="28"/>
          <w:szCs w:val="28"/>
        </w:rPr>
        <w:t xml:space="preserve">створення демократичного клімату в системі освіти, в якому всі учасники освітнього процесу відчувають свою відповідальність за його хід і результати; </w:t>
      </w:r>
    </w:p>
    <w:p w14:paraId="5426470F" w14:textId="77777777" w:rsidR="007F138B" w:rsidRPr="00C83932" w:rsidRDefault="00A77755" w:rsidP="00BA5B5C">
      <w:pPr>
        <w:pStyle w:val="a3"/>
        <w:numPr>
          <w:ilvl w:val="0"/>
          <w:numId w:val="46"/>
        </w:numPr>
        <w:shd w:val="clear" w:color="auto" w:fill="FFFFFF"/>
        <w:spacing w:before="0" w:beforeAutospacing="0" w:after="0" w:afterAutospacing="0" w:line="360" w:lineRule="auto"/>
        <w:jc w:val="both"/>
        <w:rPr>
          <w:noProof/>
          <w:sz w:val="28"/>
          <w:szCs w:val="28"/>
        </w:rPr>
      </w:pPr>
      <w:r w:rsidRPr="00C83932">
        <w:rPr>
          <w:noProof/>
          <w:sz w:val="28"/>
          <w:szCs w:val="28"/>
        </w:rPr>
        <w:t xml:space="preserve">зростання компетентності освітньої громадськості; </w:t>
      </w:r>
    </w:p>
    <w:p w14:paraId="7EDBED59" w14:textId="77777777" w:rsidR="007F138B" w:rsidRPr="00C83932" w:rsidRDefault="00A77755" w:rsidP="00BA5B5C">
      <w:pPr>
        <w:pStyle w:val="a3"/>
        <w:numPr>
          <w:ilvl w:val="0"/>
          <w:numId w:val="46"/>
        </w:numPr>
        <w:shd w:val="clear" w:color="auto" w:fill="FFFFFF"/>
        <w:spacing w:before="0" w:beforeAutospacing="0" w:after="0" w:afterAutospacing="0" w:line="360" w:lineRule="auto"/>
        <w:jc w:val="both"/>
        <w:rPr>
          <w:noProof/>
          <w:sz w:val="28"/>
          <w:szCs w:val="28"/>
        </w:rPr>
      </w:pPr>
      <w:r w:rsidRPr="00C83932">
        <w:rPr>
          <w:noProof/>
          <w:sz w:val="28"/>
          <w:szCs w:val="28"/>
        </w:rPr>
        <w:t xml:space="preserve">самовизначення майбутніх виконавців щодо власних завдань у зв’язку з планованими змінами. </w:t>
      </w:r>
    </w:p>
    <w:p w14:paraId="0BDEAC73" w14:textId="501630BD"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У цьому контексті Рада Європи і Європейська комісія констатувала, що «принцип субсидіювання», що визначається автономним функціонуванням </w:t>
      </w:r>
      <w:r w:rsidRPr="00C83932">
        <w:rPr>
          <w:noProof/>
          <w:sz w:val="28"/>
          <w:szCs w:val="28"/>
        </w:rPr>
        <w:lastRenderedPageBreak/>
        <w:t>національних систем освіти країн-членів (формат, за яким освітні інституції застосовують різні правила зарахування, працюють за різними навчальними планами, присуджують різні дипломи, ступені та кваліфікації тощо), вже не може повною мірою реалізувати проголошені у Лісабоні цілі [7</w:t>
      </w:r>
      <w:r w:rsidR="00C83932" w:rsidRPr="00C83932">
        <w:rPr>
          <w:noProof/>
          <w:sz w:val="28"/>
          <w:szCs w:val="28"/>
          <w:lang w:val="uk-UA"/>
        </w:rPr>
        <w:t>, с. 12</w:t>
      </w:r>
      <w:r w:rsidRPr="00C83932">
        <w:rPr>
          <w:noProof/>
          <w:sz w:val="28"/>
          <w:szCs w:val="28"/>
        </w:rPr>
        <w:t xml:space="preserve">]. </w:t>
      </w:r>
    </w:p>
    <w:p w14:paraId="70361A4F"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Тому, за нових окреслених стратегій ЄС переходить до використання «відкритого методу координації» (open method of coordination − ОМС), який передбачає розробку спільних для країнчленів ЄС політик, завдань та інструментів реалізації освітніх цілей. Механізмами впровадження відкритого методу координації, який допомагає державамчленам ЄС у виробленні власної освітньої політики, як зазначено у висновках лісабонської зустрічі Ради Європи, належать: </w:t>
      </w:r>
    </w:p>
    <w:p w14:paraId="1488D8F6" w14:textId="77777777" w:rsidR="007F138B" w:rsidRPr="00C83932" w:rsidRDefault="00A77755" w:rsidP="00BA5B5C">
      <w:pPr>
        <w:pStyle w:val="a3"/>
        <w:numPr>
          <w:ilvl w:val="0"/>
          <w:numId w:val="47"/>
        </w:numPr>
        <w:shd w:val="clear" w:color="auto" w:fill="FFFFFF"/>
        <w:spacing w:before="0" w:beforeAutospacing="0" w:after="0" w:afterAutospacing="0" w:line="360" w:lineRule="auto"/>
        <w:jc w:val="both"/>
        <w:rPr>
          <w:noProof/>
          <w:sz w:val="28"/>
          <w:szCs w:val="28"/>
        </w:rPr>
      </w:pPr>
      <w:r w:rsidRPr="00C83932">
        <w:rPr>
          <w:noProof/>
          <w:sz w:val="28"/>
          <w:szCs w:val="28"/>
        </w:rPr>
        <w:t xml:space="preserve">визначення напрямків розвитку освіти Спільноти у поєднанні з встановленням термінів досягнення цілей (короткострокова, середньострокова і довгострокова перспективи); </w:t>
      </w:r>
    </w:p>
    <w:p w14:paraId="27DF67FA" w14:textId="77777777" w:rsidR="007F138B" w:rsidRPr="00C83932" w:rsidRDefault="00A77755" w:rsidP="00BA5B5C">
      <w:pPr>
        <w:pStyle w:val="a3"/>
        <w:numPr>
          <w:ilvl w:val="0"/>
          <w:numId w:val="47"/>
        </w:numPr>
        <w:shd w:val="clear" w:color="auto" w:fill="FFFFFF"/>
        <w:spacing w:before="0" w:beforeAutospacing="0" w:after="0" w:afterAutospacing="0" w:line="360" w:lineRule="auto"/>
        <w:jc w:val="both"/>
        <w:rPr>
          <w:noProof/>
          <w:sz w:val="28"/>
          <w:szCs w:val="28"/>
        </w:rPr>
      </w:pPr>
      <w:r w:rsidRPr="00C83932">
        <w:rPr>
          <w:noProof/>
          <w:sz w:val="28"/>
          <w:szCs w:val="28"/>
        </w:rPr>
        <w:t xml:space="preserve">створення, за необхідністю, кількісних і якісних показників та орієнтирів на основі бенчмаркингу світових лідерів; </w:t>
      </w:r>
    </w:p>
    <w:p w14:paraId="0839512B" w14:textId="77777777" w:rsidR="007F138B" w:rsidRPr="00C83932" w:rsidRDefault="00A77755" w:rsidP="00BA5B5C">
      <w:pPr>
        <w:pStyle w:val="a3"/>
        <w:numPr>
          <w:ilvl w:val="0"/>
          <w:numId w:val="47"/>
        </w:numPr>
        <w:shd w:val="clear" w:color="auto" w:fill="FFFFFF"/>
        <w:spacing w:before="0" w:beforeAutospacing="0" w:after="0" w:afterAutospacing="0" w:line="360" w:lineRule="auto"/>
        <w:jc w:val="both"/>
        <w:rPr>
          <w:noProof/>
          <w:sz w:val="28"/>
          <w:szCs w:val="28"/>
        </w:rPr>
      </w:pPr>
      <w:r w:rsidRPr="00C83932">
        <w:rPr>
          <w:noProof/>
          <w:sz w:val="28"/>
          <w:szCs w:val="28"/>
        </w:rPr>
        <w:t xml:space="preserve">пристосування передового світового досвіду до потреб суспільних галузей країн-учасників ЄС; </w:t>
      </w:r>
    </w:p>
    <w:p w14:paraId="7E397046" w14:textId="375430E9" w:rsidR="007F138B" w:rsidRPr="00C83932" w:rsidRDefault="00A77755" w:rsidP="00BA5B5C">
      <w:pPr>
        <w:pStyle w:val="a3"/>
        <w:numPr>
          <w:ilvl w:val="0"/>
          <w:numId w:val="47"/>
        </w:numPr>
        <w:shd w:val="clear" w:color="auto" w:fill="FFFFFF"/>
        <w:spacing w:before="0" w:beforeAutospacing="0" w:after="0" w:afterAutospacing="0" w:line="360" w:lineRule="auto"/>
        <w:jc w:val="both"/>
        <w:rPr>
          <w:noProof/>
          <w:sz w:val="28"/>
          <w:szCs w:val="28"/>
        </w:rPr>
      </w:pPr>
      <w:r w:rsidRPr="00C83932">
        <w:rPr>
          <w:noProof/>
          <w:sz w:val="28"/>
          <w:szCs w:val="28"/>
        </w:rPr>
        <w:t>адаптація уніфікованих європейських принципів у площині національної та регіональної політики за допомогою визначення конкретних цілей і прийняття відповідних заходів, з урахуванням національних і регіональних відмінностей; періодичний моніторинг, оцінка та експертиза [14</w:t>
      </w:r>
      <w:r w:rsidR="00C83932" w:rsidRPr="00C83932">
        <w:rPr>
          <w:noProof/>
          <w:sz w:val="28"/>
          <w:szCs w:val="28"/>
          <w:lang w:val="uk-UA"/>
        </w:rPr>
        <w:t>, с. 36</w:t>
      </w:r>
      <w:r w:rsidRPr="00C83932">
        <w:rPr>
          <w:noProof/>
          <w:sz w:val="28"/>
          <w:szCs w:val="28"/>
        </w:rPr>
        <w:t xml:space="preserve">]. </w:t>
      </w:r>
    </w:p>
    <w:p w14:paraId="6A83AF2E"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У перспективі в загальноєвропейському масштабі Європейська Комісія має намір реалізовувати наступні напрями щодо ефективності освітніх послуг: </w:t>
      </w:r>
    </w:p>
    <w:p w14:paraId="4CB441E4" w14:textId="77777777" w:rsidR="007F138B" w:rsidRPr="00C83932" w:rsidRDefault="00A77755" w:rsidP="00BA5B5C">
      <w:pPr>
        <w:pStyle w:val="a3"/>
        <w:numPr>
          <w:ilvl w:val="0"/>
          <w:numId w:val="48"/>
        </w:numPr>
        <w:shd w:val="clear" w:color="auto" w:fill="FFFFFF"/>
        <w:spacing w:before="0" w:beforeAutospacing="0" w:after="0" w:afterAutospacing="0" w:line="360" w:lineRule="auto"/>
        <w:jc w:val="both"/>
        <w:rPr>
          <w:noProof/>
          <w:sz w:val="28"/>
          <w:szCs w:val="28"/>
        </w:rPr>
      </w:pPr>
      <w:r w:rsidRPr="00C83932">
        <w:rPr>
          <w:noProof/>
          <w:sz w:val="28"/>
          <w:szCs w:val="28"/>
        </w:rPr>
        <w:t xml:space="preserve">розробку і реалізацію програм Європейського Союзу в сферах свободи пересування, навчання в університетах, проведення досліджень, а також координації загальноєвропейських і національних програм і можливостей держав-членів; </w:t>
      </w:r>
    </w:p>
    <w:p w14:paraId="42B8AA65" w14:textId="77777777" w:rsidR="007F138B" w:rsidRPr="00C83932" w:rsidRDefault="00A77755" w:rsidP="00BA5B5C">
      <w:pPr>
        <w:pStyle w:val="a3"/>
        <w:numPr>
          <w:ilvl w:val="0"/>
          <w:numId w:val="48"/>
        </w:numPr>
        <w:shd w:val="clear" w:color="auto" w:fill="FFFFFF"/>
        <w:spacing w:before="0" w:beforeAutospacing="0" w:after="0" w:afterAutospacing="0" w:line="360" w:lineRule="auto"/>
        <w:jc w:val="both"/>
        <w:rPr>
          <w:noProof/>
          <w:sz w:val="28"/>
          <w:szCs w:val="28"/>
        </w:rPr>
      </w:pPr>
      <w:r w:rsidRPr="00C83932">
        <w:rPr>
          <w:noProof/>
          <w:sz w:val="28"/>
          <w:szCs w:val="28"/>
        </w:rPr>
        <w:t xml:space="preserve">розробка плану модернізації вищої освіти; </w:t>
      </w:r>
    </w:p>
    <w:p w14:paraId="2C21A2D6" w14:textId="77777777" w:rsidR="007F138B" w:rsidRPr="00C83932" w:rsidRDefault="00A77755" w:rsidP="00BA5B5C">
      <w:pPr>
        <w:pStyle w:val="a3"/>
        <w:numPr>
          <w:ilvl w:val="0"/>
          <w:numId w:val="48"/>
        </w:numPr>
        <w:shd w:val="clear" w:color="auto" w:fill="FFFFFF"/>
        <w:spacing w:before="0" w:beforeAutospacing="0" w:after="0" w:afterAutospacing="0" w:line="360" w:lineRule="auto"/>
        <w:jc w:val="both"/>
        <w:rPr>
          <w:noProof/>
          <w:sz w:val="28"/>
          <w:szCs w:val="28"/>
        </w:rPr>
      </w:pPr>
      <w:r w:rsidRPr="00C83932">
        <w:rPr>
          <w:noProof/>
          <w:sz w:val="28"/>
          <w:szCs w:val="28"/>
        </w:rPr>
        <w:lastRenderedPageBreak/>
        <w:t xml:space="preserve">формування програм навчання молодих підприємців; </w:t>
      </w:r>
    </w:p>
    <w:p w14:paraId="7B8A1721" w14:textId="77777777" w:rsidR="007F138B" w:rsidRPr="00C83932" w:rsidRDefault="00A77755" w:rsidP="00BA5B5C">
      <w:pPr>
        <w:pStyle w:val="a3"/>
        <w:numPr>
          <w:ilvl w:val="0"/>
          <w:numId w:val="48"/>
        </w:numPr>
        <w:shd w:val="clear" w:color="auto" w:fill="FFFFFF"/>
        <w:spacing w:before="0" w:beforeAutospacing="0" w:after="0" w:afterAutospacing="0" w:line="360" w:lineRule="auto"/>
        <w:jc w:val="both"/>
        <w:rPr>
          <w:noProof/>
          <w:sz w:val="28"/>
          <w:szCs w:val="28"/>
        </w:rPr>
      </w:pPr>
      <w:r w:rsidRPr="00C83932">
        <w:rPr>
          <w:noProof/>
          <w:sz w:val="28"/>
          <w:szCs w:val="28"/>
        </w:rPr>
        <w:t xml:space="preserve">реалізацію заходів, спрямованих на скорочення безробіття в молодіжному середовищі. </w:t>
      </w:r>
    </w:p>
    <w:p w14:paraId="205FA1D0"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На національному рівні держави-члени Євросоюзу в даний час акцентують увагу на проблемах достатнього фінансування освітніх установ, вдосконалення навчальних систем на всіх рівнях, поліпшення показників якості дошкільної, початкової, середньої, професійної та вищої освіти та збільшенні ступеня доступності освіти, вирішенні проблем зайнятості фахівців. </w:t>
      </w:r>
    </w:p>
    <w:p w14:paraId="20F3BE57" w14:textId="77777777" w:rsidR="007F138B"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Щодо менеджменту у сфері професійної освіти, то у 2011 р була розроблена модель проекту Європейської Комісії «Ваша перша ЄВРО-робота» [12, с.8], орієнтована на молодих людей у віці від 18 до 30 років. Даний пілотний проект, запущений в 2012 р. і розрахований на довгострокову перспективу, повинен сприяти наданню підтримки молодим випускникам, бажаючим отримати роботу за кордоном. З урахуванням того, що рівень безробіття серед молодих людей у віці від 18 до 24 років в країнах-членах Євросоюзу станом на початок 2012 р. склав 5,5 млн. чоловік, даний європейський проект набуває все більш вагомої і першорядної важливості. Єврокомісія заснувала спеціальну експертну групу, мета якої полягає у визначенні шляхів і способів співпраці, обмін інформацією та передовою практикою. </w:t>
      </w:r>
    </w:p>
    <w:p w14:paraId="086E2647" w14:textId="77777777" w:rsidR="004A63B3"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t xml:space="preserve">В даний час експертна група займається розробкою першого проекту по транскордонній волонтерській роботі, і паралельно веде розробку Молодіжного волонтерського порталу, який стане складовою частиною модернізованого Молодіжного порталу Європейського Союзу. В контексті формування європейської освітньої політики варто відзначити пряму державну послугу «Европасс», що надається з метою спрощення тлумачення кваліфікацій і умінь на європейській території, що сприятиме спрощенню процедур визначення кваліфікації, навичок і умінь серед бажаючих знайти роботу на своїй батьківщині або за кордоном. </w:t>
      </w:r>
    </w:p>
    <w:p w14:paraId="342AF80F" w14:textId="77777777" w:rsidR="004A63B3" w:rsidRPr="00C83932" w:rsidRDefault="00A77755" w:rsidP="00C83932">
      <w:pPr>
        <w:pStyle w:val="a3"/>
        <w:shd w:val="clear" w:color="auto" w:fill="FFFFFF"/>
        <w:spacing w:before="0" w:beforeAutospacing="0" w:after="0" w:afterAutospacing="0" w:line="360" w:lineRule="auto"/>
        <w:ind w:firstLine="720"/>
        <w:jc w:val="both"/>
        <w:rPr>
          <w:noProof/>
          <w:sz w:val="28"/>
          <w:szCs w:val="28"/>
        </w:rPr>
      </w:pPr>
      <w:r w:rsidRPr="00C83932">
        <w:rPr>
          <w:noProof/>
          <w:sz w:val="28"/>
          <w:szCs w:val="28"/>
        </w:rPr>
        <w:lastRenderedPageBreak/>
        <w:t xml:space="preserve">Не менш важливу роль в реалізації освітніх програм Європейського Союзу, особливо для молоді, відіграють консультації з можливостей неперервного навчання. Такі консультації спрямовані на допомогу європейцям в прийнятті найбільш вірних та такими, що відповідають їх інтересам, рішень. В рамках функціонування консультативного механізму європейськими інститутами розроблений цілий ряд інструментів, зокрема: </w:t>
      </w:r>
    </w:p>
    <w:p w14:paraId="61C5F095" w14:textId="77777777" w:rsidR="004A63B3" w:rsidRPr="00C83932" w:rsidRDefault="00A77755" w:rsidP="00BA5B5C">
      <w:pPr>
        <w:pStyle w:val="a3"/>
        <w:numPr>
          <w:ilvl w:val="0"/>
          <w:numId w:val="49"/>
        </w:numPr>
        <w:shd w:val="clear" w:color="auto" w:fill="FFFFFF"/>
        <w:spacing w:before="0" w:beforeAutospacing="0" w:after="0" w:afterAutospacing="0" w:line="360" w:lineRule="auto"/>
        <w:jc w:val="both"/>
        <w:rPr>
          <w:noProof/>
          <w:sz w:val="28"/>
          <w:szCs w:val="28"/>
        </w:rPr>
      </w:pPr>
      <w:r w:rsidRPr="00C83932">
        <w:rPr>
          <w:noProof/>
          <w:sz w:val="28"/>
          <w:szCs w:val="28"/>
        </w:rPr>
        <w:t>«Портал можливостей європейського простору», спрямований на надання допомоги студентам, викладацькому складу, консультантам та іншим верствам суспільства в пошуках інформації про навчання та роботу в Європі, включаючи можливості отримання вищої та професійної освіти в Євросоюзі, участі в обмінах і отримання грантів,</w:t>
      </w:r>
      <w:r w:rsidRPr="00C83932">
        <w:rPr>
          <w:noProof/>
          <w:sz w:val="28"/>
          <w:szCs w:val="28"/>
          <w:lang w:val="uk-UA"/>
        </w:rPr>
        <w:t xml:space="preserve"> </w:t>
      </w:r>
      <w:r w:rsidRPr="00C83932">
        <w:rPr>
          <w:noProof/>
          <w:sz w:val="28"/>
          <w:szCs w:val="28"/>
        </w:rPr>
        <w:t xml:space="preserve">а також у наданні інформації про переїзд за кордон; </w:t>
      </w:r>
    </w:p>
    <w:p w14:paraId="4DDE44BB" w14:textId="6F7B21A0" w:rsidR="007D3915" w:rsidRPr="00C83932" w:rsidRDefault="00A77755" w:rsidP="00BA5B5C">
      <w:pPr>
        <w:pStyle w:val="a3"/>
        <w:numPr>
          <w:ilvl w:val="0"/>
          <w:numId w:val="49"/>
        </w:numPr>
        <w:shd w:val="clear" w:color="auto" w:fill="FFFFFF"/>
        <w:spacing w:before="0" w:beforeAutospacing="0" w:after="0" w:afterAutospacing="0" w:line="360" w:lineRule="auto"/>
        <w:jc w:val="both"/>
        <w:rPr>
          <w:noProof/>
          <w:sz w:val="28"/>
          <w:szCs w:val="28"/>
          <w:lang w:val="uk-UA"/>
        </w:rPr>
      </w:pPr>
      <w:r w:rsidRPr="00C83932">
        <w:rPr>
          <w:noProof/>
          <w:sz w:val="28"/>
          <w:szCs w:val="28"/>
        </w:rPr>
        <w:t>«Європейський портал трудової мобільності», що надає інформацію, поради та послуги безробітним і роботодавцям, які виявили бажання скористатися принципом свободи переміщення (портал має велике значення для прикордонних європейських регіонів, надаючи допомогу у вирішенні проблем, що виникають з трудовою мобільністю).</w:t>
      </w:r>
    </w:p>
    <w:p w14:paraId="7D96F627" w14:textId="236E2AAF" w:rsidR="007D3915" w:rsidRPr="00C83932" w:rsidRDefault="007D3915" w:rsidP="00C83932">
      <w:pPr>
        <w:spacing w:line="360" w:lineRule="auto"/>
        <w:jc w:val="both"/>
        <w:rPr>
          <w:rFonts w:ascii="Times New Roman" w:eastAsia="Times New Roman" w:hAnsi="Times New Roman" w:cs="Times New Roman"/>
          <w:b/>
          <w:bCs/>
          <w:noProof/>
          <w:sz w:val="28"/>
          <w:szCs w:val="28"/>
          <w:lang w:val="uk-UA" w:eastAsia="ru-UA"/>
        </w:rPr>
      </w:pPr>
      <w:r w:rsidRPr="00C83932">
        <w:rPr>
          <w:rFonts w:ascii="Times New Roman" w:hAnsi="Times New Roman" w:cs="Times New Roman"/>
          <w:b/>
          <w:bCs/>
          <w:noProof/>
          <w:sz w:val="28"/>
          <w:szCs w:val="28"/>
          <w:lang w:val="uk-UA"/>
        </w:rPr>
        <w:br w:type="page"/>
      </w:r>
    </w:p>
    <w:p w14:paraId="569619C4" w14:textId="77777777" w:rsidR="007D3915" w:rsidRPr="00C83932" w:rsidRDefault="007D3915"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3.2. Освітня політика ЄС.</w:t>
      </w:r>
    </w:p>
    <w:p w14:paraId="73CCF50D" w14:textId="2F9FC3F9" w:rsidR="00BC6E72" w:rsidRPr="00C83932" w:rsidRDefault="00BC6E72" w:rsidP="00C83932">
      <w:pPr>
        <w:spacing w:line="360" w:lineRule="auto"/>
        <w:jc w:val="both"/>
        <w:rPr>
          <w:rFonts w:ascii="Times New Roman" w:hAnsi="Times New Roman" w:cs="Times New Roman"/>
          <w:noProof/>
          <w:sz w:val="28"/>
          <w:szCs w:val="28"/>
          <w:lang w:val="uk-UA"/>
        </w:rPr>
      </w:pPr>
    </w:p>
    <w:p w14:paraId="3122ED24" w14:textId="77777777"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Сталий процес поглиблення європейської інтеграції, її функціонального розширення на нові та більш глибокі сфери співробітництва з поступовим залученням постійно зростаючих за інтенсивністю та складністю форм наднаціонального управління не оминає питання освіти та покликаний сприяти формуванню Європейського освітнього простору з залученням як держав-членів ЄС, так і його сусідів. ЄС визнає, що освіта та професійне навчання є життєво важливими для розвитку сучасного суспільства та економіки. </w:t>
      </w:r>
    </w:p>
    <w:p w14:paraId="53EB80C1" w14:textId="77777777"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Стратегія розвитку ЄС наголошує на необхідності налагодження співпраці між усіма країнами в цьому напрямі, а також обміну знаннями між ними. Освіта є пріоритетним напрямом для урядів усіх країн-членів ЄС, втім системи освіти в цих країнах дещо різняться. Сучасний світ вимагає від студентів – майбутніх спеціалістів та їхніх викладачів більше нових знань та навичок, вільного володіння іноземними мовами, досвіду міжкультурного спілкування. Розуміючи все це та визнаючи вищу освіту одним з пріоритетів своєї діяльності у межах співпраці з сусідніми та більш віддаленими країнами, Європейська Комісія розробляє і впроваджує нові та вдосконалює існуючі освітні програми, які дають змогу студентам і науковцям отримувати стипендії та гранти на подальше навчання і проведення досліджень у країнах Європи. </w:t>
      </w:r>
    </w:p>
    <w:p w14:paraId="6D11FE2C" w14:textId="77777777"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Завдяки цьому десятки тисяч викладачів, студентів та науковців щорічно навчаються, працюють та викладають у різних країнах світу в межах міжнародних академічних програм.</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Особливості формування та реалізації освітньої політики ЄС досліджують здебільшого у контексті становлення Болонського процесу. Проте необхідно також досліджувати інституційно-правові механізми регулювання освітньої політики ЄС на основі загальних принципів формування спільних політик ЄС та діяльності інституцій ЄС, що і </w:t>
      </w:r>
      <w:r w:rsidRPr="00C83932">
        <w:rPr>
          <w:rFonts w:ascii="Times New Roman" w:hAnsi="Times New Roman" w:cs="Times New Roman"/>
          <w:noProof/>
          <w:sz w:val="28"/>
          <w:szCs w:val="28"/>
        </w:rPr>
        <w:lastRenderedPageBreak/>
        <w:t>є внеском автора у розробку задекларованої теми</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та доповнює наукові розвідки Н. В. Антонюк, В. Волеса, О. В. Матвієнко8 та Н. Мусиса. </w:t>
      </w:r>
    </w:p>
    <w:p w14:paraId="2AD5CBC7" w14:textId="77777777"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Важливим джерелом інформації для аналізу освітньої політики ЄС є установчі договори ЄС, а також нормативно-правові документи ЄС, його країн</w:t>
      </w:r>
      <w:r w:rsidR="001529A3"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членів та України щодо освітньої політики та діяльності інституцій ЄС у цій сфері, аналітичні статті та офіційна інформація Представництва Європейського Союзу в Україні. Європейська інтеграція базується на спільних політиках, які розвиваються та примножуються завдяки особливій процедурі прийняття рішень </w:t>
      </w:r>
    </w:p>
    <w:p w14:paraId="38127EC4" w14:textId="428069FB"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Співтовариства, що є ознакою такої інтеграції. Спільною політикою називають набір рішень, правил, заходів і кодексів поведінки, прийнятих спільними інституціями, що були засновані групою держав, і впроваджуються спільними інституціями і державами-членами</w:t>
      </w:r>
      <w:r w:rsidR="001529A3" w:rsidRPr="00C83932">
        <w:rPr>
          <w:rFonts w:ascii="Times New Roman" w:hAnsi="Times New Roman" w:cs="Times New Roman"/>
          <w:noProof/>
          <w:sz w:val="28"/>
          <w:szCs w:val="28"/>
          <w:lang w:val="uk-UA"/>
        </w:rPr>
        <w:t xml:space="preserve"> </w:t>
      </w:r>
      <w:r w:rsidR="001529A3"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3</w:t>
      </w:r>
      <w:r w:rsidR="001529A3" w:rsidRPr="00C83932">
        <w:rPr>
          <w:rFonts w:ascii="Times New Roman" w:hAnsi="Times New Roman" w:cs="Times New Roman"/>
          <w:noProof/>
          <w:sz w:val="28"/>
          <w:szCs w:val="28"/>
        </w:rPr>
        <w:t>9</w:t>
      </w:r>
      <w:r w:rsidR="00C83932" w:rsidRPr="00C83932">
        <w:rPr>
          <w:rFonts w:ascii="Times New Roman" w:hAnsi="Times New Roman" w:cs="Times New Roman"/>
          <w:noProof/>
          <w:sz w:val="28"/>
          <w:szCs w:val="28"/>
          <w:lang w:val="uk-UA"/>
        </w:rPr>
        <w:t>, с. 48</w:t>
      </w:r>
      <w:r w:rsidR="001529A3"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Таку політику повинні проводити всі учасники через наднаціональні виконавчі й судові органи, призначені для нагляду та контролю за її проведенням. Отож, спільна політика стає інструментом передачі частини своїх суверенних національних повноважень наднаціональним інституціям. </w:t>
      </w:r>
    </w:p>
    <w:p w14:paraId="07AE4E25" w14:textId="47472C9E" w:rsidR="001529A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Отже, спільні політики відрізняють європейську інтеграцію від міждержавної співпраці</w:t>
      </w:r>
      <w:r w:rsidR="001529A3" w:rsidRPr="00C83932">
        <w:rPr>
          <w:rFonts w:ascii="Times New Roman" w:hAnsi="Times New Roman" w:cs="Times New Roman"/>
          <w:noProof/>
          <w:sz w:val="28"/>
          <w:szCs w:val="28"/>
        </w:rPr>
        <w:t>[</w:t>
      </w:r>
      <w:r w:rsidRPr="00C83932">
        <w:rPr>
          <w:rFonts w:ascii="Times New Roman" w:hAnsi="Times New Roman" w:cs="Times New Roman"/>
          <w:noProof/>
          <w:sz w:val="28"/>
          <w:szCs w:val="28"/>
        </w:rPr>
        <w:t>10</w:t>
      </w:r>
      <w:r w:rsidR="00C83932" w:rsidRPr="00C83932">
        <w:rPr>
          <w:rFonts w:ascii="Times New Roman" w:hAnsi="Times New Roman" w:cs="Times New Roman"/>
          <w:noProof/>
          <w:sz w:val="28"/>
          <w:szCs w:val="28"/>
          <w:lang w:val="uk-UA"/>
        </w:rPr>
        <w:t>, с. 69</w:t>
      </w:r>
      <w:r w:rsidR="001529A3"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Дослідники виокремлюють чотири головних типи спільних політик: базові та вторинні, горизонтальні й секторальні</w:t>
      </w:r>
      <w:r w:rsidR="001529A3" w:rsidRPr="00C83932">
        <w:rPr>
          <w:rFonts w:ascii="Times New Roman" w:hAnsi="Times New Roman" w:cs="Times New Roman"/>
          <w:noProof/>
          <w:sz w:val="28"/>
          <w:szCs w:val="28"/>
          <w:lang w:val="ru-RU"/>
        </w:rPr>
        <w:t>[</w:t>
      </w:r>
      <w:r w:rsidR="00C83932" w:rsidRPr="00C83932">
        <w:rPr>
          <w:rFonts w:ascii="Times New Roman" w:hAnsi="Times New Roman" w:cs="Times New Roman"/>
          <w:noProof/>
          <w:sz w:val="28"/>
          <w:szCs w:val="28"/>
          <w:lang w:val="uk-UA"/>
        </w:rPr>
        <w:t>5</w:t>
      </w:r>
      <w:r w:rsidRPr="00C83932">
        <w:rPr>
          <w:rFonts w:ascii="Times New Roman" w:hAnsi="Times New Roman" w:cs="Times New Roman"/>
          <w:noProof/>
          <w:sz w:val="28"/>
          <w:szCs w:val="28"/>
        </w:rPr>
        <w:t>1</w:t>
      </w:r>
      <w:r w:rsidR="00C83932" w:rsidRPr="00C83932">
        <w:rPr>
          <w:rFonts w:ascii="Times New Roman" w:hAnsi="Times New Roman" w:cs="Times New Roman"/>
          <w:noProof/>
          <w:sz w:val="28"/>
          <w:szCs w:val="28"/>
          <w:lang w:val="uk-UA"/>
        </w:rPr>
        <w:t>, с. 56</w:t>
      </w:r>
      <w:r w:rsidR="001529A3"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Спільні політики ЄС формуються за різними моделями: </w:t>
      </w:r>
    </w:p>
    <w:p w14:paraId="0F75CD0C" w14:textId="0BA55C0C" w:rsidR="001529A3" w:rsidRPr="00C83932" w:rsidRDefault="00BC6E72" w:rsidP="00BA5B5C">
      <w:pPr>
        <w:pStyle w:val="a4"/>
        <w:numPr>
          <w:ilvl w:val="0"/>
          <w:numId w:val="4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Спеціальний метод Співтовариства; </w:t>
      </w:r>
    </w:p>
    <w:p w14:paraId="2510BC31" w14:textId="0C6377CD" w:rsidR="001529A3" w:rsidRPr="00C83932" w:rsidRDefault="00BC6E72" w:rsidP="00BA5B5C">
      <w:pPr>
        <w:pStyle w:val="a4"/>
        <w:numPr>
          <w:ilvl w:val="0"/>
          <w:numId w:val="4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регулятивна модель ЄС; </w:t>
      </w:r>
    </w:p>
    <w:p w14:paraId="27946691" w14:textId="254C51AA" w:rsidR="001529A3" w:rsidRPr="00C83932" w:rsidRDefault="00BC6E72" w:rsidP="00BA5B5C">
      <w:pPr>
        <w:pStyle w:val="a4"/>
        <w:numPr>
          <w:ilvl w:val="0"/>
          <w:numId w:val="4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багаторівнева система державного управління; </w:t>
      </w:r>
    </w:p>
    <w:p w14:paraId="50C8E9AF" w14:textId="269B2172" w:rsidR="001529A3" w:rsidRPr="00C83932" w:rsidRDefault="00BC6E72" w:rsidP="00BA5B5C">
      <w:pPr>
        <w:pStyle w:val="a4"/>
        <w:numPr>
          <w:ilvl w:val="0"/>
          <w:numId w:val="4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інтенсивне трансурядове співробітництво; </w:t>
      </w:r>
    </w:p>
    <w:p w14:paraId="2B0A420B" w14:textId="0837A5EC" w:rsidR="001529A3" w:rsidRPr="00C83932" w:rsidRDefault="00BC6E72" w:rsidP="00BA5B5C">
      <w:pPr>
        <w:pStyle w:val="a4"/>
        <w:numPr>
          <w:ilvl w:val="0"/>
          <w:numId w:val="41"/>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координація політики та визначення</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контрольних показників</w:t>
      </w:r>
      <w:r w:rsidR="001529A3" w:rsidRPr="00C83932">
        <w:rPr>
          <w:rFonts w:ascii="Times New Roman" w:hAnsi="Times New Roman" w:cs="Times New Roman"/>
          <w:noProof/>
          <w:sz w:val="28"/>
          <w:szCs w:val="28"/>
          <w:lang w:val="ru-RU"/>
        </w:rPr>
        <w:t xml:space="preserve"> [</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2</w:t>
      </w:r>
      <w:r w:rsidR="00C83932" w:rsidRPr="00C83932">
        <w:rPr>
          <w:rFonts w:ascii="Times New Roman" w:hAnsi="Times New Roman" w:cs="Times New Roman"/>
          <w:noProof/>
          <w:sz w:val="28"/>
          <w:szCs w:val="28"/>
          <w:lang w:val="uk-UA"/>
        </w:rPr>
        <w:t>, с. 29</w:t>
      </w:r>
      <w:r w:rsidR="001529A3"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w:t>
      </w:r>
    </w:p>
    <w:p w14:paraId="090221C3"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Вже самі назви розкривають змістове навантаження кожної моделі, які відрізняються не лише принципами формування політики, а й рівнем </w:t>
      </w:r>
      <w:r w:rsidRPr="00C83932">
        <w:rPr>
          <w:rFonts w:ascii="Times New Roman" w:hAnsi="Times New Roman" w:cs="Times New Roman"/>
          <w:noProof/>
          <w:sz w:val="28"/>
          <w:szCs w:val="28"/>
        </w:rPr>
        <w:lastRenderedPageBreak/>
        <w:t xml:space="preserve">залучення інституцій. Важливо, що ці моделі дають змогу зрозуміти відмінності між різними політиками ЄС. Відповідно до цих класифікацій, освітня політика ЄС належить до базових горизонтальних політик ЄС та формується відповідно до регулятивного методу, що засвідчує давня історія і рівень залучення інституцій до особливостей формування та реалізації освітньої політики ЄС. </w:t>
      </w:r>
    </w:p>
    <w:p w14:paraId="741474BC"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Освітня політика ЄС формується відповідно до принципу субсидіарності, який означає, що кожна країна ЄС несе цілковиту відповідальність за організацію своєї системи освіти, професійної підготовки та зміст навчання. </w:t>
      </w:r>
    </w:p>
    <w:p w14:paraId="5FFC887C"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Роль ЄС полягає у сприянні розвиткові якісної освіти шляхом заохочення держав-членів до співпраці і, в разі потреби, підтримці та доповненні їхньої діяльності. Тож відповідно до цих положень ЄС має у своєму розпорядженні низку специфічних засобів заохочення співпраці в цій галузі та підтримки національних освітніх політик ЄС. </w:t>
      </w:r>
    </w:p>
    <w:p w14:paraId="69C70428"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Держави-члени ЄС, розуміючи важливість освітньої складової для гармонійного розвитку ЄС та підвищення його конкурентоспроможності, звертають увагу на цю сферу в рамках наднаціональних інституцій та намагаються проводити спільні заходи. Економічний та соціальний розвиток ЄС на сучасному етапі змінює освітню політику, адже розвиток суспільства знань, розширення ринку праці та зміцнення соціальних зв’язків змушує політиків приділяти значну увагу системі освіти та її ефективності. </w:t>
      </w:r>
    </w:p>
    <w:p w14:paraId="3502E122"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 цьому все більше говорять про необхідність дотримання та розвитку спільних принципів освітньої політики ЄС, до яких належать: </w:t>
      </w:r>
    </w:p>
    <w:p w14:paraId="35D6DFA6"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свобода руху знань; </w:t>
      </w:r>
    </w:p>
    <w:p w14:paraId="5BEBB867"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мобільність студентів та викладачів; </w:t>
      </w:r>
    </w:p>
    <w:p w14:paraId="25940AD1"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багатомовність; </w:t>
      </w:r>
    </w:p>
    <w:p w14:paraId="4AABB015"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автономія університету; </w:t>
      </w:r>
    </w:p>
    <w:p w14:paraId="025A56B3"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 xml:space="preserve">освіта, зорієнтована на результати навчання; </w:t>
      </w:r>
    </w:p>
    <w:p w14:paraId="0B04D7F4"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забезпечення якості вищої освіти; </w:t>
      </w:r>
    </w:p>
    <w:p w14:paraId="711D9678"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принцип взаємозаліку кредитів; </w:t>
      </w:r>
    </w:p>
    <w:p w14:paraId="1F9C04F6"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єдина структура освітніх ступенів (кваліфікацій); </w:t>
      </w:r>
    </w:p>
    <w:p w14:paraId="55F8AD82"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ціложиттєве навчання;</w:t>
      </w:r>
    </w:p>
    <w:p w14:paraId="2265649E"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трициклова освіта; </w:t>
      </w:r>
    </w:p>
    <w:p w14:paraId="59CF1C1C"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принцип трикутника знань; </w:t>
      </w:r>
    </w:p>
    <w:p w14:paraId="492CC74B" w14:textId="77777777" w:rsidR="00CA6B5C" w:rsidRPr="00C83932" w:rsidRDefault="00BC6E72" w:rsidP="00C83932">
      <w:pPr>
        <w:pStyle w:val="a4"/>
        <w:numPr>
          <w:ilvl w:val="0"/>
          <w:numId w:val="4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принцип свободи навчання та викладання. </w:t>
      </w:r>
    </w:p>
    <w:p w14:paraId="06C3441C"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Завданням освіти в європейському контексті є сприяння розвиткові громадянської свідомості, що базується на таких цінностях, як солідарність, демократія, рівноправність і взаємоповага. Важливими елементами освіти є повага до культурної та етнічної ідентичності і, водночас, боротьба з різними формами шовінізму та ксенофобії. Саме тому базовим елементом освітньої політики є вивчення іноземних мов і отримання знань про інші країни. </w:t>
      </w:r>
    </w:p>
    <w:p w14:paraId="2888D2EF" w14:textId="77777777"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Особливу увагу необхідно зосередити на транснаціональній співпраці між окремими системами освіти. У Договорі про створення ЄЕС, підписаному в Римі 25 березня 1957 р., не порушено питань освіти; у ньому визначено лише засади спільного ринку. Проте ст. 118 і 128 Римського договору окреслювали дії, що стосувалися професійної</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освіти і підвищення кваліфікації. Водночас було вирішено, що з цією метою влада європейської спільноти діятиме у тісній співпраці з країнами-членами і з урахуванням громадської думки. Планували також спільні консультації для обговорення тих внутрішніх проблем окремих країн у цій сфері, які цікавитимуть міжнародні організації. </w:t>
      </w:r>
    </w:p>
    <w:p w14:paraId="35B87B46" w14:textId="7D2F1AD6" w:rsidR="00CA6B5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Вирішено, що загальні засади втілення у життя спільної політики країн-членів ЄЕС у сфері професійної освіти будуть окреслюватися найвищим органом – Європейською Радою. Особливе зацікавлення освітою викликане економічними потребами – рушійною силою інтеграційних процесів у багатьох інших сферах. Однак освіту Римський договір не розглядав як </w:t>
      </w:r>
      <w:r w:rsidRPr="00C83932">
        <w:rPr>
          <w:rFonts w:ascii="Times New Roman" w:hAnsi="Times New Roman" w:cs="Times New Roman"/>
          <w:noProof/>
          <w:sz w:val="28"/>
          <w:szCs w:val="28"/>
        </w:rPr>
        <w:lastRenderedPageBreak/>
        <w:t>пріоритетний напрям, зокрема такий, як сільське господарство, фінанси чи митна політика. Протягом 1957–1992 рр. ЄС постійно намагався врегулювати питання освітньої політики через низку правових актів та спільних дій</w:t>
      </w:r>
      <w:r w:rsidR="00CA6B5C" w:rsidRPr="009E3CC6">
        <w:rPr>
          <w:rFonts w:ascii="Times New Roman" w:hAnsi="Times New Roman" w:cs="Times New Roman"/>
          <w:noProof/>
          <w:sz w:val="28"/>
          <w:szCs w:val="28"/>
        </w:rPr>
        <w:t>[</w:t>
      </w:r>
      <w:r w:rsidRPr="00C83932">
        <w:rPr>
          <w:rFonts w:ascii="Times New Roman" w:hAnsi="Times New Roman" w:cs="Times New Roman"/>
          <w:noProof/>
          <w:sz w:val="28"/>
          <w:szCs w:val="28"/>
        </w:rPr>
        <w:t>13</w:t>
      </w:r>
      <w:r w:rsidR="00C83932" w:rsidRPr="00C83932">
        <w:rPr>
          <w:rFonts w:ascii="Times New Roman" w:hAnsi="Times New Roman" w:cs="Times New Roman"/>
          <w:noProof/>
          <w:sz w:val="28"/>
          <w:szCs w:val="28"/>
          <w:lang w:val="uk-UA"/>
        </w:rPr>
        <w:t>, с. 169</w:t>
      </w:r>
      <w:r w:rsidR="00CA6B5C" w:rsidRPr="009E3CC6">
        <w:rPr>
          <w:rFonts w:ascii="Times New Roman" w:hAnsi="Times New Roman" w:cs="Times New Roman"/>
          <w:noProof/>
          <w:sz w:val="28"/>
          <w:szCs w:val="28"/>
        </w:rPr>
        <w:t>]</w:t>
      </w:r>
      <w:r w:rsidRPr="00C83932">
        <w:rPr>
          <w:rFonts w:ascii="Times New Roman" w:hAnsi="Times New Roman" w:cs="Times New Roman"/>
          <w:noProof/>
          <w:sz w:val="28"/>
          <w:szCs w:val="28"/>
        </w:rPr>
        <w:t xml:space="preserve"> . Маастрихтський договір 1992 р. був переломним у галузі освітньої політики на європейському рівні. Освітній сектор на законодавчому рівні було включено до спільної стратегії, спрямованої на підготовку молоді до дорослого життя в ЄС. </w:t>
      </w:r>
    </w:p>
    <w:p w14:paraId="785C310A" w14:textId="27F764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Затверджена стратегія у галузі освіти характеризується відмовою від уніфікації освітніх політик країн-членів – за законодавством ЄС організація та зміст освіти є їхньою власною прерогативою. Відповідно до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принципу доповнюваності</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ЄС може лише підтримувати та доповнювати діяльність країнчленів в окремих галузях освіти для підсилення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духу європейства</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До таких сфер, згідно з законодавством, зачислено й освіту. Ст. 149 і 150 цього договору присвячено освіті та виробничій практиці</w:t>
      </w:r>
      <w:r w:rsidR="00B004AC" w:rsidRPr="00C83932">
        <w:rPr>
          <w:rFonts w:ascii="Times New Roman" w:hAnsi="Times New Roman" w:cs="Times New Roman"/>
          <w:noProof/>
          <w:sz w:val="28"/>
          <w:szCs w:val="28"/>
          <w:lang w:val="ru-RU"/>
        </w:rPr>
        <w:t>[</w:t>
      </w:r>
      <w:r w:rsidR="00C83932" w:rsidRPr="00C83932">
        <w:rPr>
          <w:rFonts w:ascii="Times New Roman" w:hAnsi="Times New Roman" w:cs="Times New Roman"/>
          <w:noProof/>
          <w:sz w:val="28"/>
          <w:szCs w:val="28"/>
          <w:lang w:val="uk-UA"/>
        </w:rPr>
        <w:t>48, с. 56</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w:t>
      </w:r>
    </w:p>
    <w:p w14:paraId="348A2EB2" w14:textId="777777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Після Маастрихтського договору видано значну кількість важливих документів, пов’язаних з політикою освіти. Першою була Зелена книга 1993 р. про європейський вимір в освіті, яка заохочує країни-учасниці розглянути майбутні напрями освітньої політики на європейському рівні і як ця політика повинна співіснувати з національними освітніми політиками. Дискусія, викликана Маастрихтським договором і Зеленою книгою, спричинила вихід у світ в листопаді 1995 р. Білої книги про навчання та викладання. </w:t>
      </w:r>
    </w:p>
    <w:p w14:paraId="1A46004D" w14:textId="777777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Зелена книга: освіта – навчання – викладання; перешкоди в транснаціональній мобільності, яку прийняла Єврокомісія наступного року, визнала існування труднощів у втіленні ідей у життя. Подальша дискусія з приводу освітньої політики завершилася прийняттям 1997 р. двох важливих документів: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Навчання в інформаційному суспільстві – план дій Європейської освітньої ініціативи, 1996 – 1998</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та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До Європи знань</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p>
    <w:p w14:paraId="3BF98D28" w14:textId="271AAED9"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Амстердамський договір 1997 р. наголошував на важливості європейського громадянства, яке є очевидною передумовою для</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освіти. Ця тема розвинена у виданні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Навчання для активного громадянства в ЄС</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B004AC" w:rsidRPr="00C83932">
        <w:rPr>
          <w:rFonts w:ascii="Times New Roman" w:hAnsi="Times New Roman" w:cs="Times New Roman"/>
          <w:noProof/>
          <w:sz w:val="28"/>
          <w:szCs w:val="28"/>
          <w:lang w:val="ru-RU"/>
        </w:rPr>
        <w:t>[</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5</w:t>
      </w:r>
      <w:r w:rsidR="00C83932" w:rsidRPr="00C83932">
        <w:rPr>
          <w:rFonts w:ascii="Times New Roman" w:hAnsi="Times New Roman" w:cs="Times New Roman"/>
          <w:noProof/>
          <w:sz w:val="28"/>
          <w:szCs w:val="28"/>
          <w:lang w:val="uk-UA"/>
        </w:rPr>
        <w:t>, с. 47</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У вересні 2000 р. видано документ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Глобалізація освіти і навчання</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підготовлений Комітетом з освіти і культури. </w:t>
      </w:r>
    </w:p>
    <w:p w14:paraId="0831C5A4" w14:textId="777777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Наступного року Єврокомісія прийняла Меморандум про навчання впродовж усього життя, яким розпочала процес консультацій по всій Європі з метою визначення когерентних стратегій та практичних шляхів стимулювання навчання для всіх протягом усього життя. Результати консультацій покладено в основу плану дій, опублікованого 21 листопада 2001 р. під назвою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Комюніке з реалізації європейського простору довготривалого навчання</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Прийняття цього документа сприяє втіленню визначеної Лісабонською конвенцією стратегічної мети, щоб Європа стала найбільш конкурентоспроможним, найдинамічнішим суспільством у світі. </w:t>
      </w:r>
    </w:p>
    <w:p w14:paraId="0732A7A1" w14:textId="32869144"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Освітня рада 14 лютого 2002 р. обговорювала можливість створення Європейського простору довготривалого навчання, відзначивши досягнення на цьому шляху Великобританії і Скандинавських країн. Іншими подібними документами були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План дій розвитку мобільності</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B004AC" w:rsidRPr="00C83932">
        <w:rPr>
          <w:rFonts w:ascii="Times New Roman" w:hAnsi="Times New Roman" w:cs="Times New Roman"/>
          <w:noProof/>
          <w:sz w:val="28"/>
          <w:szCs w:val="28"/>
          <w:lang w:val="uk-UA"/>
        </w:rPr>
        <w:t>«П</w:t>
      </w:r>
      <w:r w:rsidRPr="00C83932">
        <w:rPr>
          <w:rFonts w:ascii="Times New Roman" w:hAnsi="Times New Roman" w:cs="Times New Roman"/>
          <w:noProof/>
          <w:sz w:val="28"/>
          <w:szCs w:val="28"/>
        </w:rPr>
        <w:t>лан дій е-навчання</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та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План дій розвитку навчання і мобільності</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r w:rsidR="00B004AC" w:rsidRPr="00C83932">
        <w:rPr>
          <w:rFonts w:ascii="Times New Roman" w:hAnsi="Times New Roman" w:cs="Times New Roman"/>
          <w:noProof/>
          <w:sz w:val="28"/>
          <w:szCs w:val="28"/>
          <w:lang w:val="ru-RU"/>
        </w:rPr>
        <w:t>[</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6</w:t>
      </w:r>
      <w:r w:rsidR="00C83932" w:rsidRPr="00C83932">
        <w:rPr>
          <w:rFonts w:ascii="Times New Roman" w:hAnsi="Times New Roman" w:cs="Times New Roman"/>
          <w:noProof/>
          <w:sz w:val="28"/>
          <w:szCs w:val="28"/>
          <w:lang w:val="uk-UA"/>
        </w:rPr>
        <w:t>, с. 47</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w:t>
      </w:r>
    </w:p>
    <w:p w14:paraId="721A5284" w14:textId="2CEFCEA8"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План розвитку європейської освіти, ухвалений у лютому 2002 р. на зібранні Освітньої ради, передбачає поліпшення якості та ефективності системи освіти, полегшення доступу до освіти для кожного та створення освітньої бази для зовнішнього світу. Його головні завдання</w:t>
      </w:r>
      <w:r w:rsidR="00B004AC"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4</w:t>
      </w:r>
      <w:r w:rsidRPr="00C83932">
        <w:rPr>
          <w:rFonts w:ascii="Times New Roman" w:hAnsi="Times New Roman" w:cs="Times New Roman"/>
          <w:noProof/>
          <w:sz w:val="28"/>
          <w:szCs w:val="28"/>
        </w:rPr>
        <w:t>7</w:t>
      </w:r>
      <w:r w:rsidR="00C83932" w:rsidRPr="00C83932">
        <w:rPr>
          <w:rFonts w:ascii="Times New Roman" w:hAnsi="Times New Roman" w:cs="Times New Roman"/>
          <w:noProof/>
          <w:sz w:val="28"/>
          <w:szCs w:val="28"/>
          <w:lang w:val="uk-UA"/>
        </w:rPr>
        <w:t>, с. 127</w:t>
      </w:r>
      <w:r w:rsidR="00B004AC"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w:t>
      </w:r>
    </w:p>
    <w:p w14:paraId="1A63B3F8" w14:textId="77777777" w:rsidR="00B004AC" w:rsidRPr="00C83932" w:rsidRDefault="00BC6E72" w:rsidP="00BA5B5C">
      <w:pPr>
        <w:pStyle w:val="a4"/>
        <w:numPr>
          <w:ilvl w:val="0"/>
          <w:numId w:val="4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країни ЄС повинні мати найвищий показник у світі у сфері освіти та навчанні; </w:t>
      </w:r>
    </w:p>
    <w:p w14:paraId="05876C3E" w14:textId="3750308F" w:rsidR="00B004AC" w:rsidRPr="00C83932" w:rsidRDefault="00BC6E72" w:rsidP="00BA5B5C">
      <w:pPr>
        <w:pStyle w:val="a4"/>
        <w:numPr>
          <w:ilvl w:val="0"/>
          <w:numId w:val="4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система освіти і навчання в Європі повинна бути взаємопов’язана настільки, щоб давати змогу громадянам вільно пересуватися й отримувати кращу освіту; </w:t>
      </w:r>
    </w:p>
    <w:p w14:paraId="46EA7889" w14:textId="77777777" w:rsidR="00B004AC" w:rsidRPr="00C83932" w:rsidRDefault="00BC6E72" w:rsidP="00BA5B5C">
      <w:pPr>
        <w:pStyle w:val="a4"/>
        <w:numPr>
          <w:ilvl w:val="0"/>
          <w:numId w:val="4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 xml:space="preserve">слід зробити можливим застосування освіти будь-де в ЄС, незалежно від того, де її одержано; </w:t>
      </w:r>
    </w:p>
    <w:p w14:paraId="7678C38F" w14:textId="77777777" w:rsidR="00B004AC" w:rsidRPr="00C83932" w:rsidRDefault="00BC6E72" w:rsidP="00BA5B5C">
      <w:pPr>
        <w:pStyle w:val="a4"/>
        <w:numPr>
          <w:ilvl w:val="0"/>
          <w:numId w:val="42"/>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європейці будь-якого віку повинні мати доступ до тривалого навчання.</w:t>
      </w:r>
    </w:p>
    <w:p w14:paraId="35158E52" w14:textId="777777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Лісабонський договір розділив рівні компетенції у різних сферах політики між державами-членами та ЄС за трьома категоріями: виключна, спільна та допоміжна. У рамках допоміжної компетенції ЄС може здійснювати діяльність, спрямовану на підтримку, координацію та доповнення дій держав-членів. </w:t>
      </w:r>
    </w:p>
    <w:p w14:paraId="01A2E8A2" w14:textId="0AB0C42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Вона охоплює такі сфери: охорона здоров’я, промисловість, культура, туризм, освіта,</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молодь, спорт та професійне навчання, цивільний захист (запобігання лихам) та адміністративна співпраця </w:t>
      </w:r>
      <w:r w:rsidR="00B004AC"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8</w:t>
      </w:r>
      <w:r w:rsidR="00C83932" w:rsidRPr="00C83932">
        <w:rPr>
          <w:rFonts w:ascii="Times New Roman" w:hAnsi="Times New Roman" w:cs="Times New Roman"/>
          <w:noProof/>
          <w:sz w:val="28"/>
          <w:szCs w:val="28"/>
          <w:lang w:val="uk-UA"/>
        </w:rPr>
        <w:t>, с. 7</w:t>
      </w:r>
      <w:r w:rsidR="00B004AC"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13E375E9" w14:textId="3FD490B8"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Діяльність ЄС в освітній сфері очолює і координує Європейська Комісія в особі Комісара з питань освіти, культури, багатомовності та молоді. Андроуллу Васіліу (Androulla Vassiliou, Greece) 27 листопада 2009 р. було призначено Комісаром з питань освіти, культури, багатомовності та молоді (EU Commissioner-designate for Education, Culture, Multilingualism and Youth) </w:t>
      </w:r>
      <w:r w:rsidR="00B004AC"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9</w:t>
      </w:r>
      <w:r w:rsidR="00C83932" w:rsidRPr="00C83932">
        <w:rPr>
          <w:rFonts w:ascii="Times New Roman" w:hAnsi="Times New Roman" w:cs="Times New Roman"/>
          <w:noProof/>
          <w:sz w:val="28"/>
          <w:szCs w:val="28"/>
          <w:lang w:val="uk-UA"/>
        </w:rPr>
        <w:t>, с. 5</w:t>
      </w:r>
      <w:r w:rsidR="00B004AC"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69ED6A76" w14:textId="77777777"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Також у Європейській Комісії функціонує Генеральний Директорат з питань освіти і культури (European Commission’s Education and Culture DirectorateGeneral (DG EAC), у якому два Директорати займаються питаннями освіти та професійної підготовки: Директорат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Освіти протягом усього життя: положення горизонтальної Лісабонської політики і міжнародних відносин</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(Directorate «Lifelong Learning: horizontal Lisbon policy issues and international affairs») та Директорат </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Навчання протягом усього життя: політика і програма</w:t>
      </w:r>
      <w:r w:rsidR="00B004AC"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(Directorate «Lifelong Learning: policies and programme»). </w:t>
      </w:r>
    </w:p>
    <w:p w14:paraId="7DC92E3D" w14:textId="1F2396BC"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У галузі освіти та професійної підготовки завдання Європейської Комісії полягає у зміцненні та сприянні безперервному навчанню. Робота Генерального директорату з освіти та професійної підготовки базується на </w:t>
      </w:r>
      <w:r w:rsidRPr="00C83932">
        <w:rPr>
          <w:rFonts w:ascii="Times New Roman" w:hAnsi="Times New Roman" w:cs="Times New Roman"/>
          <w:noProof/>
          <w:sz w:val="28"/>
          <w:szCs w:val="28"/>
        </w:rPr>
        <w:lastRenderedPageBreak/>
        <w:t>двох напрямах: політики співпраці з державами-членами ЄС, з одного боку, та реалізації програми безперервного навчання, з іншого боку</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2</w:t>
      </w:r>
      <w:r w:rsidR="00C83932" w:rsidRPr="00C83932">
        <w:rPr>
          <w:rFonts w:ascii="Times New Roman" w:hAnsi="Times New Roman" w:cs="Times New Roman"/>
          <w:noProof/>
          <w:sz w:val="28"/>
          <w:szCs w:val="28"/>
          <w:lang w:val="uk-UA"/>
        </w:rPr>
        <w:t>1, с. 79</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w:t>
      </w:r>
    </w:p>
    <w:p w14:paraId="63B6A4D4" w14:textId="31B80D76"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З 2007 р. Європейська Комісія об’єднала свої освітні та навчальні ініціативи під одним дахом – в межах Програми пожиттєвої освіти, мета якої полягає у забезпеченні особам на всіх етапах їхнього життя можливостей навчання по всій Європі. Європейська Комісія відповідає за загальне виконання програми, а управління окремими частинами – в межах компетенції Виконавчої Агенції з питань освіти, аудіовізуальних засобів та культури (Education, Audiovisual &amp; Culture Executive Agency (EACEA) та національних агенцій у країнах-членах ЄС</w:t>
      </w:r>
      <w:r w:rsidR="00B004AC"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rPr>
        <w:t>21</w:t>
      </w:r>
      <w:r w:rsidR="00C83932" w:rsidRPr="00C83932">
        <w:rPr>
          <w:rFonts w:ascii="Times New Roman" w:hAnsi="Times New Roman" w:cs="Times New Roman"/>
          <w:noProof/>
          <w:sz w:val="28"/>
          <w:szCs w:val="28"/>
          <w:lang w:val="uk-UA"/>
        </w:rPr>
        <w:t>, с. 81</w:t>
      </w:r>
      <w:r w:rsidR="00B004AC"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273CCDBC" w14:textId="244E85B2" w:rsidR="00B004AC"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Діяльність Агенції охоплює низку можливостей для організацій, фахівців і приватних осіб різного віку на всіх життєвих етапах у Європі та у всьому світі. Сім ключових програм ЄС частково або повністю передано Агенції: Освіта протягом всього життя, Еразмус Мундус, Темпус, Культура, Молодь у дії, Європа для громадян та засобів масової інформації, а також низку міжнародних угод про співробітництво в галузі вищої освіти.</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Формування Європейського освітнього простору визнано основним завдання діяльності ЄС в освітній сфері</w:t>
      </w:r>
      <w:r w:rsidR="00B004AC" w:rsidRPr="00C83932">
        <w:rPr>
          <w:rFonts w:ascii="Times New Roman" w:hAnsi="Times New Roman" w:cs="Times New Roman"/>
          <w:noProof/>
          <w:sz w:val="28"/>
          <w:szCs w:val="28"/>
          <w:lang w:val="ru-RU"/>
        </w:rPr>
        <w:t xml:space="preserve"> [</w:t>
      </w:r>
      <w:r w:rsidR="00C83932" w:rsidRPr="00C83932">
        <w:rPr>
          <w:rFonts w:ascii="Times New Roman" w:hAnsi="Times New Roman" w:cs="Times New Roman"/>
          <w:noProof/>
          <w:sz w:val="28"/>
          <w:szCs w:val="28"/>
          <w:lang w:val="ru-RU"/>
        </w:rPr>
        <w:t>34, с. 48</w:t>
      </w:r>
      <w:r w:rsidR="00B004AC"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w:t>
      </w:r>
    </w:p>
    <w:p w14:paraId="229D2E66" w14:textId="34593B20"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Для реалізації цього завдання було ініційовано Болонський процес, головна мета якого полягає у консолідації зусиль наукової та освітянської громадськості й урядів країн Європи для істотного підвищення конкурентоспроможності європейської системи науки і вищої освіти у світовому вимірі, а також для підвищення ролі цієї системи в суспільних перетвореннях</w:t>
      </w:r>
      <w:r w:rsidR="00E63758" w:rsidRPr="00C83932">
        <w:rPr>
          <w:rFonts w:ascii="Times New Roman" w:hAnsi="Times New Roman" w:cs="Times New Roman"/>
          <w:noProof/>
          <w:sz w:val="28"/>
          <w:szCs w:val="28"/>
        </w:rPr>
        <w:t xml:space="preserve"> [</w:t>
      </w:r>
      <w:r w:rsidR="00C83932" w:rsidRPr="00C83932">
        <w:rPr>
          <w:rFonts w:ascii="Times New Roman" w:hAnsi="Times New Roman" w:cs="Times New Roman"/>
          <w:noProof/>
          <w:sz w:val="28"/>
          <w:szCs w:val="28"/>
          <w:lang w:val="uk-UA"/>
        </w:rPr>
        <w:t>3</w:t>
      </w:r>
      <w:r w:rsidRPr="00C83932">
        <w:rPr>
          <w:rFonts w:ascii="Times New Roman" w:hAnsi="Times New Roman" w:cs="Times New Roman"/>
          <w:noProof/>
          <w:sz w:val="28"/>
          <w:szCs w:val="28"/>
        </w:rPr>
        <w:t>3</w:t>
      </w:r>
      <w:r w:rsidR="00C83932" w:rsidRPr="00C83932">
        <w:rPr>
          <w:rFonts w:ascii="Times New Roman" w:hAnsi="Times New Roman" w:cs="Times New Roman"/>
          <w:noProof/>
          <w:sz w:val="28"/>
          <w:szCs w:val="28"/>
          <w:lang w:val="uk-UA"/>
        </w:rPr>
        <w:t>, с. 87</w:t>
      </w:r>
      <w:r w:rsidR="00E63758"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2A69DB18" w14:textId="77777777"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У межах освітньої політики ЄС та програм зовнішньої допомоги Європейська Комісія впроваджує низку заходів у сфері освіти, які доповнюють внутрішні програми ЄС. Особливу увагу приділено саме системі вищої освіти, яка відіграє ключову роль у розвитку сучасного суспільства, </w:t>
      </w:r>
      <w:r w:rsidRPr="00C83932">
        <w:rPr>
          <w:rFonts w:ascii="Times New Roman" w:hAnsi="Times New Roman" w:cs="Times New Roman"/>
          <w:noProof/>
          <w:sz w:val="28"/>
          <w:szCs w:val="28"/>
        </w:rPr>
        <w:lastRenderedPageBreak/>
        <w:t xml:space="preserve">сприяючи соціальному, культурному та економічному розвитку, популяризації загальноєвропейських етичних та культурних цінностей та підготовці лідерів майбутнього. </w:t>
      </w:r>
    </w:p>
    <w:p w14:paraId="683A7B85" w14:textId="1244591E"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Європейська Комісія впроваджує низку міжнародних програм співпраці у сфері вищої освіти</w:t>
      </w:r>
      <w:r w:rsidR="00E63758" w:rsidRPr="00C83932">
        <w:rPr>
          <w:rFonts w:ascii="Times New Roman" w:hAnsi="Times New Roman" w:cs="Times New Roman"/>
          <w:noProof/>
          <w:sz w:val="28"/>
          <w:szCs w:val="28"/>
          <w:lang w:val="ru-RU"/>
        </w:rPr>
        <w:t>[</w:t>
      </w:r>
      <w:r w:rsidR="00C83932" w:rsidRPr="00C83932">
        <w:rPr>
          <w:rFonts w:ascii="Times New Roman" w:hAnsi="Times New Roman" w:cs="Times New Roman"/>
          <w:noProof/>
          <w:sz w:val="28"/>
          <w:szCs w:val="28"/>
          <w:lang w:val="ru-RU"/>
        </w:rPr>
        <w:t>51</w:t>
      </w:r>
      <w:r w:rsidR="00E63758"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w:t>
      </w:r>
    </w:p>
    <w:p w14:paraId="25ECDB9B" w14:textId="77777777" w:rsidR="00E63758" w:rsidRPr="00C83932" w:rsidRDefault="00BC6E72" w:rsidP="00BA5B5C">
      <w:pPr>
        <w:pStyle w:val="a4"/>
        <w:numPr>
          <w:ilvl w:val="0"/>
          <w:numId w:val="4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Програму Темпус розроблено для надання допомоги соціальним й економічним перетворенням у країнах-партнерах. Програма Темпус сприяє розвитку в цих країнах систем вищої освіти шляхом максимально збалансованого співробітництва із партнерами з країн ЄС. </w:t>
      </w:r>
    </w:p>
    <w:p w14:paraId="6D703A0D" w14:textId="77777777" w:rsidR="00E63758" w:rsidRPr="00C83932" w:rsidRDefault="00BC6E72" w:rsidP="00BA5B5C">
      <w:pPr>
        <w:pStyle w:val="a4"/>
        <w:numPr>
          <w:ilvl w:val="0"/>
          <w:numId w:val="4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Програма Еразмус Мундус – це програма співпраці та мобільності у сфері вищої освіти, яка спрямована на розвиток ЄС як всесвітнього центру досконалості освітнього процесу та посилення міжнародних зв'язків у сфері вищої освіти через підтримку високоякісних європейських магістерських курсів. </w:t>
      </w:r>
    </w:p>
    <w:p w14:paraId="396A322D" w14:textId="6C66A842" w:rsidR="00E63758" w:rsidRPr="00C83932" w:rsidRDefault="00E63758" w:rsidP="00BA5B5C">
      <w:pPr>
        <w:pStyle w:val="a4"/>
        <w:numPr>
          <w:ilvl w:val="0"/>
          <w:numId w:val="43"/>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w:t>
      </w:r>
      <w:r w:rsidR="00BC6E72" w:rsidRPr="00C83932">
        <w:rPr>
          <w:rFonts w:ascii="Times New Roman" w:hAnsi="Times New Roman" w:cs="Times New Roman"/>
          <w:noProof/>
          <w:sz w:val="28"/>
          <w:szCs w:val="28"/>
        </w:rPr>
        <w:t>Вікно зовнішньої співпраці Еразмус Мундус</w:t>
      </w:r>
      <w:r w:rsidRPr="00C83932">
        <w:rPr>
          <w:rFonts w:ascii="Times New Roman" w:hAnsi="Times New Roman" w:cs="Times New Roman"/>
          <w:noProof/>
          <w:sz w:val="28"/>
          <w:szCs w:val="28"/>
          <w:lang w:val="uk-UA"/>
        </w:rPr>
        <w:t>»</w:t>
      </w:r>
      <w:r w:rsidR="00BC6E72" w:rsidRPr="00C83932">
        <w:rPr>
          <w:rFonts w:ascii="Times New Roman" w:hAnsi="Times New Roman" w:cs="Times New Roman"/>
          <w:noProof/>
          <w:sz w:val="28"/>
          <w:szCs w:val="28"/>
        </w:rPr>
        <w:t xml:space="preserve"> – програма підтримує створення партнерських консорціумів між вищими навчальними закладами Європи та третіх країн. </w:t>
      </w:r>
    </w:p>
    <w:p w14:paraId="04FF77AD" w14:textId="77777777" w:rsidR="00E63758" w:rsidRPr="00C83932" w:rsidRDefault="00BC6E72" w:rsidP="00BA5B5C">
      <w:pPr>
        <w:pStyle w:val="a4"/>
        <w:numPr>
          <w:ilvl w:val="0"/>
          <w:numId w:val="43"/>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Програма Жана Моне - це освітня програма, мета якої полягає у підвищенні рівня знань та поінформованості суспільства в ЄС та поза його межами про питання європейської інтеграції, через стимулювання викладання, дослідницької діяльності та дискусій з питань ЄС.</w:t>
      </w:r>
      <w:r w:rsidRPr="00C83932">
        <w:rPr>
          <w:rFonts w:ascii="Times New Roman" w:hAnsi="Times New Roman" w:cs="Times New Roman"/>
          <w:noProof/>
          <w:sz w:val="28"/>
          <w:szCs w:val="28"/>
          <w:lang w:val="uk-UA"/>
        </w:rPr>
        <w:t xml:space="preserve"> </w:t>
      </w:r>
    </w:p>
    <w:p w14:paraId="4EEB8577" w14:textId="77777777"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Проте процес формування Європейського освітнього простору ще триває. ЄС приділяє значну увагу </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ціложиттєвому навчанню</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(lifelong learning), здатному допомогти європейцям покращувати або змінювати кваліфікацію упродовж всього життя, і, відповідно, краще інтегруватися на динамічному ринку праці Європи. </w:t>
      </w:r>
    </w:p>
    <w:p w14:paraId="3DB9810B" w14:textId="77777777" w:rsidR="00E63758" w:rsidRPr="00C83932" w:rsidRDefault="00E63758"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lang w:val="uk-UA"/>
        </w:rPr>
        <w:t>«</w:t>
      </w:r>
      <w:r w:rsidR="00BC6E72" w:rsidRPr="00C83932">
        <w:rPr>
          <w:rFonts w:ascii="Times New Roman" w:hAnsi="Times New Roman" w:cs="Times New Roman"/>
          <w:noProof/>
          <w:sz w:val="28"/>
          <w:szCs w:val="28"/>
        </w:rPr>
        <w:t>Ціложиттєве навчання</w:t>
      </w:r>
      <w:r w:rsidRPr="00C83932">
        <w:rPr>
          <w:rFonts w:ascii="Times New Roman" w:hAnsi="Times New Roman" w:cs="Times New Roman"/>
          <w:noProof/>
          <w:sz w:val="28"/>
          <w:szCs w:val="28"/>
          <w:lang w:val="uk-UA"/>
        </w:rPr>
        <w:t>»</w:t>
      </w:r>
      <w:r w:rsidR="00BC6E72" w:rsidRPr="00C83932">
        <w:rPr>
          <w:rFonts w:ascii="Times New Roman" w:hAnsi="Times New Roman" w:cs="Times New Roman"/>
          <w:noProof/>
          <w:sz w:val="28"/>
          <w:szCs w:val="28"/>
        </w:rPr>
        <w:t xml:space="preserve">, згідно із європейською настановою, необхідно починати вже у дошкільному віці, приблизно з 3-х років. Якщо сьогодні в </w:t>
      </w:r>
      <w:r w:rsidR="00BC6E72" w:rsidRPr="00C83932">
        <w:rPr>
          <w:rFonts w:ascii="Times New Roman" w:hAnsi="Times New Roman" w:cs="Times New Roman"/>
          <w:noProof/>
          <w:sz w:val="28"/>
          <w:szCs w:val="28"/>
        </w:rPr>
        <w:lastRenderedPageBreak/>
        <w:t xml:space="preserve">середньому 85 % маленьких європейців мають доступ до дошкільної освіти (із великими розбіжностями між країнами), то лише 78 % 20–24-річних громадян ЄС мають повну середню освіту, тоді як решта залишає школу раніше. Окрім того, загалом по ЄС близько 17 % 15-річних дівчат і близько 30 % хлопців мають дуже низький рівень елементарних навичок читання і письма. </w:t>
      </w:r>
    </w:p>
    <w:p w14:paraId="1207695A" w14:textId="0C6140A0"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Водночас, згідно з європейськими орієнтирами, принаймні 85 % школярів повинні отримувати повну середню освіту, а відсоток підлітків зі слабкими навичками читання та письма повинен зменшитися вдвічі. Задля досягнення цієї мети школи повинні запропонувати більш індивідуалізований підхід до кожного з учнів, а діти, що залишають школу раніше, повинні мати гідний </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другий шанс</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у професійному навчанні</w:t>
      </w:r>
      <w:r w:rsidR="00E63758" w:rsidRPr="00C83932">
        <w:rPr>
          <w:rFonts w:ascii="Times New Roman" w:hAnsi="Times New Roman" w:cs="Times New Roman"/>
          <w:noProof/>
          <w:sz w:val="28"/>
          <w:szCs w:val="28"/>
        </w:rPr>
        <w:t xml:space="preserve"> [</w:t>
      </w:r>
      <w:r w:rsidRPr="00C83932">
        <w:rPr>
          <w:rFonts w:ascii="Times New Roman" w:hAnsi="Times New Roman" w:cs="Times New Roman"/>
          <w:noProof/>
          <w:sz w:val="28"/>
          <w:szCs w:val="28"/>
        </w:rPr>
        <w:t>25</w:t>
      </w:r>
      <w:r w:rsidR="00C83932" w:rsidRPr="00C83932">
        <w:rPr>
          <w:rFonts w:ascii="Times New Roman" w:hAnsi="Times New Roman" w:cs="Times New Roman"/>
          <w:noProof/>
          <w:sz w:val="28"/>
          <w:szCs w:val="28"/>
          <w:lang w:val="uk-UA"/>
        </w:rPr>
        <w:t>, с. 75</w:t>
      </w:r>
      <w:r w:rsidR="00E63758"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35215B17" w14:textId="77777777"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Відтак, не лише університети й інститути, але й школа має готувати молодих людей до сучасних умов життя і роботи в Європі, передаючи їм знання, практичні навички й адекватне ставлення до професійного майбутнього. Наскрізною ідеєю є також необхідність зробити школу одним із інструментів реалізації Лісабонської стратегії. Прагнення ЄК поширити Лісабонську стратегію на шкільну, і навіть дошкільну освіту, є спробою узгодити спільну європейську філософію освіти, яка базується на конкурентоспроможності європейської </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економіки знання</w:t>
      </w:r>
      <w:r w:rsidR="00E63758"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і солідарності між її громадянами. </w:t>
      </w:r>
    </w:p>
    <w:p w14:paraId="7BFD4D11" w14:textId="6C701151"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ЄК підтримує модернізацію шкіл двома головними способами. По-перше, через програму Коменіус, яка щорічно інвестує мільйони євро для збільшення рівня мобільності учнів між школами та країнами, а також для сприяння розвитку шкіл, підвищенню кваліфікації вчителів тощо. По-друге, Комісія допомагає консультативно, оприлюднюючи зібрану інформацію та аналітику із метою поширення досвіду в сфері шкільної освіти в державах-членах ЄС. Велике значення формуванню стратегії держави у сфері освіти приділяють і в Україні</w:t>
      </w:r>
      <w:r w:rsidR="00E63758"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26</w:t>
      </w:r>
      <w:r w:rsidR="00C83932" w:rsidRPr="00C83932">
        <w:rPr>
          <w:rFonts w:ascii="Times New Roman" w:hAnsi="Times New Roman" w:cs="Times New Roman"/>
          <w:noProof/>
          <w:sz w:val="28"/>
          <w:szCs w:val="28"/>
          <w:lang w:val="uk-UA"/>
        </w:rPr>
        <w:t>, с. 15</w:t>
      </w:r>
      <w:r w:rsidR="00E63758" w:rsidRPr="00C83932">
        <w:rPr>
          <w:rFonts w:ascii="Times New Roman" w:hAnsi="Times New Roman" w:cs="Times New Roman"/>
          <w:noProof/>
          <w:sz w:val="28"/>
          <w:szCs w:val="28"/>
          <w:lang w:val="ru-RU"/>
        </w:rPr>
        <w:t>]</w:t>
      </w:r>
      <w:r w:rsidRPr="00C83932">
        <w:rPr>
          <w:rFonts w:ascii="Times New Roman" w:hAnsi="Times New Roman" w:cs="Times New Roman"/>
          <w:noProof/>
          <w:sz w:val="28"/>
          <w:szCs w:val="28"/>
        </w:rPr>
        <w:t xml:space="preserve"> . </w:t>
      </w:r>
    </w:p>
    <w:p w14:paraId="0C3E17AF" w14:textId="77777777"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Розвиток освіти у нашій державі не потрібно розглядати тільки з потреб сучасного трансформуючого суспільства. Реформування необхідно здійснювати у напрямі моделі нового століття, враховуючи як національні традиції культури й освіти, так і сучасні позитивні світові тенденції розвитку освіти. Пріоритетна увага держави до освіти, його повноцінна бюджетна підтримка повинна відповідати реальним потребам сучасної та майбутньої України. Саме цілеспрямована державна освітня політика може сприяти</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зростанню добробуту кожного громадянина і конкурентоспроможності всієї країни. Державна освітня політика буде ефективною тільки в тому випадку, якщо її розроблятимуть і провадитимуть в єдності з активною інноваційною політикою країни. </w:t>
      </w:r>
    </w:p>
    <w:p w14:paraId="5AC01C0B" w14:textId="77777777"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Вища освіта повинна брати активну участь у створенні конкурентоспроможної інфраструктури – технопарків, інноваційних центрів тощо. Суспільству необхідно розглядати освіту як національне багатство, вводити її у перелік основних пріоритетів, об`єктів першочергової підтримки і т. ін. Для формування та реалізації державної освітньої політики необхідно також сформулювати принципи, які б мали чітко сформульовані основні положення, на яких базується державна політика в області освіти, його ідеали та цілі. </w:t>
      </w:r>
    </w:p>
    <w:p w14:paraId="61BB955C" w14:textId="634106A6" w:rsidR="00E63758"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Освітні програми, що фінансують з бюджету ЄК, мають на меті надання підтримки країнам-партнерам у реформуванні системи вищої освіти відповідно до принципів Болонського процесу. Україна була і є активним учасником цих процесів. У травні 2005 р. наша держава підписала Болонську конвенцію. Україна також є активним учасником європейських освітніх програм та проектів, серед яких: Темпус, Еразмус Мундус, Вікно зовнішньої співпраці Еразмус Мундус та Програма Жана Моне</w:t>
      </w:r>
      <w:r w:rsidR="00E63758"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4</w:t>
      </w:r>
      <w:r w:rsidRPr="00C83932">
        <w:rPr>
          <w:rFonts w:ascii="Times New Roman" w:hAnsi="Times New Roman" w:cs="Times New Roman"/>
          <w:noProof/>
          <w:sz w:val="28"/>
          <w:szCs w:val="28"/>
        </w:rPr>
        <w:t>7</w:t>
      </w:r>
      <w:r w:rsidR="00C83932" w:rsidRPr="00C83932">
        <w:rPr>
          <w:rFonts w:ascii="Times New Roman" w:hAnsi="Times New Roman" w:cs="Times New Roman"/>
          <w:noProof/>
          <w:sz w:val="28"/>
          <w:szCs w:val="28"/>
          <w:lang w:val="uk-UA"/>
        </w:rPr>
        <w:t>, с. 120</w:t>
      </w:r>
      <w:r w:rsidR="00E63758"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 </w:t>
      </w:r>
    </w:p>
    <w:p w14:paraId="5CCFD03E" w14:textId="2B74CB4B" w:rsidR="00E63758" w:rsidRPr="00C83932" w:rsidRDefault="00E63758"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20980F5A" w14:textId="77777777" w:rsidR="004A63B3" w:rsidRPr="00C83932" w:rsidRDefault="004A63B3"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Висновки до розділу 3.</w:t>
      </w:r>
    </w:p>
    <w:p w14:paraId="3AA7BDE2" w14:textId="0491AC8B" w:rsidR="00E63758" w:rsidRPr="00C83932" w:rsidRDefault="00E63758" w:rsidP="00C83932">
      <w:pPr>
        <w:spacing w:line="360" w:lineRule="auto"/>
        <w:ind w:firstLine="720"/>
        <w:jc w:val="both"/>
        <w:rPr>
          <w:rFonts w:ascii="Times New Roman" w:hAnsi="Times New Roman" w:cs="Times New Roman"/>
          <w:noProof/>
          <w:sz w:val="28"/>
          <w:szCs w:val="28"/>
        </w:rPr>
      </w:pPr>
    </w:p>
    <w:p w14:paraId="2CE23DB7" w14:textId="77777777" w:rsidR="004A63B3" w:rsidRPr="00C83932" w:rsidRDefault="004A63B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Інтегруючись в європейський і світовий освітній простір, Україна прагне враховувати напрацювання, характерні для управління галуззю в інших країнах. Безумовно, таке врахування не передбачає простого копіювання зарубіжного досвіду, однак може надати допомогу в розробці національної системи управління освітою, зокрема щодо переходу її на державно-громадський рівень. </w:t>
      </w:r>
    </w:p>
    <w:p w14:paraId="3898E7AE" w14:textId="77777777" w:rsidR="004A63B3" w:rsidRPr="00C83932" w:rsidRDefault="004A63B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Необхідно врахувати, що вироблення власної освітньої політики європейських держав здійснюється на основі визначення напрямів розвитку освіти європейської спільноти; створення, за необхідністю, кількісних і якісних показників та орієнтирів, пристосування передового міжнародного досвіду до потреб суспільних галузей; адаптація уніфікованих європейських принципів у площині національної та регіональної політики за допомогою визначення конкретних цілей і прийняття відповідних заходів, з урахуванням національних і регіональних відмінностей; періодичного моніторингу, оцінки та експертизи, які організовані у формі взаємного навчання згідно з Лісабонською стратегією. </w:t>
      </w:r>
    </w:p>
    <w:p w14:paraId="6394F07D" w14:textId="7E6660B4" w:rsidR="004A63B3" w:rsidRPr="00C83932" w:rsidRDefault="004A63B3"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Ефективне співробітництво України і ЄС у сфері освіти, зокрема менеджменту освіти, може внести суттєвий вклад в її соціально-економічний розвиток, у зміцненні її позицій у міжнародному освітньому просторі.</w:t>
      </w:r>
    </w:p>
    <w:p w14:paraId="4ED1B510" w14:textId="77777777" w:rsidR="004A63B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План дій Україна–ЄС, який визначає програму політичних та економічних реформ, приділяє значну увагу співпраці у сфері вищої освіти та реформуванню цієї галузі. Одним з пріоритетів діяльності, визначених Планом дій Україна–ЄС, є </w:t>
      </w:r>
      <w:r w:rsidR="004A63B3"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реформування та вдосконалення системи освіти і навчання та діяльність у напрямі наближення до стандартів і практики ЄС, а також розширення співробітництва у сфері освіти, стажувань та молоді</w:t>
      </w:r>
      <w:r w:rsidR="004A63B3"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w:t>
      </w:r>
    </w:p>
    <w:p w14:paraId="26751312" w14:textId="08E8BC0D" w:rsidR="004A63B3"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План дій передбачає такі кроки з боку України та Європейського Союзу</w:t>
      </w:r>
      <w:r w:rsidR="004A63B3" w:rsidRPr="00C83932">
        <w:rPr>
          <w:rFonts w:ascii="Times New Roman" w:hAnsi="Times New Roman" w:cs="Times New Roman"/>
          <w:noProof/>
          <w:sz w:val="28"/>
          <w:szCs w:val="28"/>
        </w:rPr>
        <w:t>[</w:t>
      </w:r>
      <w:r w:rsidR="00C83932" w:rsidRPr="00C83932">
        <w:rPr>
          <w:rFonts w:ascii="Times New Roman" w:hAnsi="Times New Roman" w:cs="Times New Roman"/>
          <w:noProof/>
          <w:sz w:val="28"/>
          <w:szCs w:val="28"/>
          <w:lang w:val="uk-UA"/>
        </w:rPr>
        <w:t>51</w:t>
      </w:r>
      <w:r w:rsidR="004A63B3" w:rsidRPr="00C83932">
        <w:rPr>
          <w:rFonts w:ascii="Times New Roman" w:hAnsi="Times New Roman" w:cs="Times New Roman"/>
          <w:noProof/>
          <w:sz w:val="28"/>
          <w:szCs w:val="28"/>
        </w:rPr>
        <w:t>]</w:t>
      </w:r>
      <w:r w:rsidRPr="00C83932">
        <w:rPr>
          <w:rFonts w:ascii="Times New Roman" w:hAnsi="Times New Roman" w:cs="Times New Roman"/>
          <w:noProof/>
          <w:sz w:val="28"/>
          <w:szCs w:val="28"/>
        </w:rPr>
        <w:t xml:space="preserve">: </w:t>
      </w:r>
    </w:p>
    <w:p w14:paraId="640918BB" w14:textId="77777777" w:rsidR="004A63B3" w:rsidRPr="00C83932" w:rsidRDefault="00BC6E72" w:rsidP="00BA5B5C">
      <w:pPr>
        <w:pStyle w:val="a4"/>
        <w:numPr>
          <w:ilvl w:val="0"/>
          <w:numId w:val="5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Залучити представників зацікавлених громадських кіл та соціальних партнерів до участі у реформі системи вищої освіти та професійної освіти; </w:t>
      </w:r>
    </w:p>
    <w:p w14:paraId="292465D3" w14:textId="77777777" w:rsidR="004A63B3" w:rsidRPr="00C83932" w:rsidRDefault="00BC6E72" w:rsidP="00BA5B5C">
      <w:pPr>
        <w:pStyle w:val="a4"/>
        <w:numPr>
          <w:ilvl w:val="0"/>
          <w:numId w:val="5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Використовувати існуючу програму Темпус для вивчення можливостей сприяння розвитку людських ресурсів і людського капіталу, зокрема щодо сприяння реформі та розвитку системи безперервного навчання в Україні; </w:t>
      </w:r>
    </w:p>
    <w:p w14:paraId="6451B6F7" w14:textId="77777777" w:rsidR="004A63B3" w:rsidRPr="00C83932" w:rsidRDefault="00BC6E72" w:rsidP="00BA5B5C">
      <w:pPr>
        <w:pStyle w:val="a4"/>
        <w:numPr>
          <w:ilvl w:val="0"/>
          <w:numId w:val="5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Створити кафедри європейських студій та європейського права через програму Жана Моне та підтримувати можливості навчання молодих науковців; </w:t>
      </w:r>
    </w:p>
    <w:p w14:paraId="3BFA3A6E" w14:textId="77777777" w:rsidR="004A63B3" w:rsidRPr="00C83932" w:rsidRDefault="00BC6E72" w:rsidP="00BA5B5C">
      <w:pPr>
        <w:pStyle w:val="a4"/>
        <w:numPr>
          <w:ilvl w:val="0"/>
          <w:numId w:val="5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Започаткувати політичний діалог між Україною та ЄС у сфері освіти та навчання; </w:t>
      </w:r>
    </w:p>
    <w:p w14:paraId="6947FA51" w14:textId="77777777" w:rsidR="004A63B3" w:rsidRPr="00C83932" w:rsidRDefault="00BC6E72" w:rsidP="00BA5B5C">
      <w:pPr>
        <w:pStyle w:val="a4"/>
        <w:numPr>
          <w:ilvl w:val="0"/>
          <w:numId w:val="50"/>
        </w:num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Збільшити можливість обміну для українців шляхом участі у програмі Еразмус Мундус. </w:t>
      </w:r>
    </w:p>
    <w:p w14:paraId="22A2C708" w14:textId="77777777" w:rsidR="003E5397"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Отже, окрім власне євроінтеграції в освітній сфері, через систему освіти активніше можна сформувати усвідомлення найширшими верствами українського громадянства необхідності якомога повнішої реалізації загалом</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стратегічного курсу України на інтеграцію в європейські та світові структури з метою захисту власних національних інтересів та реалізації духовного й інтелектуального потенціалу українського народу на благо нинішніх і майбутніх поколінь. </w:t>
      </w:r>
    </w:p>
    <w:p w14:paraId="5C3289A8" w14:textId="77777777" w:rsidR="003E5397"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Освіта і наука у глобалізованому світі стали визначальним чинником людського розвитку. Сьогодні вони є безальтернативним засобом національного самоутвердження. Стати повноцінним учасником глобальної політики, економіки і культури може лише та країна, в якій інтелектуальні професії стали масовими, а інвестиції у розвиток людського потенціалу - </w:t>
      </w:r>
      <w:r w:rsidRPr="00C83932">
        <w:rPr>
          <w:rFonts w:ascii="Times New Roman" w:hAnsi="Times New Roman" w:cs="Times New Roman"/>
          <w:noProof/>
          <w:sz w:val="28"/>
          <w:szCs w:val="28"/>
        </w:rPr>
        <w:lastRenderedPageBreak/>
        <w:t xml:space="preserve">найвагомішими і найефективнішими. Країни, які у свій час зробили ставку на науку та освіту, тепер стали світовими лідерами. </w:t>
      </w:r>
    </w:p>
    <w:p w14:paraId="08082C6D" w14:textId="77777777" w:rsidR="003E5397"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Наприклад, зростання індексу людського розвитку ООН країн Південно-Східної Азії дає їм змогу здійснити прорив у сферу високих технологій, кожен вкладений в освіту долар обернувся десятками доларів ВВП. Процес європейської інтеграції не може обмежуватися лише політичними та економічними чинниками. Він покликаний охоплювати усі сфери суспільного життя: економічну, політичну, правову, наукову, культурну, освітню. </w:t>
      </w:r>
    </w:p>
    <w:p w14:paraId="70A466E1" w14:textId="77777777" w:rsidR="003E5397"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Окрім того, саме гуманітарний розвиток суспільства є головною передумовою і запорукою успішного просування у цьому напрямі. Серед інших чинників інтеграція в освітній сфері слугує одним з найважливіших – довгостроковим чинником усього процесу. Адже саме освіта значною мірою закладає погляди, цінності, способи сприйняття й інтерпретації світу тощо. </w:t>
      </w:r>
    </w:p>
    <w:p w14:paraId="1F2DF90E" w14:textId="61F99331" w:rsidR="00BC6E72" w:rsidRPr="00C83932" w:rsidRDefault="00BC6E72"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Отож близькість чи принаймні співмірність освіти має стати ефективним стимулятором процесу європейської інтеграції на тривалу перспективу.</w:t>
      </w:r>
    </w:p>
    <w:p w14:paraId="3E90B663" w14:textId="50B1C9E8" w:rsidR="003E5397" w:rsidRPr="00C83932" w:rsidRDefault="003E5397"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235F76B1" w14:textId="77777777" w:rsidR="003E5397" w:rsidRPr="00C83932" w:rsidRDefault="003E5397"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ВИСНОВКИ</w:t>
      </w:r>
    </w:p>
    <w:p w14:paraId="53904D7D" w14:textId="20592DA8" w:rsidR="003E5397" w:rsidRPr="00C83932" w:rsidRDefault="003E5397" w:rsidP="00C83932">
      <w:pPr>
        <w:spacing w:line="360" w:lineRule="auto"/>
        <w:jc w:val="both"/>
        <w:rPr>
          <w:rFonts w:ascii="Times New Roman" w:hAnsi="Times New Roman" w:cs="Times New Roman"/>
          <w:noProof/>
          <w:sz w:val="28"/>
          <w:szCs w:val="28"/>
        </w:rPr>
      </w:pPr>
    </w:p>
    <w:p w14:paraId="514AB33C"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Конституція України в ст. 53 закріплює право громадян України на освіту. Підставою для реалізації цього права є система освіти, яка забезпечує загальноосвітню та професійну підготовку гр</w:t>
      </w:r>
      <w:r w:rsidRPr="00C83932">
        <w:rPr>
          <w:rFonts w:ascii="Times New Roman" w:hAnsi="Times New Roman" w:cs="Times New Roman"/>
          <w:noProof/>
          <w:sz w:val="28"/>
          <w:szCs w:val="28"/>
          <w:lang w:val="uk-UA"/>
        </w:rPr>
        <w:t>о</w:t>
      </w:r>
      <w:r w:rsidRPr="00C83932">
        <w:rPr>
          <w:rFonts w:ascii="Times New Roman" w:hAnsi="Times New Roman" w:cs="Times New Roman"/>
          <w:noProof/>
          <w:sz w:val="28"/>
          <w:szCs w:val="28"/>
        </w:rPr>
        <w:t>мадян України, а також професійну підготовку іноземних громадян за міжнародними угодами чи контрактами. У сфері освіти вирішу</w:t>
      </w:r>
      <w:r w:rsidRPr="00C83932">
        <w:rPr>
          <w:rFonts w:ascii="Times New Roman" w:hAnsi="Times New Roman" w:cs="Times New Roman"/>
          <w:noProof/>
          <w:sz w:val="28"/>
          <w:szCs w:val="28"/>
        </w:rPr>
        <w:softHyphen/>
        <w:t>ються два основних завдання: освіта і виховання. Для громадян України повна загальна середня освіта є обов'язковою.</w:t>
      </w:r>
    </w:p>
    <w:p w14:paraId="798ED577" w14:textId="3105868A"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Основним нормативним актом, який регулює освітянську діяльність в державі, є Закон України від 23 березня 1996 р. «Про освіту»[</w:t>
      </w:r>
      <w:r w:rsidR="00C83932" w:rsidRPr="00C83932">
        <w:rPr>
          <w:rFonts w:ascii="Times New Roman" w:hAnsi="Times New Roman" w:cs="Times New Roman"/>
          <w:noProof/>
          <w:sz w:val="28"/>
          <w:szCs w:val="28"/>
          <w:lang w:val="uk-UA"/>
        </w:rPr>
        <w:t>2</w:t>
      </w:r>
      <w:r w:rsidRPr="00C83932">
        <w:rPr>
          <w:rFonts w:ascii="Times New Roman" w:hAnsi="Times New Roman" w:cs="Times New Roman"/>
          <w:noProof/>
          <w:sz w:val="28"/>
          <w:szCs w:val="28"/>
        </w:rPr>
        <w:t xml:space="preserve">], яким забезпечуються доступність і безоплатність дошкільної, повної загальної середньої, професійно-технічної, вищої освіти в державних і комунальних навчальних закладах; розвиток дошкільної, повної загальної середньої, позашкільної, професійно-технічної, вищої і післядипломної освіти, різних форм навчання; регулюються питання надання державних стипендій та пільг учням і студентам; соціального захисту вихованців, учнів, студентів, курсантів, слухачів, стажистів, клінічних ординаторів, аспірантів, докторантів та інших осіб незалежно від форм їх навчання і типів закладів, де вони навчаються, сприяння здобуттю освіти в домашніх умовах тощо. </w:t>
      </w:r>
    </w:p>
    <w:p w14:paraId="4EDD141A"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Громадяни мають право безоплатно здобувати вищу освіту в державних і кому</w:t>
      </w:r>
      <w:r w:rsidRPr="00C83932">
        <w:rPr>
          <w:rFonts w:ascii="Times New Roman" w:hAnsi="Times New Roman" w:cs="Times New Roman"/>
          <w:noProof/>
          <w:sz w:val="28"/>
          <w:szCs w:val="28"/>
          <w:lang w:val="uk-UA"/>
        </w:rPr>
        <w:t>н</w:t>
      </w:r>
      <w:r w:rsidRPr="00C83932">
        <w:rPr>
          <w:rFonts w:ascii="Times New Roman" w:hAnsi="Times New Roman" w:cs="Times New Roman"/>
          <w:noProof/>
          <w:sz w:val="28"/>
          <w:szCs w:val="28"/>
        </w:rPr>
        <w:t>альних навчальних закладах на конкурсній основі, а громадянам, які належать до національних меншин, відповідно до закону держава гарантує право на навчання рідною мовою чи на вивчення рідної мови у державних і комунальних навчальних закладах або через національні культурні товариства.</w:t>
      </w:r>
    </w:p>
    <w:p w14:paraId="3893714D" w14:textId="70C55640"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Державні стандарти освіти розробляються окремо з кожного освітнього та освітньо-кваліфікаційного-рівня і затверджуються Кабінетом Міністрів </w:t>
      </w:r>
      <w:r w:rsidRPr="00C83932">
        <w:rPr>
          <w:rFonts w:ascii="Times New Roman" w:hAnsi="Times New Roman" w:cs="Times New Roman"/>
          <w:noProof/>
          <w:sz w:val="28"/>
          <w:szCs w:val="28"/>
        </w:rPr>
        <w:lastRenderedPageBreak/>
        <w:t>України. Вони підлягають перегляду та перезатвердженню не рідше як один раз на десять років.</w:t>
      </w:r>
    </w:p>
    <w:p w14:paraId="5B8DAC96"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Система освіти</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в Україні складається із закладів освіти, наукових, науково-методичних і методичних установ, науково-виробничих підприємств, державних і місцевих органів управління освітою та органів самоврядування в галузі освіти.</w:t>
      </w:r>
    </w:p>
    <w:p w14:paraId="0FCF72E4"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Структура освіти включає до себе: дошкільну освіту; загальну середню освіту; позашкільну освіту; професійно-технічну освіту; вищу освіту; післядипломну освіту; аспірантуру; докторантуру; самоосвіту.</w:t>
      </w:r>
    </w:p>
    <w:p w14:paraId="159F365D"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 Україні встановлені такі освітні рівні: початкова загальна освіта; базова загальна середня освіта; повна загальна середня освіта; професійно-технічна освіта; базова вища освіта; повна вища освіта і такі освітньо-кваліфікаційні рівні для фахівців з вищою освітою: кваліфікований робітник, молодший спеціаліст та бакалавр — кваліфікаційні рівні базової вищої освіти; спеціаліст, магістр — повної вищої освіти.</w:t>
      </w:r>
    </w:p>
    <w:p w14:paraId="6B1FD72B" w14:textId="77777777" w:rsidR="009A597E"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Державна політика в галузі освіти полягає в тому, що Україна визнає освіту пріоритетною сферою соціально-економічного, духовного і культурного розвитку суспільства. Від імені держави політика в галузі освіти в Україні визначається Верховною Радою України (відповідно до Конституції України) і здійснюється органами державної виконавчої влади та органами місцевого самоврядування.</w:t>
      </w:r>
    </w:p>
    <w:p w14:paraId="5A9393D4" w14:textId="77777777" w:rsidR="00BB5855"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Основними принципами освіти в Україні є: доступність для кожного громадянина усіх форм і типів освітніх послуг, що надаються державою; рівність умов кожної людини для повної реалізації її здібностей, таланту, всебічного розвитку; гуманізм, демократизм, пріоритетність загальнолюдських духовних цінностей; органічний зв'язок з освітою та національною історією, культурою, традиціями; незалежність освіти від політичних партій, громадських і релігійних організацій; науковий, світський </w:t>
      </w:r>
      <w:r w:rsidRPr="00C83932">
        <w:rPr>
          <w:rFonts w:ascii="Times New Roman" w:hAnsi="Times New Roman" w:cs="Times New Roman"/>
          <w:noProof/>
          <w:sz w:val="28"/>
          <w:szCs w:val="28"/>
        </w:rPr>
        <w:lastRenderedPageBreak/>
        <w:t>характер освіти; інтеграція з нау</w:t>
      </w:r>
      <w:r w:rsidRPr="00C83932">
        <w:rPr>
          <w:rFonts w:ascii="Times New Roman" w:hAnsi="Times New Roman" w:cs="Times New Roman"/>
          <w:noProof/>
          <w:sz w:val="28"/>
          <w:szCs w:val="28"/>
        </w:rPr>
        <w:softHyphen/>
        <w:t>кою і виробництвом; взаємозв'язок з освітою інших країн; гнучкість і прогностичність системи освіти; єдність і наступність системи освіти; безперервність і різноманітність освіти; поєднання державного управління і громадського самоврядування в освіті.</w:t>
      </w:r>
    </w:p>
    <w:p w14:paraId="22E8E925" w14:textId="77777777" w:rsidR="00BB5855"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Мова освіти в Україні визначається Конституцією України</w:t>
      </w:r>
      <w:r w:rsidR="00BB5855"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відповідно до я</w:t>
      </w:r>
      <w:r w:rsidR="00BB5855" w:rsidRPr="00C83932">
        <w:rPr>
          <w:rFonts w:ascii="Times New Roman" w:hAnsi="Times New Roman" w:cs="Times New Roman"/>
          <w:noProof/>
          <w:sz w:val="28"/>
          <w:szCs w:val="28"/>
          <w:lang w:val="uk-UA"/>
        </w:rPr>
        <w:t>кого</w:t>
      </w:r>
      <w:r w:rsidRPr="00C83932">
        <w:rPr>
          <w:rFonts w:ascii="Times New Roman" w:hAnsi="Times New Roman" w:cs="Times New Roman"/>
          <w:noProof/>
          <w:sz w:val="28"/>
          <w:szCs w:val="28"/>
        </w:rPr>
        <w:t xml:space="preserve"> навчально-виховна робота в освітніх закладах ведеться українською мовою. В місцях компактного проживання національних меншин може використовуватися мова національної більшості населення, а в загальноосвітніх школах навчання ведеться мовою, спільно визначеною батьками учнів.</w:t>
      </w:r>
    </w:p>
    <w:p w14:paraId="2E9C0E2A" w14:textId="77777777" w:rsidR="00BB5855" w:rsidRPr="00C83932" w:rsidRDefault="009A597E"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Навчально-виховний процес у закладах освіти є вільним від втручання політичних партій, громадських і релігійних організацій. Залучення учнів, студентів до участі в політичних акціях і релігійних заходах під час навчально-виховного процесу не допускається. Заклади освіти в Україні незалежно від форм власності відокремлені від церкви (релігійних організацій), мають світський характер (крім закладів освіти, заснованих релігійними організаціями). В той же час належність особи до будь-якої політичної партії, громадської чи релігійної організації, що діють відповідно до Конституції України, не є перешкодою для її участі в навчально-виховному процесі. Учням, студентам, працівникам освіти законодавство дозволяє створювати у закладах освіти первинні осередки об'єднань громадян, членами яких вони є.</w:t>
      </w:r>
    </w:p>
    <w:p w14:paraId="019E4889" w14:textId="4267B3F0" w:rsidR="009A597E" w:rsidRPr="00C83932" w:rsidRDefault="009A597E"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Провідна роль у розвитку освіти в Україні належить підготовленим кадрам педагогічних працівників</w:t>
      </w:r>
      <w:r w:rsidR="00BB5855"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До педагогічної діяльності допускаються особи, які мають відповідну освіту та професійну підготовку. Професійні права та обов'язки педагогічних пра</w:t>
      </w:r>
      <w:r w:rsidRPr="00C83932">
        <w:rPr>
          <w:rFonts w:ascii="Times New Roman" w:hAnsi="Times New Roman" w:cs="Times New Roman"/>
          <w:noProof/>
          <w:sz w:val="28"/>
          <w:szCs w:val="28"/>
        </w:rPr>
        <w:softHyphen/>
        <w:t>цівників визначаються законодавством України, положеннями та статутами відповідних освітніх закладів</w:t>
      </w:r>
      <w:r w:rsidR="00EC1DC7" w:rsidRPr="00C83932">
        <w:rPr>
          <w:rFonts w:ascii="Times New Roman" w:hAnsi="Times New Roman" w:cs="Times New Roman"/>
          <w:noProof/>
          <w:sz w:val="28"/>
          <w:szCs w:val="28"/>
          <w:lang w:val="uk-UA"/>
        </w:rPr>
        <w:t>.</w:t>
      </w:r>
    </w:p>
    <w:p w14:paraId="0833F1ED" w14:textId="77777777" w:rsidR="00EC1DC7" w:rsidRPr="00C83932" w:rsidRDefault="00EC1DC7"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Перед Україною стоїть важливе завдання здійснити системну реформу суспільства, концентруючи увагу при цьому на потребах загальноєвропейської </w:t>
      </w:r>
      <w:r w:rsidRPr="00C83932">
        <w:rPr>
          <w:rFonts w:ascii="Times New Roman" w:hAnsi="Times New Roman" w:cs="Times New Roman"/>
          <w:noProof/>
          <w:sz w:val="28"/>
          <w:szCs w:val="28"/>
        </w:rPr>
        <w:lastRenderedPageBreak/>
        <w:t xml:space="preserve">безпеки, ефективної реалізації політики ЄС та необхідності розвитку європейського інтеграційного простору і європейської системи державного управління. </w:t>
      </w:r>
    </w:p>
    <w:p w14:paraId="3B9A57AE" w14:textId="77777777" w:rsidR="00EC1DC7" w:rsidRPr="00C83932" w:rsidRDefault="00EC1DC7"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В ЄС впроваджується в практику нова концепція управління – концепція належного врядування (good governance), яка характеризується багаторівневим характером взаємодії між різними рівнями інституційної побудови та залученням до взаємодії представників бізнесових структур та громадянського суспільства. Розширення діалогу з громадськістю та покращення участі інститутів громадянського суспільства до розробки та впровадження політики ЄС, а також покращення самої політики ЄС були ключовими напрямками реформування врядування в ЄС. </w:t>
      </w:r>
    </w:p>
    <w:p w14:paraId="4B0B1DEF" w14:textId="77777777" w:rsidR="00EC1DC7" w:rsidRPr="00C83932" w:rsidRDefault="00EC1DC7"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Врахування помилок та труднощів при проведенні реформи європейського врядування дасть змогу більш ефективно та з меншими втратами здійснити реформування системи управління в Україні. Подальше реформування врядування в ЄС відбулось із введенням у дію 2007 р. Лісабонського договору, що є результатом збалансованої інституційної рівноваги між наднаціональними та міжурядовими чинниками, великими та малими державами-членами і об’єктивно дає можливість розширеному</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ЄС</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діятибільш</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 xml:space="preserve">ефективно й узгоджено урамках здійснення спільних політик і на міжнародній арені. Можна сподіватись, що Лісабонський договір реформував на довший час інституційну та правову систему ЄС. </w:t>
      </w:r>
    </w:p>
    <w:p w14:paraId="7B0FD173" w14:textId="77777777" w:rsidR="00EC1DC7" w:rsidRPr="00C83932" w:rsidRDefault="00EC1DC7"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t xml:space="preserve">Історія розвиткуЄС, функціонування його інститутів свідчить про позитивні тенденції, які проявляються у стабільності інститутів ЄС, забезпеченні прав та свобод громадян, залученні громадян ЄС до участі у прийнятті рішень на рівні ЄС, запровадженні партнерських відносин між органами ЄС, громадянами та приватним сектором, підвищенні ефективності політик ЄС тощо. </w:t>
      </w:r>
    </w:p>
    <w:p w14:paraId="2B54F1A1" w14:textId="77777777" w:rsidR="00EC1DC7" w:rsidRPr="00C83932" w:rsidRDefault="00EC1DC7" w:rsidP="00C83932">
      <w:pPr>
        <w:spacing w:line="360" w:lineRule="auto"/>
        <w:ind w:firstLine="720"/>
        <w:jc w:val="both"/>
        <w:rPr>
          <w:rFonts w:ascii="Times New Roman" w:hAnsi="Times New Roman" w:cs="Times New Roman"/>
          <w:noProof/>
          <w:sz w:val="28"/>
          <w:szCs w:val="28"/>
        </w:rPr>
      </w:pPr>
      <w:r w:rsidRPr="00C83932">
        <w:rPr>
          <w:rFonts w:ascii="Times New Roman" w:hAnsi="Times New Roman" w:cs="Times New Roman"/>
          <w:noProof/>
          <w:sz w:val="28"/>
          <w:szCs w:val="28"/>
        </w:rPr>
        <w:lastRenderedPageBreak/>
        <w:t xml:space="preserve">Створення ефективної системи публічного управління є одним з найбільш актуальних завдань реформування владної структури України. Його вирішення є складним і тривалим процесом, що передбачає адаптування до українських реалій досягнень європейської практики функціонування інституцій Європейського Союзу. </w:t>
      </w:r>
    </w:p>
    <w:p w14:paraId="1F6ED721" w14:textId="28E31979" w:rsidR="00EC1DC7" w:rsidRPr="00C83932" w:rsidRDefault="00EC1DC7" w:rsidP="00C83932">
      <w:pPr>
        <w:spacing w:line="360" w:lineRule="auto"/>
        <w:ind w:firstLine="720"/>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Використання позитивного досвіду ЄС щодо реформування європейського управління, забезпечення дотримання принципів та стандартів належного врядування в роботі інституцій ЄС, державних органів держав-членів ЄС, формування національних систем державного управління, здатних забезпечити використання acquis communautaire в своїй діяльності та інтегрування в Європейський адміністративний простір сприятиме проведенню реформи державного управління в Україні та підвищенню його ефективності</w:t>
      </w:r>
      <w:r w:rsidRPr="00C83932">
        <w:rPr>
          <w:rFonts w:ascii="Times New Roman" w:hAnsi="Times New Roman" w:cs="Times New Roman"/>
          <w:noProof/>
          <w:sz w:val="28"/>
          <w:szCs w:val="28"/>
          <w:lang w:val="uk-UA"/>
        </w:rPr>
        <w:t>.</w:t>
      </w:r>
    </w:p>
    <w:p w14:paraId="18395934" w14:textId="6E8A22A1" w:rsidR="00BB5855" w:rsidRPr="00C83932" w:rsidRDefault="00BB5855" w:rsidP="00C83932">
      <w:pPr>
        <w:spacing w:line="360" w:lineRule="auto"/>
        <w:jc w:val="both"/>
        <w:rPr>
          <w:rFonts w:ascii="Times New Roman" w:hAnsi="Times New Roman" w:cs="Times New Roman"/>
          <w:noProof/>
          <w:sz w:val="28"/>
          <w:szCs w:val="28"/>
        </w:rPr>
      </w:pPr>
      <w:r w:rsidRPr="00C83932">
        <w:rPr>
          <w:rFonts w:ascii="Times New Roman" w:hAnsi="Times New Roman" w:cs="Times New Roman"/>
          <w:noProof/>
          <w:sz w:val="28"/>
          <w:szCs w:val="28"/>
        </w:rPr>
        <w:br w:type="page"/>
      </w:r>
    </w:p>
    <w:p w14:paraId="4B169718" w14:textId="77777777" w:rsidR="00BB5855" w:rsidRPr="00C83932" w:rsidRDefault="00BB5855" w:rsidP="00C83932">
      <w:pPr>
        <w:pStyle w:val="a3"/>
        <w:shd w:val="clear" w:color="auto" w:fill="FFFFFF"/>
        <w:spacing w:before="0" w:beforeAutospacing="0" w:after="0" w:afterAutospacing="0" w:line="360" w:lineRule="auto"/>
        <w:jc w:val="both"/>
        <w:rPr>
          <w:b/>
          <w:bCs/>
          <w:noProof/>
          <w:sz w:val="28"/>
          <w:szCs w:val="28"/>
          <w:lang w:val="uk-UA"/>
        </w:rPr>
      </w:pPr>
      <w:r w:rsidRPr="00C83932">
        <w:rPr>
          <w:b/>
          <w:bCs/>
          <w:noProof/>
          <w:sz w:val="28"/>
          <w:szCs w:val="28"/>
          <w:lang w:val="uk-UA"/>
        </w:rPr>
        <w:lastRenderedPageBreak/>
        <w:t>СПИСОК ВИКОРИСТАНИХ ДЖЕРЕЛ</w:t>
      </w:r>
    </w:p>
    <w:p w14:paraId="445F5AFF" w14:textId="3CAF634A" w:rsidR="003E5397" w:rsidRPr="00C83932" w:rsidRDefault="003E5397" w:rsidP="00C83932">
      <w:pPr>
        <w:spacing w:line="360" w:lineRule="auto"/>
        <w:jc w:val="both"/>
        <w:rPr>
          <w:rFonts w:ascii="Times New Roman" w:hAnsi="Times New Roman" w:cs="Times New Roman"/>
          <w:noProof/>
          <w:sz w:val="28"/>
          <w:szCs w:val="28"/>
        </w:rPr>
      </w:pPr>
    </w:p>
    <w:p w14:paraId="4C619F83" w14:textId="77777777" w:rsidR="00BB5855" w:rsidRPr="00C83932" w:rsidRDefault="00BB5855" w:rsidP="00BA5B5C">
      <w:pPr>
        <w:pStyle w:val="a4"/>
        <w:numPr>
          <w:ilvl w:val="0"/>
          <w:numId w:val="51"/>
        </w:numPr>
        <w:spacing w:line="360" w:lineRule="auto"/>
        <w:jc w:val="both"/>
        <w:rPr>
          <w:rFonts w:ascii="Times New Roman" w:hAnsi="Times New Roman" w:cs="Times New Roman"/>
          <w:sz w:val="28"/>
          <w:szCs w:val="28"/>
          <w:lang w:val="uk-UA"/>
        </w:rPr>
      </w:pPr>
      <w:r w:rsidRPr="00C83932">
        <w:rPr>
          <w:rFonts w:ascii="Times New Roman" w:hAnsi="Times New Roman" w:cs="Times New Roman"/>
          <w:sz w:val="28"/>
          <w:szCs w:val="28"/>
          <w:lang w:val="uk-UA"/>
        </w:rPr>
        <w:t>Конституція України: Закон України від 28 червня 1996 р. № 254 к/96-ВР [Електронний ресурс]. – Режим доступу: http://zakon3.rada.gov.ua/laws/show/254 %D0 %BA/96-%D0 %B2 %D1 %80</w:t>
      </w:r>
    </w:p>
    <w:p w14:paraId="01EF2552" w14:textId="0CD1B9E9" w:rsidR="00BB5855" w:rsidRPr="00C83932" w:rsidRDefault="00BB5855"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Закон України «Про </w:t>
      </w:r>
      <w:r w:rsidR="00004CDD">
        <w:rPr>
          <w:rFonts w:ascii="Times New Roman" w:hAnsi="Times New Roman" w:cs="Times New Roman"/>
          <w:noProof/>
          <w:sz w:val="28"/>
          <w:szCs w:val="28"/>
          <w:lang w:val="uk-UA"/>
        </w:rPr>
        <w:t>о</w:t>
      </w:r>
      <w:r w:rsidRPr="00C83932">
        <w:rPr>
          <w:rFonts w:ascii="Times New Roman" w:hAnsi="Times New Roman" w:cs="Times New Roman"/>
          <w:noProof/>
          <w:sz w:val="28"/>
          <w:szCs w:val="28"/>
          <w:lang w:val="uk-UA"/>
        </w:rPr>
        <w:t xml:space="preserve">світу» </w:t>
      </w:r>
      <w:r w:rsidRPr="00C83932">
        <w:rPr>
          <w:rFonts w:ascii="Times New Roman" w:hAnsi="Times New Roman" w:cs="Times New Roman"/>
          <w:noProof/>
          <w:sz w:val="28"/>
          <w:szCs w:val="28"/>
        </w:rPr>
        <w:t xml:space="preserve">від </w:t>
      </w:r>
      <w:r w:rsidR="00004CDD" w:rsidRPr="00004CDD">
        <w:rPr>
          <w:rFonts w:ascii="Times New Roman" w:hAnsi="Times New Roman" w:cs="Times New Roman"/>
          <w:noProof/>
          <w:sz w:val="28"/>
          <w:szCs w:val="28"/>
        </w:rPr>
        <w:t>05.09.2017</w:t>
      </w:r>
      <w:r w:rsidR="00004CDD">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року</w:t>
      </w:r>
      <w:r w:rsidR="009E3CC6">
        <w:rPr>
          <w:rFonts w:ascii="Times New Roman" w:hAnsi="Times New Roman" w:cs="Times New Roman"/>
          <w:noProof/>
          <w:sz w:val="28"/>
          <w:szCs w:val="28"/>
          <w:lang w:val="uk-UA"/>
        </w:rPr>
        <w:t xml:space="preserve"> (р</w:t>
      </w:r>
      <w:r w:rsidR="009E3CC6" w:rsidRPr="009E3CC6">
        <w:rPr>
          <w:rFonts w:ascii="Times New Roman" w:hAnsi="Times New Roman" w:cs="Times New Roman"/>
          <w:noProof/>
          <w:sz w:val="28"/>
          <w:szCs w:val="28"/>
          <w:lang w:val="uk-UA"/>
        </w:rPr>
        <w:t>ед</w:t>
      </w:r>
      <w:r w:rsidR="009E3CC6">
        <w:rPr>
          <w:rFonts w:ascii="Times New Roman" w:hAnsi="Times New Roman" w:cs="Times New Roman"/>
          <w:noProof/>
          <w:sz w:val="28"/>
          <w:szCs w:val="28"/>
          <w:lang w:val="uk-UA"/>
        </w:rPr>
        <w:t>.</w:t>
      </w:r>
      <w:r w:rsidR="009E3CC6" w:rsidRPr="009E3CC6">
        <w:rPr>
          <w:rFonts w:ascii="Times New Roman" w:hAnsi="Times New Roman" w:cs="Times New Roman"/>
          <w:noProof/>
          <w:sz w:val="28"/>
          <w:szCs w:val="28"/>
          <w:lang w:val="uk-UA"/>
        </w:rPr>
        <w:t xml:space="preserve"> від 16.11.2020</w:t>
      </w:r>
      <w:r w:rsidR="009E3CC6">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[Електронний ресурс]. – Режим доступу: </w:t>
      </w:r>
      <w:hyperlink r:id="rId7" w:anchor="Text" w:history="1">
        <w:r w:rsidR="00004CDD" w:rsidRPr="00A03AB1">
          <w:rPr>
            <w:rStyle w:val="aa"/>
            <w:rFonts w:ascii="Times New Roman" w:hAnsi="Times New Roman" w:cs="Times New Roman"/>
            <w:sz w:val="28"/>
            <w:szCs w:val="28"/>
          </w:rPr>
          <w:t>https://zakon.rada.gov.ua/laws/show/2145-19#Text</w:t>
        </w:r>
      </w:hyperlink>
      <w:r w:rsidR="00004CDD">
        <w:rPr>
          <w:rFonts w:ascii="Times New Roman" w:hAnsi="Times New Roman" w:cs="Times New Roman"/>
          <w:sz w:val="28"/>
          <w:szCs w:val="28"/>
          <w:lang w:val="uk-UA"/>
        </w:rPr>
        <w:t xml:space="preserve"> </w:t>
      </w:r>
    </w:p>
    <w:p w14:paraId="27B54ED3" w14:textId="449B6A08" w:rsidR="00BB5855" w:rsidRPr="009E3CC6" w:rsidRDefault="00BB5855" w:rsidP="00BA5B5C">
      <w:pPr>
        <w:pStyle w:val="a4"/>
        <w:numPr>
          <w:ilvl w:val="0"/>
          <w:numId w:val="51"/>
        </w:numPr>
        <w:spacing w:line="360" w:lineRule="auto"/>
        <w:jc w:val="both"/>
        <w:rPr>
          <w:rStyle w:val="aa"/>
          <w:rFonts w:ascii="Times New Roman" w:hAnsi="Times New Roman" w:cs="Times New Roman"/>
          <w:noProof/>
          <w:color w:val="auto"/>
          <w:sz w:val="28"/>
          <w:szCs w:val="28"/>
          <w:u w:val="none"/>
          <w:lang w:val="uk-UA"/>
        </w:rPr>
      </w:pPr>
      <w:r w:rsidRPr="00C83932">
        <w:rPr>
          <w:rFonts w:ascii="Times New Roman" w:hAnsi="Times New Roman" w:cs="Times New Roman"/>
          <w:noProof/>
          <w:sz w:val="28"/>
          <w:szCs w:val="28"/>
          <w:lang w:val="uk-UA"/>
        </w:rPr>
        <w:t xml:space="preserve">Закон України «Про вищу освіту» </w:t>
      </w:r>
      <w:r w:rsidRPr="00C83932">
        <w:rPr>
          <w:rFonts w:ascii="Times New Roman" w:hAnsi="Times New Roman" w:cs="Times New Roman"/>
          <w:noProof/>
          <w:sz w:val="28"/>
          <w:szCs w:val="28"/>
        </w:rPr>
        <w:t>від 1 липня 2014 року</w:t>
      </w:r>
      <w:r w:rsidR="009E3CC6">
        <w:rPr>
          <w:rFonts w:ascii="Times New Roman" w:hAnsi="Times New Roman" w:cs="Times New Roman"/>
          <w:noProof/>
          <w:sz w:val="28"/>
          <w:szCs w:val="28"/>
          <w:lang w:val="uk-UA"/>
        </w:rPr>
        <w:t xml:space="preserve"> (ред.</w:t>
      </w:r>
      <w:r w:rsidR="009E3CC6" w:rsidRPr="009E3CC6">
        <w:rPr>
          <w:rFonts w:ascii="Times New Roman" w:hAnsi="Times New Roman" w:cs="Times New Roman"/>
          <w:noProof/>
          <w:sz w:val="28"/>
          <w:szCs w:val="28"/>
          <w:lang w:val="uk-UA"/>
        </w:rPr>
        <w:t xml:space="preserve"> від 25.09.2020</w:t>
      </w:r>
      <w:r w:rsidR="009E3CC6">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[Електронний ресурс]. – Режим доступу: </w:t>
      </w:r>
      <w:hyperlink r:id="rId8" w:history="1">
        <w:r w:rsidRPr="00C83932">
          <w:rPr>
            <w:rStyle w:val="aa"/>
            <w:rFonts w:ascii="Times New Roman" w:hAnsi="Times New Roman" w:cs="Times New Roman"/>
            <w:noProof/>
            <w:color w:val="auto"/>
            <w:sz w:val="28"/>
            <w:szCs w:val="28"/>
          </w:rPr>
          <w:t>http://zakon2.rada.gov.ua</w:t>
        </w:r>
      </w:hyperlink>
    </w:p>
    <w:p w14:paraId="193F87B4" w14:textId="11EC8F02" w:rsidR="009E3CC6" w:rsidRPr="00C83932" w:rsidRDefault="009E3CC6"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t xml:space="preserve">Закон України «Про </w:t>
      </w:r>
      <w:r>
        <w:rPr>
          <w:rFonts w:ascii="Times New Roman" w:hAnsi="Times New Roman" w:cs="Times New Roman"/>
          <w:noProof/>
          <w:sz w:val="28"/>
          <w:szCs w:val="28"/>
          <w:lang w:val="uk-UA"/>
        </w:rPr>
        <w:t>повну загальну середнью</w:t>
      </w:r>
      <w:r w:rsidRPr="00C83932">
        <w:rPr>
          <w:rFonts w:ascii="Times New Roman" w:hAnsi="Times New Roman" w:cs="Times New Roman"/>
          <w:noProof/>
          <w:sz w:val="28"/>
          <w:szCs w:val="28"/>
          <w:lang w:val="uk-UA"/>
        </w:rPr>
        <w:t xml:space="preserve"> освіту» </w:t>
      </w:r>
      <w:r w:rsidRPr="009E3CC6">
        <w:rPr>
          <w:rFonts w:ascii="Times New Roman" w:hAnsi="Times New Roman" w:cs="Times New Roman"/>
          <w:noProof/>
          <w:sz w:val="28"/>
          <w:szCs w:val="28"/>
        </w:rPr>
        <w:t>16.01.2020</w:t>
      </w:r>
      <w:r>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року</w:t>
      </w:r>
      <w:r>
        <w:rPr>
          <w:rFonts w:ascii="Times New Roman" w:hAnsi="Times New Roman" w:cs="Times New Roman"/>
          <w:noProof/>
          <w:sz w:val="28"/>
          <w:szCs w:val="28"/>
          <w:lang w:val="uk-UA"/>
        </w:rPr>
        <w:t xml:space="preserve"> (ред.</w:t>
      </w:r>
      <w:r w:rsidRPr="009E3CC6">
        <w:rPr>
          <w:rFonts w:ascii="Times New Roman" w:hAnsi="Times New Roman" w:cs="Times New Roman"/>
          <w:noProof/>
          <w:sz w:val="28"/>
          <w:szCs w:val="28"/>
          <w:lang w:val="uk-UA"/>
        </w:rPr>
        <w:t xml:space="preserve"> від </w:t>
      </w:r>
      <w:r>
        <w:rPr>
          <w:rFonts w:ascii="Times New Roman" w:hAnsi="Times New Roman" w:cs="Times New Roman"/>
          <w:noProof/>
          <w:sz w:val="28"/>
          <w:szCs w:val="28"/>
          <w:lang w:val="uk-UA"/>
        </w:rPr>
        <w:t>01</w:t>
      </w:r>
      <w:r w:rsidRPr="009E3CC6">
        <w:rPr>
          <w:rFonts w:ascii="Times New Roman" w:hAnsi="Times New Roman" w:cs="Times New Roman"/>
          <w:noProof/>
          <w:sz w:val="28"/>
          <w:szCs w:val="28"/>
          <w:lang w:val="uk-UA"/>
        </w:rPr>
        <w:t>.0</w:t>
      </w:r>
      <w:r>
        <w:rPr>
          <w:rFonts w:ascii="Times New Roman" w:hAnsi="Times New Roman" w:cs="Times New Roman"/>
          <w:noProof/>
          <w:sz w:val="28"/>
          <w:szCs w:val="28"/>
          <w:lang w:val="uk-UA"/>
        </w:rPr>
        <w:t>8</w:t>
      </w:r>
      <w:r w:rsidRPr="009E3CC6">
        <w:rPr>
          <w:rFonts w:ascii="Times New Roman" w:hAnsi="Times New Roman" w:cs="Times New Roman"/>
          <w:noProof/>
          <w:sz w:val="28"/>
          <w:szCs w:val="28"/>
          <w:lang w:val="uk-UA"/>
        </w:rPr>
        <w:t>.2020</w:t>
      </w:r>
      <w:r>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[Електронний ресурс]. – Режим доступу:</w:t>
      </w:r>
      <w:r>
        <w:rPr>
          <w:rFonts w:ascii="Times New Roman" w:hAnsi="Times New Roman" w:cs="Times New Roman"/>
          <w:noProof/>
          <w:sz w:val="28"/>
          <w:szCs w:val="28"/>
          <w:lang w:val="uk-UA"/>
        </w:rPr>
        <w:t xml:space="preserve"> </w:t>
      </w:r>
      <w:hyperlink r:id="rId9" w:anchor="Text" w:history="1">
        <w:r w:rsidRPr="00263A3E">
          <w:rPr>
            <w:rStyle w:val="aa"/>
            <w:rFonts w:ascii="Times New Roman" w:hAnsi="Times New Roman" w:cs="Times New Roman"/>
            <w:noProof/>
            <w:sz w:val="28"/>
            <w:szCs w:val="28"/>
            <w:lang w:val="uk-UA"/>
          </w:rPr>
          <w:t>https://zakon.rada.gov.ua/laws/show/463-20#Text</w:t>
        </w:r>
      </w:hyperlink>
      <w:r>
        <w:rPr>
          <w:rFonts w:ascii="Times New Roman" w:hAnsi="Times New Roman" w:cs="Times New Roman"/>
          <w:noProof/>
          <w:sz w:val="28"/>
          <w:szCs w:val="28"/>
          <w:lang w:val="uk-UA"/>
        </w:rPr>
        <w:t xml:space="preserve"> </w:t>
      </w:r>
    </w:p>
    <w:p w14:paraId="168BBDF9" w14:textId="3D5A4048" w:rsidR="00BB5855" w:rsidRPr="00C83932" w:rsidRDefault="00BB5855"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sz w:val="28"/>
          <w:szCs w:val="28"/>
          <w:shd w:val="clear" w:color="auto" w:fill="FFFFFF"/>
          <w:lang w:val="uk-UA"/>
        </w:rPr>
        <w:t xml:space="preserve">Атаманчук Г.В. </w:t>
      </w:r>
      <w:proofErr w:type="spellStart"/>
      <w:r w:rsidRPr="00C83932">
        <w:rPr>
          <w:rFonts w:ascii="Times New Roman" w:hAnsi="Times New Roman" w:cs="Times New Roman"/>
          <w:sz w:val="28"/>
          <w:szCs w:val="28"/>
          <w:shd w:val="clear" w:color="auto" w:fill="FFFFFF"/>
          <w:lang w:val="uk-UA"/>
        </w:rPr>
        <w:t>Теория</w:t>
      </w:r>
      <w:proofErr w:type="spellEnd"/>
      <w:r w:rsidRPr="00C83932">
        <w:rPr>
          <w:rFonts w:ascii="Times New Roman" w:hAnsi="Times New Roman" w:cs="Times New Roman"/>
          <w:sz w:val="28"/>
          <w:szCs w:val="28"/>
          <w:shd w:val="clear" w:color="auto" w:fill="FFFFFF"/>
          <w:lang w:val="uk-UA"/>
        </w:rPr>
        <w:t xml:space="preserve"> </w:t>
      </w:r>
      <w:proofErr w:type="spellStart"/>
      <w:r w:rsidRPr="00C83932">
        <w:rPr>
          <w:rFonts w:ascii="Times New Roman" w:hAnsi="Times New Roman" w:cs="Times New Roman"/>
          <w:sz w:val="28"/>
          <w:szCs w:val="28"/>
          <w:shd w:val="clear" w:color="auto" w:fill="FFFFFF"/>
          <w:lang w:val="uk-UA"/>
        </w:rPr>
        <w:t>государственного</w:t>
      </w:r>
      <w:proofErr w:type="spellEnd"/>
      <w:r w:rsidRPr="00C83932">
        <w:rPr>
          <w:rFonts w:ascii="Times New Roman" w:hAnsi="Times New Roman" w:cs="Times New Roman"/>
          <w:sz w:val="28"/>
          <w:szCs w:val="28"/>
          <w:shd w:val="clear" w:color="auto" w:fill="FFFFFF"/>
          <w:lang w:val="uk-UA"/>
        </w:rPr>
        <w:t xml:space="preserve"> </w:t>
      </w:r>
      <w:proofErr w:type="spellStart"/>
      <w:r w:rsidRPr="00C83932">
        <w:rPr>
          <w:rFonts w:ascii="Times New Roman" w:hAnsi="Times New Roman" w:cs="Times New Roman"/>
          <w:sz w:val="28"/>
          <w:szCs w:val="28"/>
          <w:shd w:val="clear" w:color="auto" w:fill="FFFFFF"/>
          <w:lang w:val="uk-UA"/>
        </w:rPr>
        <w:t>управления</w:t>
      </w:r>
      <w:proofErr w:type="spellEnd"/>
      <w:r w:rsidRPr="00C83932">
        <w:rPr>
          <w:rFonts w:ascii="Times New Roman" w:hAnsi="Times New Roman" w:cs="Times New Roman"/>
          <w:sz w:val="28"/>
          <w:szCs w:val="28"/>
          <w:shd w:val="clear" w:color="auto" w:fill="FFFFFF"/>
          <w:lang w:val="uk-UA"/>
        </w:rPr>
        <w:t xml:space="preserve"> / Г.В.</w:t>
      </w:r>
      <w:r w:rsidRPr="00C83932">
        <w:rPr>
          <w:rFonts w:ascii="Times New Roman" w:hAnsi="Times New Roman" w:cs="Times New Roman"/>
          <w:sz w:val="28"/>
          <w:szCs w:val="28"/>
          <w:shd w:val="clear" w:color="auto" w:fill="FFFFFF"/>
          <w:lang w:val="en-US"/>
        </w:rPr>
        <w:t> </w:t>
      </w:r>
      <w:r w:rsidRPr="00C83932">
        <w:rPr>
          <w:rFonts w:ascii="Times New Roman" w:hAnsi="Times New Roman" w:cs="Times New Roman"/>
          <w:sz w:val="28"/>
          <w:szCs w:val="28"/>
          <w:shd w:val="clear" w:color="auto" w:fill="FFFFFF"/>
          <w:lang w:val="uk-UA"/>
        </w:rPr>
        <w:t>Атаманчук</w:t>
      </w:r>
      <w:r w:rsidRPr="00C83932">
        <w:rPr>
          <w:rFonts w:ascii="Times New Roman" w:hAnsi="Times New Roman" w:cs="Times New Roman"/>
          <w:sz w:val="28"/>
          <w:szCs w:val="28"/>
          <w:shd w:val="clear" w:color="auto" w:fill="FFFFFF"/>
        </w:rPr>
        <w:t>. - </w:t>
      </w:r>
      <w:proofErr w:type="spellStart"/>
      <w:r w:rsidRPr="00C83932">
        <w:rPr>
          <w:rFonts w:ascii="Times New Roman" w:hAnsi="Times New Roman" w:cs="Times New Roman"/>
          <w:sz w:val="28"/>
          <w:szCs w:val="28"/>
          <w:shd w:val="clear" w:color="auto" w:fill="FFFFFF"/>
          <w:lang w:val="uk-UA"/>
        </w:rPr>
        <w:t>Изд</w:t>
      </w:r>
      <w:proofErr w:type="spellEnd"/>
      <w:r w:rsidRPr="00C83932">
        <w:rPr>
          <w:rFonts w:ascii="Times New Roman" w:hAnsi="Times New Roman" w:cs="Times New Roman"/>
          <w:sz w:val="28"/>
          <w:szCs w:val="28"/>
          <w:shd w:val="clear" w:color="auto" w:fill="FFFFFF"/>
          <w:lang w:val="uk-UA"/>
        </w:rPr>
        <w:t xml:space="preserve">. 2-е, </w:t>
      </w:r>
      <w:proofErr w:type="spellStart"/>
      <w:r w:rsidRPr="00C83932">
        <w:rPr>
          <w:rFonts w:ascii="Times New Roman" w:hAnsi="Times New Roman" w:cs="Times New Roman"/>
          <w:sz w:val="28"/>
          <w:szCs w:val="28"/>
          <w:shd w:val="clear" w:color="auto" w:fill="FFFFFF"/>
          <w:lang w:val="uk-UA"/>
        </w:rPr>
        <w:t>доп</w:t>
      </w:r>
      <w:proofErr w:type="spellEnd"/>
      <w:r w:rsidRPr="00C83932">
        <w:rPr>
          <w:rFonts w:ascii="Times New Roman" w:hAnsi="Times New Roman" w:cs="Times New Roman"/>
          <w:sz w:val="28"/>
          <w:szCs w:val="28"/>
          <w:shd w:val="clear" w:color="auto" w:fill="FFFFFF"/>
          <w:lang w:val="uk-UA"/>
        </w:rPr>
        <w:t>. – М.: Омега-Л, 2004. – 584 с</w:t>
      </w:r>
    </w:p>
    <w:p w14:paraId="4ACEF964" w14:textId="657BB71D"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1Амстердамський договір про Європейський Союз (1997 р.) [Електронний ресурс]. – Режим доступу : http://europa.eu.int/comm/ external_relations/ukraine /intro/ip04_1477.htm </w:t>
      </w:r>
    </w:p>
    <w:p w14:paraId="373009E0" w14:textId="77777777"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Андерсон Б. Воображаемые сообщества. Размышления об истоках и распространении национализма / Б. Андерсон ; пер. с англ. В. Николаева ; вступ. ст. С. Баньковской. – М. : КАНОН-пресс-Ц, Кучково поле, 2001. – 288 с. (Малая серия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CONDITIO HUMANA</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в серии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Публикации Центра Фундаментальной Социологии</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 С. 105–133. </w:t>
      </w:r>
    </w:p>
    <w:p w14:paraId="60E9AA52" w14:textId="77777777"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Будущее Європейского Союза. – Режим доступа : http;//eulaw.edu.ru/ documents/legislation/dekl_zaiav/laaken.htm </w:t>
      </w:r>
    </w:p>
    <w:p w14:paraId="2A9C90DD" w14:textId="77777777"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lastRenderedPageBreak/>
        <w:t xml:space="preserve">Волес В. Творення політики в Європейському Союзі / В. Волес, Г. Волес ; пер. з англ. Р. Ткачук. – – К. : Вид-во Соломії Павличко </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Основи</w:t>
      </w:r>
      <w:r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2004. –2004. – 871 с. </w:t>
      </w:r>
    </w:p>
    <w:p w14:paraId="22FC6D11" w14:textId="77777777"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Грицяк І. Європейське управління: теоретико-методологічні засади : монографія / І. Я. Грицяк. – К. : К.І.С., 2006. – 398 с. </w:t>
      </w:r>
    </w:p>
    <w:p w14:paraId="7A4F004C"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Договір про заснування європейської спільноти // Конституційні акти Європейського Союзу : Ч. І ; упоряд. Г. Друзенко ; за заг. ред. Т. Качки. – К. : Вид-во Юстиніан, 2005. – С. 45–183. </w:t>
      </w:r>
    </w:p>
    <w:p w14:paraId="49CE158D" w14:textId="51D62600"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Енциклопедичний</w:t>
      </w:r>
      <w:r w:rsidR="00C73EFF" w:rsidRPr="00C73EFF">
        <w:rPr>
          <w:rFonts w:ascii="Times New Roman" w:hAnsi="Times New Roman" w:cs="Times New Roman"/>
          <w:noProof/>
          <w:sz w:val="28"/>
          <w:szCs w:val="28"/>
          <w:lang w:val="ru-RU"/>
        </w:rPr>
        <w:t xml:space="preserve"> </w:t>
      </w:r>
      <w:r w:rsidRPr="00C83932">
        <w:rPr>
          <w:rFonts w:ascii="Times New Roman" w:hAnsi="Times New Roman" w:cs="Times New Roman"/>
          <w:noProof/>
          <w:sz w:val="28"/>
          <w:szCs w:val="28"/>
        </w:rPr>
        <w:t xml:space="preserve">словник з державного управління / уклад. : Ю. П. Сурмін, В. Д. Бакуменко, А. М. Михненко та ін. ; за ред. Ю. В. Ковбасюка, В. П. Трощинського, Ю. П. Сурміна. – К. : НАДУ, 2010. – 820 с. </w:t>
      </w:r>
    </w:p>
    <w:p w14:paraId="55DDA809"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Європейська хартія місцевого самоврядування // Європейська хартія місцевого самоврядування та розвиток місцевої та регіональної демократії в Україні. – К., 2002. – С. 70–82. </w:t>
      </w:r>
    </w:p>
    <w:p w14:paraId="0FDF1074"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Європейське врядування. Біла книга. Брюссель, 25.7.2001 СОМ (2001) 428 остаточна редакція. – Режим доступу : http://www.pravo.org/ua/ files/ konstutyc/WHITE_BOOK_UKR_REV.pdf </w:t>
      </w:r>
    </w:p>
    <w:p w14:paraId="2A7CB635"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Зуев В. Н. Механизм принятия решений в ЄС– универсальный инструмент примирения интересов / В. Н. Зуев // Вестн. международных организаций. – 2008. – № 3 (18). – С. 13–23.</w:t>
      </w:r>
    </w:p>
    <w:p w14:paraId="559F4970"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Інституційне забезпечення державної регіональної політики. – Режим доступу : http://old.niss.gov.ua/Monitor/mart2009/31.htm </w:t>
      </w:r>
    </w:p>
    <w:p w14:paraId="4A60DC47" w14:textId="24867766"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Кавешников Н. Лиссабонский договор: как меняется Європейский Союз/ Н. Кавешников. – Режим доступа : http://www.perspektivy.info/ oykumena/europe/</w:t>
      </w:r>
    </w:p>
    <w:p w14:paraId="027294A2"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Киричук О. С. Інституційні основи ЄС : курс лекцій для слухачів спец. </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Публічне адміністрування</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 О. С. Киричук. – Львів, 2011. – 49 с. </w:t>
      </w:r>
    </w:p>
    <w:p w14:paraId="5ED18EC4"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Киричук О. С. Історія європейської інтеграції: етапи, результати та досягнення. Політичні виклики європейської інтеграції : курс лекцій для </w:t>
      </w:r>
      <w:r w:rsidRPr="00C83932">
        <w:rPr>
          <w:rFonts w:ascii="Times New Roman" w:hAnsi="Times New Roman" w:cs="Times New Roman"/>
          <w:noProof/>
          <w:sz w:val="28"/>
          <w:szCs w:val="28"/>
        </w:rPr>
        <w:lastRenderedPageBreak/>
        <w:t xml:space="preserve">слухачів спец. “Публічне адміністрування” / О. С. Киричук. – Львів, 2011. – 82 с. </w:t>
      </w:r>
    </w:p>
    <w:p w14:paraId="468C5C05"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Киричук О. С. Політика європейської та євроатлантичної інтеграції : навч.-метод. посіб., ЛРІДУ НАДУ / О. С. Киричук. – Львів : Сполом, 2009. – 400 с. </w:t>
      </w:r>
    </w:p>
    <w:p w14:paraId="54B2FB3E"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Князєв В. Сучасні суперечності в науці про державотворення / В. Князєв // Державне управління перехідних суспільств в умовах глобалізації: матеріали засідання міжнародного круглого столу. – К. : Українські пропілеї, 2001. – 32 с. </w:t>
      </w:r>
    </w:p>
    <w:p w14:paraId="2756FDF8"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Комунікація Комісії. Брюссель, 05.06.2002 СОМ (2002) 277 final – Режим доступу : htpp://www.icps.com.ua </w:t>
      </w:r>
    </w:p>
    <w:p w14:paraId="681CE50F"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Конституційні акти Європейського Союзу (в редакції Лісабонського договору). – К. : К.І.С., 2010. – 536 с. </w:t>
      </w:r>
    </w:p>
    <w:p w14:paraId="0EE27A91"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Лебедева М. М. Теоретические школы в международных исследованиях. Либерализм и неолиберализм / М. М. Лебедева // Мировая политика. – М. : Аспект-Пресс, 2003. – 351 с.</w:t>
      </w:r>
    </w:p>
    <w:p w14:paraId="35EF897D"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Маркова Т. Региональная политика Европейского Союза: принципы, тенденции развития, сложности, опыт для России / Т. Маркова. – Режим доступа : http://www.eulaw.edu.ru/documents/scient_effort/conf_26 - 04-01/markova. htm </w:t>
      </w:r>
    </w:p>
    <w:p w14:paraId="431843EB"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Мусіс Ніколас. Усе про спільні політики Європейського Союзу / Ніколас Мусіс ; пер. з англ. – К. : К.І.С. – 2005. – ХІV с., 466 с. </w:t>
      </w:r>
    </w:p>
    <w:p w14:paraId="56ABEE33" w14:textId="1D500596"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Общеевропейские организации. – Режим доступа : http://www.mid.ru/bdomp/sbor.nsf/fe3845c0f6d9b35443256c8a004e8835/</w:t>
      </w:r>
      <w:r w:rsidR="00790A46" w:rsidRPr="00C83932">
        <w:rPr>
          <w:rFonts w:ascii="Times New Roman" w:hAnsi="Times New Roman" w:cs="Times New Roman"/>
          <w:noProof/>
          <w:sz w:val="28"/>
          <w:szCs w:val="28"/>
          <w:lang w:val="uk-UA"/>
        </w:rPr>
        <w:t>0</w:t>
      </w:r>
      <w:r w:rsidRPr="00C83932">
        <w:rPr>
          <w:rFonts w:ascii="Times New Roman" w:hAnsi="Times New Roman" w:cs="Times New Roman"/>
          <w:noProof/>
          <w:sz w:val="28"/>
          <w:szCs w:val="28"/>
        </w:rPr>
        <w:t>e02bae69c2ea26f43256c8b004a1ce0!OpenDocument2</w:t>
      </w:r>
    </w:p>
    <w:p w14:paraId="13C889E0"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Паппас С. Європейське управління / С. Паппас. – К. : ІМВ КНУ ім. Тараса Шевченка, 2004. – 191 с. </w:t>
      </w:r>
    </w:p>
    <w:p w14:paraId="14F04B53" w14:textId="2E38B74F"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Питерс Б. Г. Глобализация, управление и его институты [Электронный ресурс] / Б. Г. Питерс. – Режим доступа : http://www.strana-oz.ru/ 2004/2/globalizaciya-upravlenie-i-ego-instituty </w:t>
      </w:r>
    </w:p>
    <w:p w14:paraId="50DD149C" w14:textId="1CE9E6A1" w:rsidR="005C3F4B" w:rsidRPr="00C83932" w:rsidRDefault="005C3F4B"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lang w:val="uk-UA"/>
        </w:rPr>
        <w:lastRenderedPageBreak/>
        <w:t>П</w:t>
      </w:r>
      <w:r w:rsidRPr="00C83932">
        <w:rPr>
          <w:rFonts w:ascii="Times New Roman" w:hAnsi="Times New Roman" w:cs="Times New Roman"/>
          <w:noProof/>
          <w:sz w:val="28"/>
          <w:szCs w:val="28"/>
        </w:rPr>
        <w:t xml:space="preserve">остановою </w:t>
      </w:r>
      <w:r w:rsidRPr="00C83932">
        <w:rPr>
          <w:rFonts w:ascii="Times New Roman" w:hAnsi="Times New Roman" w:cs="Times New Roman"/>
          <w:noProof/>
          <w:sz w:val="28"/>
          <w:szCs w:val="28"/>
          <w:lang w:val="uk-UA"/>
        </w:rPr>
        <w:t>КМУ</w:t>
      </w:r>
      <w:r w:rsidRPr="00C83932">
        <w:rPr>
          <w:rFonts w:ascii="Times New Roman" w:hAnsi="Times New Roman" w:cs="Times New Roman"/>
          <w:noProof/>
          <w:sz w:val="28"/>
          <w:szCs w:val="28"/>
        </w:rPr>
        <w:t xml:space="preserve"> від 13 квітня 2011 р. № 495 «Про затвердження Державної цільової програми розвитку професійно-технічної освіти на 2011-2015 роки»</w:t>
      </w:r>
      <w:r w:rsidRPr="00C83932">
        <w:rPr>
          <w:rFonts w:ascii="Times New Roman" w:hAnsi="Times New Roman" w:cs="Times New Roman"/>
          <w:noProof/>
          <w:sz w:val="28"/>
          <w:szCs w:val="28"/>
          <w:lang w:val="uk-UA"/>
        </w:rPr>
        <w:t xml:space="preserve"> </w:t>
      </w:r>
      <w:r w:rsidRPr="00C83932">
        <w:rPr>
          <w:rFonts w:ascii="Times New Roman" w:hAnsi="Times New Roman" w:cs="Times New Roman"/>
          <w:noProof/>
          <w:sz w:val="28"/>
          <w:szCs w:val="28"/>
        </w:rPr>
        <w:t>[Електронний ресурс]. – Режим доступу:</w:t>
      </w:r>
      <w:r w:rsidRPr="00C83932">
        <w:rPr>
          <w:rFonts w:ascii="Times New Roman" w:hAnsi="Times New Roman" w:cs="Times New Roman"/>
          <w:noProof/>
          <w:sz w:val="28"/>
          <w:szCs w:val="28"/>
          <w:lang w:val="uk-UA"/>
        </w:rPr>
        <w:t xml:space="preserve"> https://zakon.rada.gov.ua/laws/show/495-2011-%D0%BF#Text</w:t>
      </w:r>
    </w:p>
    <w:p w14:paraId="51D5936C" w14:textId="260E7D79"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Региональная политика стран ЕС / Центр европейских исследований ИМЭМО РАН ; отв. ред. А. В. Кузнецов. – М. : ИМЭМО РАН, 2009. – 230 c.</w:t>
      </w:r>
      <w:r w:rsidRPr="00C83932">
        <w:rPr>
          <w:rFonts w:ascii="Times New Roman" w:hAnsi="Times New Roman" w:cs="Times New Roman"/>
          <w:noProof/>
          <w:sz w:val="28"/>
          <w:szCs w:val="28"/>
          <w:lang w:val="uk-UA"/>
        </w:rPr>
        <w:t xml:space="preserve"> </w:t>
      </w:r>
    </w:p>
    <w:p w14:paraId="50680EA5"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Рекомендація 102 (2001) Щодо місцевої і регіональної демократії в Україні Конгресу місцевих і регіональних влад Європи // Європейська хартія місцевого самоврядування та розвиток місцевої та регіональної демократії в Україні. – К., 2002. – С. 131–139. </w:t>
      </w:r>
    </w:p>
    <w:p w14:paraId="64D177A0"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Стрежнева М. </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Трансправительственные сети</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В ЕС / М. Стрежнева // Международные процессы: Журнал теории международных отношений и мировой политики. – 2012. – Т. 10. – № 1 (28). – Янв.–апр. – С. 2. </w:t>
      </w:r>
    </w:p>
    <w:p w14:paraId="410BA569"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Терещенко О. Конституція ЄС: прорив чи провал? / Олександр Терещенко // Юрид. газета. – 2005. – № 14 (50). – 23 лип. </w:t>
      </w:r>
    </w:p>
    <w:p w14:paraId="4C58A295"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Шаров Ю. Інноваційні інструменти публічного адміністрування: європейський контекст / Юрій Шаров // Публічне управління: теорія та практика: збірник наукових праць Асоціації докторів наук з державного управління.– Х. : Вид-во </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ДокНаукДержУпр</w:t>
      </w:r>
      <w:r w:rsidR="00790A46" w:rsidRPr="00C83932">
        <w:rPr>
          <w:rFonts w:ascii="Times New Roman" w:hAnsi="Times New Roman" w:cs="Times New Roman"/>
          <w:noProof/>
          <w:sz w:val="28"/>
          <w:szCs w:val="28"/>
          <w:lang w:val="uk-UA"/>
        </w:rPr>
        <w:t>»</w:t>
      </w:r>
      <w:r w:rsidRPr="00C83932">
        <w:rPr>
          <w:rFonts w:ascii="Times New Roman" w:hAnsi="Times New Roman" w:cs="Times New Roman"/>
          <w:noProof/>
          <w:sz w:val="28"/>
          <w:szCs w:val="28"/>
        </w:rPr>
        <w:t xml:space="preserve">, 2010. – № 1. – С. 5–9. </w:t>
      </w:r>
    </w:p>
    <w:p w14:paraId="16D25B27"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Al-Rodhan, Nayef R. F. Sustainable History and the Dignity of Man: A Philosophy of History and Civilisational Triumph, LIT, 2009. </w:t>
      </w:r>
    </w:p>
    <w:p w14:paraId="5C07483A"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Christiansen T. Comitology between Political Decision-Making and Technocratic Governance: Regulating GMOs in the European Union / T. Christiansen, J. Polak // EIPASCOPE, 2009. – № 1. – P. 1–11. </w:t>
      </w:r>
    </w:p>
    <w:p w14:paraId="163B9FC2"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European Agency and the Belgian EU Presidency show how safe maintenance can save lives [Elekron portal]. – Mode of access : http:// www.prlog.org/11100087-european-agency-and-the-belgian-eu-presi dency-show-how-safe-maintenance-can-save-lives.html </w:t>
      </w:r>
    </w:p>
    <w:p w14:paraId="7E5A6DFB"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lastRenderedPageBreak/>
        <w:t xml:space="preserve">European Governance. White paper // Commission of the European Communities, Brussels, 25.7.2001 // COM (2001) 428 final. </w:t>
      </w:r>
    </w:p>
    <w:p w14:paraId="72B00605"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European Principles of Public Administration // SIGMA PAPERS № 27 [Електронний ресурс]. – Режим доступу : http://www.oecd-ilibrary.org/ governance/european-principles-for-public-administration_ zwdr7h-en </w:t>
      </w:r>
    </w:p>
    <w:p w14:paraId="322DF364"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European supervisory authorities: time for implementation! [Elekron portal]. – Mode of access: http://europeansforfinancialreform.org/en/news/european - supervisory-authorities-time-implementation </w:t>
      </w:r>
    </w:p>
    <w:p w14:paraId="555224B2"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General principles and minimum standards for consultation of interested parties by the Commission [Електронний ресурс]. – Режим доступу : http://ec.europa.eu/governance/ docs/comm_standards_en.pdf. </w:t>
      </w:r>
    </w:p>
    <w:p w14:paraId="75317237" w14:textId="34665831"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Hooghe Liesbet. Supranational Activists or Intergovernmental Agents? Explaining the Orientations of Senior Commission Officials Towards European Integration // Series/Report. – № EUIRSC; 1998/36 [Electronic version]. – Access mode : </w:t>
      </w:r>
      <w:hyperlink r:id="rId10" w:history="1">
        <w:r w:rsidRPr="00C83932">
          <w:rPr>
            <w:rStyle w:val="aa"/>
            <w:rFonts w:ascii="Times New Roman" w:hAnsi="Times New Roman" w:cs="Times New Roman"/>
            <w:noProof/>
            <w:color w:val="auto"/>
            <w:sz w:val="28"/>
            <w:szCs w:val="28"/>
          </w:rPr>
          <w:t>http://hdl.handle.net/1814/1588</w:t>
        </w:r>
      </w:hyperlink>
    </w:p>
    <w:p w14:paraId="707C9F02"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Governance forsustainable human development:AUNDP policy document / United Nations Development Programme. – January 1997. – Режим доступу : http://magnet.undp.org/policy/default.htm </w:t>
      </w:r>
    </w:p>
    <w:p w14:paraId="365228B7"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Kenis P. PolicyNetworks and PolicyAnalysis: Scrutinizing a NewAnalytical Toolbox / P. Kenis, V. Schneider // Policy Network: Empirical Evidence and Theoretical Considerations / Marin Bernd and Renate Mayntz (eds.) [Text]. – Frankfurt aM: Campus Verlag, 1991. – 176 р. </w:t>
      </w:r>
    </w:p>
    <w:p w14:paraId="1A6F44F0" w14:textId="74118871"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Khan M. H. State Formation in Palestine: Viability and Governance During a Social Transformation / M. H. Khan. – Routledge, 2004 – 249 р. 41. Kooiman J. Governing as Governance / J. Kooiman. – London : SAGE, 2003 – 264 р. </w:t>
      </w:r>
    </w:p>
    <w:p w14:paraId="5FAC5A40" w14:textId="6D2EB2BD" w:rsidR="00790A46" w:rsidRPr="00C83932" w:rsidRDefault="00790A46"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Keeling D. Management in Government / D. Keeling (1972), London: Allen &amp; Unwin</w:t>
      </w:r>
    </w:p>
    <w:p w14:paraId="15DF6BAA"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Moravcsik A. Preferences and power in the EuropeanCommunity: a liberal intergovernmentalist approach /A. Moravcsik //Journal of common market studies. – 1993. – Vol. 34. – N. 4. – P. 473–524. </w:t>
      </w:r>
    </w:p>
    <w:p w14:paraId="5B9D4D82"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lastRenderedPageBreak/>
        <w:t xml:space="preserve">Preparing Public Administration for the European Administrative Space. SIGMA Papers № 23 [Електронний ресурс]. – Режим доступу : www. sigmaweb.org /pdf/SIGMA_SP23_98E/pdf </w:t>
      </w:r>
    </w:p>
    <w:p w14:paraId="4318F7C4"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Recommendation 171 (2005) on “Consultation of Local Authorities” – Implementation of the European Charter of Local Self-Government – Articles 4.6, 5, 9.6 and 10 // Coe.int. URL. – Режим доступу : https:// wcd.coe.int/ViewDoc.jsp?Ref=REC (2005)171&amp;Sector= secCongress&amp; Language=lanEnglish&amp;Ver=original&amp; e0cee1&amp;BackColorL ogged </w:t>
      </w:r>
    </w:p>
    <w:p w14:paraId="0266272C"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The European Administrative Space: Governance in Diversity // Annual Conference of the European Group of Public Administration (EGPA), September 2002, the University of Potsdam [Електронний ресурс]. – Режим доступу : http://www.uni-potsdam.de/egpa2002 </w:t>
      </w:r>
    </w:p>
    <w:p w14:paraId="553B0B74"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The European Code of Good Administrative Behaviour [ Електронний ресурс]. – Режим доступу : http://www.ombudsman.europa.eu/resources/ code.faces </w:t>
      </w:r>
    </w:p>
    <w:p w14:paraId="794E9BC0"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Treaty amending the Treaty on European Union and the Treaty establishing the European Community [Electronic source] // Council of the European Union. – Mode of access : http://consilium.europa.eu/cms3_fo/ showPage.asp? id=1317&amp;lang=en </w:t>
      </w:r>
    </w:p>
    <w:p w14:paraId="237D23AB" w14:textId="77777777" w:rsidR="00790A46"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 xml:space="preserve">UNDP Good Governance and Sustainable Human Development. – Governance for Sustainable Human Development. A UNDP Policy Document. – 2002 [Електронний ресурс]. – Режим доступу : http:// magnet.undp.org </w:t>
      </w:r>
    </w:p>
    <w:p w14:paraId="20C376B5" w14:textId="12CE27AC" w:rsidR="00EC1DC7" w:rsidRPr="00C83932" w:rsidRDefault="00EC1DC7" w:rsidP="00BA5B5C">
      <w:pPr>
        <w:pStyle w:val="a4"/>
        <w:numPr>
          <w:ilvl w:val="0"/>
          <w:numId w:val="51"/>
        </w:numPr>
        <w:spacing w:line="360" w:lineRule="auto"/>
        <w:jc w:val="both"/>
        <w:rPr>
          <w:rFonts w:ascii="Times New Roman" w:hAnsi="Times New Roman" w:cs="Times New Roman"/>
          <w:noProof/>
          <w:sz w:val="28"/>
          <w:szCs w:val="28"/>
          <w:lang w:val="uk-UA"/>
        </w:rPr>
      </w:pPr>
      <w:r w:rsidRPr="00C83932">
        <w:rPr>
          <w:rFonts w:ascii="Times New Roman" w:hAnsi="Times New Roman" w:cs="Times New Roman"/>
          <w:noProof/>
          <w:sz w:val="28"/>
          <w:szCs w:val="28"/>
        </w:rPr>
        <w:t>What is Good Governance. UNESCAP, 2009. Accessed July 10, 2009</w:t>
      </w:r>
    </w:p>
    <w:sectPr w:rsidR="00EC1DC7" w:rsidRPr="00C83932" w:rsidSect="0092631E">
      <w:headerReference w:type="default" r:id="rId11"/>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A960FE" w14:textId="77777777" w:rsidR="00DA783A" w:rsidRDefault="00DA783A" w:rsidP="0092631E">
      <w:pPr>
        <w:spacing w:after="0" w:line="240" w:lineRule="auto"/>
      </w:pPr>
      <w:r>
        <w:separator/>
      </w:r>
    </w:p>
  </w:endnote>
  <w:endnote w:type="continuationSeparator" w:id="0">
    <w:p w14:paraId="59FD99A8" w14:textId="77777777" w:rsidR="00DA783A" w:rsidRDefault="00DA783A" w:rsidP="00926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C41B3" w14:textId="77777777" w:rsidR="00DA783A" w:rsidRDefault="00DA783A" w:rsidP="0092631E">
      <w:pPr>
        <w:spacing w:after="0" w:line="240" w:lineRule="auto"/>
      </w:pPr>
      <w:r>
        <w:separator/>
      </w:r>
    </w:p>
  </w:footnote>
  <w:footnote w:type="continuationSeparator" w:id="0">
    <w:p w14:paraId="1A0518BD" w14:textId="77777777" w:rsidR="00DA783A" w:rsidRDefault="00DA783A" w:rsidP="00926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1932288"/>
      <w:docPartObj>
        <w:docPartGallery w:val="Page Numbers (Top of Page)"/>
        <w:docPartUnique/>
      </w:docPartObj>
    </w:sdtPr>
    <w:sdtContent>
      <w:p w14:paraId="4E8875AF" w14:textId="7977233A" w:rsidR="00C73EFF" w:rsidRDefault="00C73EFF">
        <w:pPr>
          <w:pStyle w:val="a5"/>
          <w:jc w:val="right"/>
        </w:pPr>
        <w:r>
          <w:fldChar w:fldCharType="begin"/>
        </w:r>
        <w:r>
          <w:instrText>PAGE   \* MERGEFORMAT</w:instrText>
        </w:r>
        <w:r>
          <w:fldChar w:fldCharType="separate"/>
        </w:r>
        <w:r>
          <w:rPr>
            <w:lang w:val="ru-RU"/>
          </w:rPr>
          <w:t>2</w:t>
        </w:r>
        <w:r>
          <w:fldChar w:fldCharType="end"/>
        </w:r>
      </w:p>
    </w:sdtContent>
  </w:sdt>
  <w:p w14:paraId="7F9FB7FC" w14:textId="77777777" w:rsidR="00C73EFF" w:rsidRDefault="00C73EF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B28CA"/>
    <w:multiLevelType w:val="hybridMultilevel"/>
    <w:tmpl w:val="EFE2796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95A7D70"/>
    <w:multiLevelType w:val="hybridMultilevel"/>
    <w:tmpl w:val="2A14BAE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E71535"/>
    <w:multiLevelType w:val="hybridMultilevel"/>
    <w:tmpl w:val="B38EF14C"/>
    <w:lvl w:ilvl="0" w:tplc="DDBCF8E8">
      <w:start w:val="1"/>
      <w:numFmt w:val="decimal"/>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0A905A16"/>
    <w:multiLevelType w:val="multilevel"/>
    <w:tmpl w:val="AFF4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213C2"/>
    <w:multiLevelType w:val="hybridMultilevel"/>
    <w:tmpl w:val="4878B38E"/>
    <w:lvl w:ilvl="0" w:tplc="4776F45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D0B7F9F"/>
    <w:multiLevelType w:val="hybridMultilevel"/>
    <w:tmpl w:val="82184B5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F75408"/>
    <w:multiLevelType w:val="hybridMultilevel"/>
    <w:tmpl w:val="FAF8840A"/>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2447882"/>
    <w:multiLevelType w:val="hybridMultilevel"/>
    <w:tmpl w:val="D72A2664"/>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2AA4599"/>
    <w:multiLevelType w:val="hybridMultilevel"/>
    <w:tmpl w:val="6C5A1A8A"/>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B4317CF"/>
    <w:multiLevelType w:val="hybridMultilevel"/>
    <w:tmpl w:val="13A26C3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C5E0327"/>
    <w:multiLevelType w:val="hybridMultilevel"/>
    <w:tmpl w:val="CFB4D9B6"/>
    <w:lvl w:ilvl="0" w:tplc="2000000F">
      <w:start w:val="1"/>
      <w:numFmt w:val="decimal"/>
      <w:lvlText w:val="%1."/>
      <w:lvlJc w:val="left"/>
      <w:pPr>
        <w:ind w:left="720" w:hanging="360"/>
      </w:pPr>
      <w:rPr>
        <w:rFonts w:hint="default"/>
      </w:rPr>
    </w:lvl>
    <w:lvl w:ilvl="1" w:tplc="0520F6E4">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1CB6319F"/>
    <w:multiLevelType w:val="hybridMultilevel"/>
    <w:tmpl w:val="BBEA800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E130006"/>
    <w:multiLevelType w:val="hybridMultilevel"/>
    <w:tmpl w:val="1B3899D0"/>
    <w:lvl w:ilvl="0" w:tplc="2DC4FEF0">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1E7C43AC"/>
    <w:multiLevelType w:val="hybridMultilevel"/>
    <w:tmpl w:val="E05E0624"/>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EA13E3B"/>
    <w:multiLevelType w:val="hybridMultilevel"/>
    <w:tmpl w:val="3C9A4424"/>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46039CB"/>
    <w:multiLevelType w:val="hybridMultilevel"/>
    <w:tmpl w:val="C45A5A1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26DF6BF4"/>
    <w:multiLevelType w:val="multilevel"/>
    <w:tmpl w:val="2F90FB5E"/>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2C1D215D"/>
    <w:multiLevelType w:val="hybridMultilevel"/>
    <w:tmpl w:val="644A08A0"/>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2C1E3A4B"/>
    <w:multiLevelType w:val="hybridMultilevel"/>
    <w:tmpl w:val="43EE76B0"/>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4E02F9F"/>
    <w:multiLevelType w:val="hybridMultilevel"/>
    <w:tmpl w:val="6A92BF60"/>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68B3F68"/>
    <w:multiLevelType w:val="hybridMultilevel"/>
    <w:tmpl w:val="94587BAE"/>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81E121A"/>
    <w:multiLevelType w:val="hybridMultilevel"/>
    <w:tmpl w:val="4AAAC0E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3EA21E1"/>
    <w:multiLevelType w:val="hybridMultilevel"/>
    <w:tmpl w:val="2DE2A32A"/>
    <w:lvl w:ilvl="0" w:tplc="1248B8A2">
      <w:start w:val="1"/>
      <w:numFmt w:val="russianLower"/>
      <w:lvlText w:val="%1"/>
      <w:lvlJc w:val="left"/>
      <w:pPr>
        <w:ind w:left="720" w:hanging="360"/>
      </w:pPr>
      <w:rPr>
        <w:rFonts w:hint="default"/>
      </w:rPr>
    </w:lvl>
    <w:lvl w:ilvl="1" w:tplc="979A9088">
      <w:start w:val="1"/>
      <w:numFmt w:val="decimal"/>
      <w:lvlText w:val="%2)"/>
      <w:lvlJc w:val="left"/>
      <w:pPr>
        <w:ind w:left="1512" w:hanging="432"/>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45F2AF1"/>
    <w:multiLevelType w:val="hybridMultilevel"/>
    <w:tmpl w:val="22CAF57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5CC6651"/>
    <w:multiLevelType w:val="hybridMultilevel"/>
    <w:tmpl w:val="EB06F104"/>
    <w:lvl w:ilvl="0" w:tplc="4776F45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AB36CE4"/>
    <w:multiLevelType w:val="hybridMultilevel"/>
    <w:tmpl w:val="6010A98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B7218DC"/>
    <w:multiLevelType w:val="hybridMultilevel"/>
    <w:tmpl w:val="CA803E24"/>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4D7C5DDC"/>
    <w:multiLevelType w:val="hybridMultilevel"/>
    <w:tmpl w:val="0CB6035A"/>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1283456"/>
    <w:multiLevelType w:val="multilevel"/>
    <w:tmpl w:val="116CD962"/>
    <w:lvl w:ilvl="0">
      <w:start w:val="1"/>
      <w:numFmt w:val="decimal"/>
      <w:lvlText w:val="%1."/>
      <w:lvlJc w:val="left"/>
      <w:pPr>
        <w:ind w:left="648" w:hanging="64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0E3E86"/>
    <w:multiLevelType w:val="hybridMultilevel"/>
    <w:tmpl w:val="BAD63C2E"/>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62C26D7"/>
    <w:multiLevelType w:val="hybridMultilevel"/>
    <w:tmpl w:val="84008BF6"/>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9C655B3"/>
    <w:multiLevelType w:val="hybridMultilevel"/>
    <w:tmpl w:val="DAB036D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D2522B8"/>
    <w:multiLevelType w:val="hybridMultilevel"/>
    <w:tmpl w:val="6544805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E9377A9"/>
    <w:multiLevelType w:val="hybridMultilevel"/>
    <w:tmpl w:val="B08442B0"/>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2A233F9"/>
    <w:multiLevelType w:val="multilevel"/>
    <w:tmpl w:val="C1BCEF4E"/>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5BB041E"/>
    <w:multiLevelType w:val="hybridMultilevel"/>
    <w:tmpl w:val="14B60E00"/>
    <w:lvl w:ilvl="0" w:tplc="2DC4FEF0">
      <w:start w:val="1"/>
      <w:numFmt w:val="bullet"/>
      <w:lvlText w:val=""/>
      <w:lvlJc w:val="left"/>
      <w:pPr>
        <w:ind w:left="720" w:hanging="360"/>
      </w:pPr>
      <w:rPr>
        <w:rFonts w:ascii="Symbol" w:hAnsi="Symbol" w:hint="default"/>
      </w:rPr>
    </w:lvl>
    <w:lvl w:ilvl="1" w:tplc="771015E2">
      <w:numFmt w:val="bullet"/>
      <w:lvlText w:val="·"/>
      <w:lvlJc w:val="left"/>
      <w:pPr>
        <w:ind w:left="1440" w:hanging="360"/>
      </w:pPr>
      <w:rPr>
        <w:rFonts w:ascii="Times New Roman" w:eastAsia="Times New Roman"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A9243E"/>
    <w:multiLevelType w:val="hybridMultilevel"/>
    <w:tmpl w:val="2A14BF3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9827559"/>
    <w:multiLevelType w:val="hybridMultilevel"/>
    <w:tmpl w:val="3EEC47AA"/>
    <w:lvl w:ilvl="0" w:tplc="2000000F">
      <w:start w:val="1"/>
      <w:numFmt w:val="decimal"/>
      <w:lvlText w:val="%1."/>
      <w:lvlJc w:val="left"/>
      <w:pPr>
        <w:ind w:left="720" w:hanging="360"/>
      </w:pPr>
    </w:lvl>
    <w:lvl w:ilvl="1" w:tplc="D57CA008">
      <w:start w:val="1"/>
      <w:numFmt w:val="decimal"/>
      <w:lvlText w:val="%2)"/>
      <w:lvlJc w:val="left"/>
      <w:pPr>
        <w:ind w:left="1440" w:hanging="360"/>
      </w:pPr>
      <w:rPr>
        <w:rFonts w:hint="default"/>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6AB73568"/>
    <w:multiLevelType w:val="hybridMultilevel"/>
    <w:tmpl w:val="2B106B0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6CAE0D0E"/>
    <w:multiLevelType w:val="hybridMultilevel"/>
    <w:tmpl w:val="0B5E807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26010B4"/>
    <w:multiLevelType w:val="hybridMultilevel"/>
    <w:tmpl w:val="0BFE83BE"/>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38E6E42"/>
    <w:multiLevelType w:val="hybridMultilevel"/>
    <w:tmpl w:val="764220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74C2197A"/>
    <w:multiLevelType w:val="hybridMultilevel"/>
    <w:tmpl w:val="064019C0"/>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76FF6FBE"/>
    <w:multiLevelType w:val="hybridMultilevel"/>
    <w:tmpl w:val="560ED4E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9A02F5C"/>
    <w:multiLevelType w:val="hybridMultilevel"/>
    <w:tmpl w:val="243091E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9B90E89"/>
    <w:multiLevelType w:val="hybridMultilevel"/>
    <w:tmpl w:val="7B8658CC"/>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A8E5C7C"/>
    <w:multiLevelType w:val="hybridMultilevel"/>
    <w:tmpl w:val="AA4808B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AC34FA5"/>
    <w:multiLevelType w:val="hybridMultilevel"/>
    <w:tmpl w:val="78C6C42E"/>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BA53505"/>
    <w:multiLevelType w:val="hybridMultilevel"/>
    <w:tmpl w:val="91E8FD1A"/>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C297AED"/>
    <w:multiLevelType w:val="hybridMultilevel"/>
    <w:tmpl w:val="54CEDB62"/>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C9403AA"/>
    <w:multiLevelType w:val="hybridMultilevel"/>
    <w:tmpl w:val="A3EE8D48"/>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46"/>
  </w:num>
  <w:num w:numId="2">
    <w:abstractNumId w:val="6"/>
  </w:num>
  <w:num w:numId="3">
    <w:abstractNumId w:val="2"/>
  </w:num>
  <w:num w:numId="4">
    <w:abstractNumId w:val="34"/>
  </w:num>
  <w:num w:numId="5">
    <w:abstractNumId w:val="16"/>
  </w:num>
  <w:num w:numId="6">
    <w:abstractNumId w:val="39"/>
  </w:num>
  <w:num w:numId="7">
    <w:abstractNumId w:val="7"/>
  </w:num>
  <w:num w:numId="8">
    <w:abstractNumId w:val="36"/>
  </w:num>
  <w:num w:numId="9">
    <w:abstractNumId w:val="37"/>
  </w:num>
  <w:num w:numId="10">
    <w:abstractNumId w:val="45"/>
  </w:num>
  <w:num w:numId="11">
    <w:abstractNumId w:val="9"/>
  </w:num>
  <w:num w:numId="12">
    <w:abstractNumId w:val="33"/>
  </w:num>
  <w:num w:numId="13">
    <w:abstractNumId w:val="8"/>
  </w:num>
  <w:num w:numId="14">
    <w:abstractNumId w:val="43"/>
  </w:num>
  <w:num w:numId="15">
    <w:abstractNumId w:val="35"/>
  </w:num>
  <w:num w:numId="16">
    <w:abstractNumId w:val="13"/>
  </w:num>
  <w:num w:numId="17">
    <w:abstractNumId w:val="29"/>
  </w:num>
  <w:num w:numId="18">
    <w:abstractNumId w:val="40"/>
  </w:num>
  <w:num w:numId="19">
    <w:abstractNumId w:val="31"/>
  </w:num>
  <w:num w:numId="20">
    <w:abstractNumId w:val="47"/>
  </w:num>
  <w:num w:numId="21">
    <w:abstractNumId w:val="21"/>
  </w:num>
  <w:num w:numId="22">
    <w:abstractNumId w:val="27"/>
  </w:num>
  <w:num w:numId="23">
    <w:abstractNumId w:val="15"/>
  </w:num>
  <w:num w:numId="24">
    <w:abstractNumId w:val="38"/>
  </w:num>
  <w:num w:numId="25">
    <w:abstractNumId w:val="44"/>
  </w:num>
  <w:num w:numId="26">
    <w:abstractNumId w:val="32"/>
  </w:num>
  <w:num w:numId="27">
    <w:abstractNumId w:val="42"/>
  </w:num>
  <w:num w:numId="28">
    <w:abstractNumId w:val="23"/>
  </w:num>
  <w:num w:numId="29">
    <w:abstractNumId w:val="5"/>
  </w:num>
  <w:num w:numId="30">
    <w:abstractNumId w:val="49"/>
  </w:num>
  <w:num w:numId="31">
    <w:abstractNumId w:val="19"/>
  </w:num>
  <w:num w:numId="32">
    <w:abstractNumId w:val="11"/>
  </w:num>
  <w:num w:numId="33">
    <w:abstractNumId w:val="26"/>
  </w:num>
  <w:num w:numId="34">
    <w:abstractNumId w:val="12"/>
  </w:num>
  <w:num w:numId="35">
    <w:abstractNumId w:val="10"/>
  </w:num>
  <w:num w:numId="36">
    <w:abstractNumId w:val="28"/>
  </w:num>
  <w:num w:numId="37">
    <w:abstractNumId w:val="22"/>
  </w:num>
  <w:num w:numId="38">
    <w:abstractNumId w:val="41"/>
  </w:num>
  <w:num w:numId="39">
    <w:abstractNumId w:val="3"/>
  </w:num>
  <w:num w:numId="40">
    <w:abstractNumId w:val="25"/>
  </w:num>
  <w:num w:numId="41">
    <w:abstractNumId w:val="24"/>
  </w:num>
  <w:num w:numId="42">
    <w:abstractNumId w:val="18"/>
  </w:num>
  <w:num w:numId="43">
    <w:abstractNumId w:val="20"/>
  </w:num>
  <w:num w:numId="44">
    <w:abstractNumId w:val="17"/>
  </w:num>
  <w:num w:numId="45">
    <w:abstractNumId w:val="14"/>
  </w:num>
  <w:num w:numId="46">
    <w:abstractNumId w:val="30"/>
  </w:num>
  <w:num w:numId="47">
    <w:abstractNumId w:val="50"/>
  </w:num>
  <w:num w:numId="48">
    <w:abstractNumId w:val="48"/>
  </w:num>
  <w:num w:numId="49">
    <w:abstractNumId w:val="0"/>
  </w:num>
  <w:num w:numId="50">
    <w:abstractNumId w:val="1"/>
  </w:num>
  <w:num w:numId="5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C7"/>
    <w:rsid w:val="00004CDD"/>
    <w:rsid w:val="001409AE"/>
    <w:rsid w:val="001529A3"/>
    <w:rsid w:val="00155202"/>
    <w:rsid w:val="00157199"/>
    <w:rsid w:val="00177013"/>
    <w:rsid w:val="00204146"/>
    <w:rsid w:val="002F15D8"/>
    <w:rsid w:val="0030524A"/>
    <w:rsid w:val="003E5397"/>
    <w:rsid w:val="00407CFA"/>
    <w:rsid w:val="004A63B3"/>
    <w:rsid w:val="004D013C"/>
    <w:rsid w:val="004F3A54"/>
    <w:rsid w:val="00502913"/>
    <w:rsid w:val="00592520"/>
    <w:rsid w:val="005C3F4B"/>
    <w:rsid w:val="006863C7"/>
    <w:rsid w:val="006A68F9"/>
    <w:rsid w:val="006D28C2"/>
    <w:rsid w:val="00790A46"/>
    <w:rsid w:val="007D3915"/>
    <w:rsid w:val="007F138B"/>
    <w:rsid w:val="008549A0"/>
    <w:rsid w:val="00895F8F"/>
    <w:rsid w:val="008972C9"/>
    <w:rsid w:val="008B2A24"/>
    <w:rsid w:val="008E681A"/>
    <w:rsid w:val="00905C43"/>
    <w:rsid w:val="0092631E"/>
    <w:rsid w:val="009A597E"/>
    <w:rsid w:val="009E3CC6"/>
    <w:rsid w:val="00A30980"/>
    <w:rsid w:val="00A57224"/>
    <w:rsid w:val="00A77755"/>
    <w:rsid w:val="00B004AC"/>
    <w:rsid w:val="00B078B3"/>
    <w:rsid w:val="00B21865"/>
    <w:rsid w:val="00BA5B5C"/>
    <w:rsid w:val="00BB5855"/>
    <w:rsid w:val="00BC21C3"/>
    <w:rsid w:val="00BC6E72"/>
    <w:rsid w:val="00BF1A46"/>
    <w:rsid w:val="00BF2217"/>
    <w:rsid w:val="00C63A1C"/>
    <w:rsid w:val="00C65D98"/>
    <w:rsid w:val="00C73EFF"/>
    <w:rsid w:val="00C83932"/>
    <w:rsid w:val="00CA6B5C"/>
    <w:rsid w:val="00CB3D20"/>
    <w:rsid w:val="00CC35C5"/>
    <w:rsid w:val="00DA783A"/>
    <w:rsid w:val="00DF130E"/>
    <w:rsid w:val="00DF3DB1"/>
    <w:rsid w:val="00DF49AA"/>
    <w:rsid w:val="00E6003B"/>
    <w:rsid w:val="00E61D69"/>
    <w:rsid w:val="00E63758"/>
    <w:rsid w:val="00EC1DC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113B3"/>
  <w15:chartTrackingRefBased/>
  <w15:docId w15:val="{F2572D51-5D5D-45C4-83DC-F1DC0087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57199"/>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4">
    <w:name w:val="List Paragraph"/>
    <w:basedOn w:val="a"/>
    <w:uiPriority w:val="34"/>
    <w:qFormat/>
    <w:rsid w:val="001409AE"/>
    <w:pPr>
      <w:ind w:left="720"/>
      <w:contextualSpacing/>
    </w:pPr>
  </w:style>
  <w:style w:type="paragraph" w:styleId="a5">
    <w:name w:val="header"/>
    <w:basedOn w:val="a"/>
    <w:link w:val="a6"/>
    <w:uiPriority w:val="99"/>
    <w:unhideWhenUsed/>
    <w:rsid w:val="009263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631E"/>
  </w:style>
  <w:style w:type="paragraph" w:styleId="a7">
    <w:name w:val="footer"/>
    <w:basedOn w:val="a"/>
    <w:link w:val="a8"/>
    <w:uiPriority w:val="99"/>
    <w:unhideWhenUsed/>
    <w:rsid w:val="0092631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31E"/>
  </w:style>
  <w:style w:type="character" w:styleId="a9">
    <w:name w:val="Strong"/>
    <w:basedOn w:val="a0"/>
    <w:uiPriority w:val="22"/>
    <w:qFormat/>
    <w:rsid w:val="00BC21C3"/>
    <w:rPr>
      <w:b/>
      <w:bCs/>
    </w:rPr>
  </w:style>
  <w:style w:type="character" w:styleId="aa">
    <w:name w:val="Hyperlink"/>
    <w:basedOn w:val="a0"/>
    <w:uiPriority w:val="99"/>
    <w:unhideWhenUsed/>
    <w:rsid w:val="00BB5855"/>
    <w:rPr>
      <w:color w:val="0563C1" w:themeColor="hyperlink"/>
      <w:u w:val="single"/>
    </w:rPr>
  </w:style>
  <w:style w:type="character" w:styleId="ab">
    <w:name w:val="Unresolved Mention"/>
    <w:basedOn w:val="a0"/>
    <w:uiPriority w:val="99"/>
    <w:semiHidden/>
    <w:unhideWhenUsed/>
    <w:rsid w:val="00BB58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337416">
      <w:bodyDiv w:val="1"/>
      <w:marLeft w:val="0"/>
      <w:marRight w:val="0"/>
      <w:marTop w:val="0"/>
      <w:marBottom w:val="0"/>
      <w:divBdr>
        <w:top w:val="none" w:sz="0" w:space="0" w:color="auto"/>
        <w:left w:val="none" w:sz="0" w:space="0" w:color="auto"/>
        <w:bottom w:val="none" w:sz="0" w:space="0" w:color="auto"/>
        <w:right w:val="none" w:sz="0" w:space="0" w:color="auto"/>
      </w:divBdr>
    </w:div>
    <w:div w:id="276522369">
      <w:bodyDiv w:val="1"/>
      <w:marLeft w:val="0"/>
      <w:marRight w:val="0"/>
      <w:marTop w:val="0"/>
      <w:marBottom w:val="0"/>
      <w:divBdr>
        <w:top w:val="none" w:sz="0" w:space="0" w:color="auto"/>
        <w:left w:val="none" w:sz="0" w:space="0" w:color="auto"/>
        <w:bottom w:val="none" w:sz="0" w:space="0" w:color="auto"/>
        <w:right w:val="none" w:sz="0" w:space="0" w:color="auto"/>
      </w:divBdr>
    </w:div>
    <w:div w:id="335307435">
      <w:bodyDiv w:val="1"/>
      <w:marLeft w:val="0"/>
      <w:marRight w:val="0"/>
      <w:marTop w:val="0"/>
      <w:marBottom w:val="0"/>
      <w:divBdr>
        <w:top w:val="none" w:sz="0" w:space="0" w:color="auto"/>
        <w:left w:val="none" w:sz="0" w:space="0" w:color="auto"/>
        <w:bottom w:val="none" w:sz="0" w:space="0" w:color="auto"/>
        <w:right w:val="none" w:sz="0" w:space="0" w:color="auto"/>
      </w:divBdr>
    </w:div>
    <w:div w:id="349843840">
      <w:bodyDiv w:val="1"/>
      <w:marLeft w:val="0"/>
      <w:marRight w:val="0"/>
      <w:marTop w:val="0"/>
      <w:marBottom w:val="0"/>
      <w:divBdr>
        <w:top w:val="none" w:sz="0" w:space="0" w:color="auto"/>
        <w:left w:val="none" w:sz="0" w:space="0" w:color="auto"/>
        <w:bottom w:val="none" w:sz="0" w:space="0" w:color="auto"/>
        <w:right w:val="none" w:sz="0" w:space="0" w:color="auto"/>
      </w:divBdr>
      <w:divsChild>
        <w:div w:id="183443952">
          <w:marLeft w:val="0"/>
          <w:marRight w:val="0"/>
          <w:marTop w:val="0"/>
          <w:marBottom w:val="0"/>
          <w:divBdr>
            <w:top w:val="none" w:sz="0" w:space="0" w:color="auto"/>
            <w:left w:val="none" w:sz="0" w:space="0" w:color="auto"/>
            <w:bottom w:val="none" w:sz="0" w:space="0" w:color="auto"/>
            <w:right w:val="none" w:sz="0" w:space="0" w:color="auto"/>
          </w:divBdr>
        </w:div>
      </w:divsChild>
    </w:div>
    <w:div w:id="397480406">
      <w:bodyDiv w:val="1"/>
      <w:marLeft w:val="0"/>
      <w:marRight w:val="0"/>
      <w:marTop w:val="0"/>
      <w:marBottom w:val="0"/>
      <w:divBdr>
        <w:top w:val="none" w:sz="0" w:space="0" w:color="auto"/>
        <w:left w:val="none" w:sz="0" w:space="0" w:color="auto"/>
        <w:bottom w:val="none" w:sz="0" w:space="0" w:color="auto"/>
        <w:right w:val="none" w:sz="0" w:space="0" w:color="auto"/>
      </w:divBdr>
    </w:div>
    <w:div w:id="635794493">
      <w:bodyDiv w:val="1"/>
      <w:marLeft w:val="0"/>
      <w:marRight w:val="0"/>
      <w:marTop w:val="0"/>
      <w:marBottom w:val="0"/>
      <w:divBdr>
        <w:top w:val="none" w:sz="0" w:space="0" w:color="auto"/>
        <w:left w:val="none" w:sz="0" w:space="0" w:color="auto"/>
        <w:bottom w:val="none" w:sz="0" w:space="0" w:color="auto"/>
        <w:right w:val="none" w:sz="0" w:space="0" w:color="auto"/>
      </w:divBdr>
    </w:div>
    <w:div w:id="677001354">
      <w:bodyDiv w:val="1"/>
      <w:marLeft w:val="0"/>
      <w:marRight w:val="0"/>
      <w:marTop w:val="0"/>
      <w:marBottom w:val="0"/>
      <w:divBdr>
        <w:top w:val="none" w:sz="0" w:space="0" w:color="auto"/>
        <w:left w:val="none" w:sz="0" w:space="0" w:color="auto"/>
        <w:bottom w:val="none" w:sz="0" w:space="0" w:color="auto"/>
        <w:right w:val="none" w:sz="0" w:space="0" w:color="auto"/>
      </w:divBdr>
    </w:div>
    <w:div w:id="763578053">
      <w:bodyDiv w:val="1"/>
      <w:marLeft w:val="0"/>
      <w:marRight w:val="0"/>
      <w:marTop w:val="0"/>
      <w:marBottom w:val="0"/>
      <w:divBdr>
        <w:top w:val="none" w:sz="0" w:space="0" w:color="auto"/>
        <w:left w:val="none" w:sz="0" w:space="0" w:color="auto"/>
        <w:bottom w:val="none" w:sz="0" w:space="0" w:color="auto"/>
        <w:right w:val="none" w:sz="0" w:space="0" w:color="auto"/>
      </w:divBdr>
    </w:div>
    <w:div w:id="777454355">
      <w:bodyDiv w:val="1"/>
      <w:marLeft w:val="0"/>
      <w:marRight w:val="0"/>
      <w:marTop w:val="0"/>
      <w:marBottom w:val="0"/>
      <w:divBdr>
        <w:top w:val="none" w:sz="0" w:space="0" w:color="auto"/>
        <w:left w:val="none" w:sz="0" w:space="0" w:color="auto"/>
        <w:bottom w:val="none" w:sz="0" w:space="0" w:color="auto"/>
        <w:right w:val="none" w:sz="0" w:space="0" w:color="auto"/>
      </w:divBdr>
    </w:div>
    <w:div w:id="808326240">
      <w:bodyDiv w:val="1"/>
      <w:marLeft w:val="0"/>
      <w:marRight w:val="0"/>
      <w:marTop w:val="0"/>
      <w:marBottom w:val="0"/>
      <w:divBdr>
        <w:top w:val="none" w:sz="0" w:space="0" w:color="auto"/>
        <w:left w:val="none" w:sz="0" w:space="0" w:color="auto"/>
        <w:bottom w:val="none" w:sz="0" w:space="0" w:color="auto"/>
        <w:right w:val="none" w:sz="0" w:space="0" w:color="auto"/>
      </w:divBdr>
    </w:div>
    <w:div w:id="850069779">
      <w:bodyDiv w:val="1"/>
      <w:marLeft w:val="0"/>
      <w:marRight w:val="0"/>
      <w:marTop w:val="0"/>
      <w:marBottom w:val="0"/>
      <w:divBdr>
        <w:top w:val="none" w:sz="0" w:space="0" w:color="auto"/>
        <w:left w:val="none" w:sz="0" w:space="0" w:color="auto"/>
        <w:bottom w:val="none" w:sz="0" w:space="0" w:color="auto"/>
        <w:right w:val="none" w:sz="0" w:space="0" w:color="auto"/>
      </w:divBdr>
    </w:div>
    <w:div w:id="908079172">
      <w:bodyDiv w:val="1"/>
      <w:marLeft w:val="0"/>
      <w:marRight w:val="0"/>
      <w:marTop w:val="0"/>
      <w:marBottom w:val="0"/>
      <w:divBdr>
        <w:top w:val="none" w:sz="0" w:space="0" w:color="auto"/>
        <w:left w:val="none" w:sz="0" w:space="0" w:color="auto"/>
        <w:bottom w:val="none" w:sz="0" w:space="0" w:color="auto"/>
        <w:right w:val="none" w:sz="0" w:space="0" w:color="auto"/>
      </w:divBdr>
    </w:div>
    <w:div w:id="946036155">
      <w:bodyDiv w:val="1"/>
      <w:marLeft w:val="0"/>
      <w:marRight w:val="0"/>
      <w:marTop w:val="0"/>
      <w:marBottom w:val="0"/>
      <w:divBdr>
        <w:top w:val="none" w:sz="0" w:space="0" w:color="auto"/>
        <w:left w:val="none" w:sz="0" w:space="0" w:color="auto"/>
        <w:bottom w:val="none" w:sz="0" w:space="0" w:color="auto"/>
        <w:right w:val="none" w:sz="0" w:space="0" w:color="auto"/>
      </w:divBdr>
    </w:div>
    <w:div w:id="1061099488">
      <w:bodyDiv w:val="1"/>
      <w:marLeft w:val="0"/>
      <w:marRight w:val="0"/>
      <w:marTop w:val="0"/>
      <w:marBottom w:val="0"/>
      <w:divBdr>
        <w:top w:val="none" w:sz="0" w:space="0" w:color="auto"/>
        <w:left w:val="none" w:sz="0" w:space="0" w:color="auto"/>
        <w:bottom w:val="none" w:sz="0" w:space="0" w:color="auto"/>
        <w:right w:val="none" w:sz="0" w:space="0" w:color="auto"/>
      </w:divBdr>
    </w:div>
    <w:div w:id="1192305822">
      <w:bodyDiv w:val="1"/>
      <w:marLeft w:val="0"/>
      <w:marRight w:val="0"/>
      <w:marTop w:val="0"/>
      <w:marBottom w:val="0"/>
      <w:divBdr>
        <w:top w:val="none" w:sz="0" w:space="0" w:color="auto"/>
        <w:left w:val="none" w:sz="0" w:space="0" w:color="auto"/>
        <w:bottom w:val="none" w:sz="0" w:space="0" w:color="auto"/>
        <w:right w:val="none" w:sz="0" w:space="0" w:color="auto"/>
      </w:divBdr>
    </w:div>
    <w:div w:id="1352948931">
      <w:bodyDiv w:val="1"/>
      <w:marLeft w:val="0"/>
      <w:marRight w:val="0"/>
      <w:marTop w:val="0"/>
      <w:marBottom w:val="0"/>
      <w:divBdr>
        <w:top w:val="none" w:sz="0" w:space="0" w:color="auto"/>
        <w:left w:val="none" w:sz="0" w:space="0" w:color="auto"/>
        <w:bottom w:val="none" w:sz="0" w:space="0" w:color="auto"/>
        <w:right w:val="none" w:sz="0" w:space="0" w:color="auto"/>
      </w:divBdr>
    </w:div>
    <w:div w:id="1377312054">
      <w:bodyDiv w:val="1"/>
      <w:marLeft w:val="0"/>
      <w:marRight w:val="0"/>
      <w:marTop w:val="0"/>
      <w:marBottom w:val="0"/>
      <w:divBdr>
        <w:top w:val="none" w:sz="0" w:space="0" w:color="auto"/>
        <w:left w:val="none" w:sz="0" w:space="0" w:color="auto"/>
        <w:bottom w:val="none" w:sz="0" w:space="0" w:color="auto"/>
        <w:right w:val="none" w:sz="0" w:space="0" w:color="auto"/>
      </w:divBdr>
    </w:div>
    <w:div w:id="1486050407">
      <w:bodyDiv w:val="1"/>
      <w:marLeft w:val="0"/>
      <w:marRight w:val="0"/>
      <w:marTop w:val="0"/>
      <w:marBottom w:val="0"/>
      <w:divBdr>
        <w:top w:val="none" w:sz="0" w:space="0" w:color="auto"/>
        <w:left w:val="none" w:sz="0" w:space="0" w:color="auto"/>
        <w:bottom w:val="none" w:sz="0" w:space="0" w:color="auto"/>
        <w:right w:val="none" w:sz="0" w:space="0" w:color="auto"/>
      </w:divBdr>
    </w:div>
    <w:div w:id="1513253957">
      <w:bodyDiv w:val="1"/>
      <w:marLeft w:val="0"/>
      <w:marRight w:val="0"/>
      <w:marTop w:val="0"/>
      <w:marBottom w:val="0"/>
      <w:divBdr>
        <w:top w:val="none" w:sz="0" w:space="0" w:color="auto"/>
        <w:left w:val="none" w:sz="0" w:space="0" w:color="auto"/>
        <w:bottom w:val="none" w:sz="0" w:space="0" w:color="auto"/>
        <w:right w:val="none" w:sz="0" w:space="0" w:color="auto"/>
      </w:divBdr>
    </w:div>
    <w:div w:id="1586720015">
      <w:bodyDiv w:val="1"/>
      <w:marLeft w:val="0"/>
      <w:marRight w:val="0"/>
      <w:marTop w:val="0"/>
      <w:marBottom w:val="0"/>
      <w:divBdr>
        <w:top w:val="none" w:sz="0" w:space="0" w:color="auto"/>
        <w:left w:val="none" w:sz="0" w:space="0" w:color="auto"/>
        <w:bottom w:val="none" w:sz="0" w:space="0" w:color="auto"/>
        <w:right w:val="none" w:sz="0" w:space="0" w:color="auto"/>
      </w:divBdr>
    </w:div>
    <w:div w:id="1883445453">
      <w:bodyDiv w:val="1"/>
      <w:marLeft w:val="0"/>
      <w:marRight w:val="0"/>
      <w:marTop w:val="0"/>
      <w:marBottom w:val="0"/>
      <w:divBdr>
        <w:top w:val="none" w:sz="0" w:space="0" w:color="auto"/>
        <w:left w:val="none" w:sz="0" w:space="0" w:color="auto"/>
        <w:bottom w:val="none" w:sz="0" w:space="0" w:color="auto"/>
        <w:right w:val="none" w:sz="0" w:space="0" w:color="auto"/>
      </w:divBdr>
    </w:div>
    <w:div w:id="1960912645">
      <w:bodyDiv w:val="1"/>
      <w:marLeft w:val="0"/>
      <w:marRight w:val="0"/>
      <w:marTop w:val="0"/>
      <w:marBottom w:val="0"/>
      <w:divBdr>
        <w:top w:val="none" w:sz="0" w:space="0" w:color="auto"/>
        <w:left w:val="none" w:sz="0" w:space="0" w:color="auto"/>
        <w:bottom w:val="none" w:sz="0" w:space="0" w:color="auto"/>
        <w:right w:val="none" w:sz="0" w:space="0" w:color="auto"/>
      </w:divBdr>
      <w:divsChild>
        <w:div w:id="1559973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hdl.handle.net/1814/1588" TargetMode="External"/><Relationship Id="rId4" Type="http://schemas.openxmlformats.org/officeDocument/2006/relationships/webSettings" Target="webSettings.xml"/><Relationship Id="rId9" Type="http://schemas.openxmlformats.org/officeDocument/2006/relationships/hyperlink" Target="https://zakon.rada.gov.ua/laws/show/46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2955</TotalTime>
  <Pages>1</Pages>
  <Words>22197</Words>
  <Characters>126528</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dc:creator>
  <cp:keywords/>
  <dc:description/>
  <cp:lastModifiedBy>Yevhen</cp:lastModifiedBy>
  <cp:revision>13</cp:revision>
  <dcterms:created xsi:type="dcterms:W3CDTF">2020-10-13T16:59:00Z</dcterms:created>
  <dcterms:modified xsi:type="dcterms:W3CDTF">2020-11-27T08:09:00Z</dcterms:modified>
</cp:coreProperties>
</file>